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AA4B1">
      <w:pPr>
        <w:spacing w:line="360" w:lineRule="auto"/>
        <w:jc w:val="both"/>
        <w:rPr>
          <w:rFonts w:ascii="Calibri" w:hAnsi="Calibri" w:eastAsia="Calibri" w:cs="Calibri"/>
          <w:b/>
          <w:color w:val="000000"/>
          <w:sz w:val="22"/>
          <w:szCs w:val="22"/>
          <w:lang w:val="en-GB"/>
        </w:rPr>
      </w:pPr>
      <w:r>
        <w:rPr>
          <w:rFonts w:ascii="Calibri" w:hAnsi="Calibri" w:eastAsia="Calibri" w:cs="Calibri"/>
          <w:b/>
          <w:color w:val="000000"/>
          <w:sz w:val="22"/>
          <w:szCs w:val="22"/>
          <w:lang w:val="en-GB"/>
        </w:rPr>
        <w:t xml:space="preserve">CONSORT 2025 checklist of information to include when reporting a randomised trial* </w:t>
      </w:r>
    </w:p>
    <w:tbl>
      <w:tblPr>
        <w:tblStyle w:val="23"/>
        <w:tblW w:w="143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47"/>
        <w:gridCol w:w="992"/>
        <w:gridCol w:w="9356"/>
        <w:gridCol w:w="1417"/>
      </w:tblGrid>
      <w:tr w14:paraId="42F6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shd w:val="clear" w:color="auto" w:fill="BFBFBF"/>
          </w:tcPr>
          <w:p w14:paraId="07AEEDF9">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Section / Topic</w:t>
            </w:r>
          </w:p>
          <w:p w14:paraId="0F5F40E3">
            <w:pPr>
              <w:spacing w:line="240" w:lineRule="auto"/>
              <w:rPr>
                <w:rFonts w:ascii="Calibri" w:hAnsi="Calibri" w:eastAsia="Calibri" w:cs="Calibri"/>
                <w:b/>
                <w:color w:val="000000"/>
                <w:sz w:val="22"/>
                <w:szCs w:val="22"/>
                <w:lang w:val="en-GB"/>
              </w:rPr>
            </w:pPr>
          </w:p>
        </w:tc>
        <w:tc>
          <w:tcPr>
            <w:tcW w:w="992" w:type="dxa"/>
            <w:shd w:val="clear" w:color="auto" w:fill="BFBFBF"/>
          </w:tcPr>
          <w:p w14:paraId="5449031B">
            <w:pPr>
              <w:spacing w:line="240" w:lineRule="auto"/>
              <w:jc w:val="center"/>
              <w:rPr>
                <w:rFonts w:ascii="Calibri" w:hAnsi="Calibri" w:eastAsia="Calibri" w:cs="Calibri"/>
                <w:b/>
                <w:color w:val="000000"/>
                <w:sz w:val="22"/>
                <w:szCs w:val="22"/>
                <w:lang w:val="en-GB"/>
              </w:rPr>
            </w:pPr>
            <w:r>
              <w:rPr>
                <w:rFonts w:ascii="Calibri" w:hAnsi="Calibri" w:eastAsia="Calibri" w:cs="Calibri"/>
                <w:b/>
                <w:color w:val="000000"/>
                <w:sz w:val="22"/>
                <w:szCs w:val="22"/>
                <w:lang w:val="en-GB"/>
              </w:rPr>
              <w:t>No</w:t>
            </w:r>
          </w:p>
        </w:tc>
        <w:tc>
          <w:tcPr>
            <w:tcW w:w="9356" w:type="dxa"/>
            <w:shd w:val="clear" w:color="auto" w:fill="BEBEBE" w:themeFill="background1" w:themeFillShade="BF"/>
          </w:tcPr>
          <w:p w14:paraId="1008F6F5">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CONSORT 2025 checklist item description</w:t>
            </w:r>
          </w:p>
        </w:tc>
        <w:tc>
          <w:tcPr>
            <w:tcW w:w="1417" w:type="dxa"/>
            <w:shd w:val="clear" w:color="auto" w:fill="BEBEBE" w:themeFill="background1" w:themeFillShade="BF"/>
          </w:tcPr>
          <w:p w14:paraId="6927BCB3">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Reported on page no.</w:t>
            </w:r>
          </w:p>
        </w:tc>
      </w:tr>
      <w:tr w14:paraId="35E60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12895" w:type="dxa"/>
            <w:gridSpan w:val="3"/>
            <w:shd w:val="clear" w:color="auto" w:fill="C6D9F0" w:themeFill="text2" w:themeFillTint="33"/>
          </w:tcPr>
          <w:p w14:paraId="105C098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Title and abstract</w:t>
            </w:r>
          </w:p>
        </w:tc>
        <w:tc>
          <w:tcPr>
            <w:tcW w:w="1417" w:type="dxa"/>
            <w:shd w:val="clear" w:color="auto" w:fill="C6D9F0" w:themeFill="text2" w:themeFillTint="33"/>
          </w:tcPr>
          <w:p w14:paraId="0AC158EA">
            <w:pPr>
              <w:spacing w:line="240" w:lineRule="auto"/>
              <w:rPr>
                <w:rFonts w:ascii="Calibri" w:hAnsi="Calibri" w:eastAsia="Calibri" w:cs="Calibri"/>
                <w:b/>
                <w:color w:val="000000"/>
                <w:sz w:val="22"/>
                <w:szCs w:val="22"/>
                <w:lang w:val="en-GB"/>
              </w:rPr>
            </w:pPr>
          </w:p>
        </w:tc>
      </w:tr>
      <w:tr w14:paraId="10FCC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tcPr>
          <w:p w14:paraId="55516C2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Title and structured abstract</w:t>
            </w:r>
          </w:p>
        </w:tc>
        <w:tc>
          <w:tcPr>
            <w:tcW w:w="992" w:type="dxa"/>
          </w:tcPr>
          <w:p w14:paraId="2FAFE5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1a</w:t>
            </w:r>
          </w:p>
        </w:tc>
        <w:tc>
          <w:tcPr>
            <w:tcW w:w="9356" w:type="dxa"/>
          </w:tcPr>
          <w:p w14:paraId="0A0F8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Identification as a randomised trial </w:t>
            </w:r>
          </w:p>
        </w:tc>
        <w:tc>
          <w:tcPr>
            <w:tcW w:w="1417" w:type="dxa"/>
          </w:tcPr>
          <w:p w14:paraId="682CEBAD">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w:t>
            </w:r>
          </w:p>
        </w:tc>
      </w:tr>
      <w:tr w14:paraId="29622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47" w:type="dxa"/>
            <w:vMerge w:val="continue"/>
          </w:tcPr>
          <w:p w14:paraId="4CFF8030">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0E58D9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1b</w:t>
            </w:r>
          </w:p>
        </w:tc>
        <w:tc>
          <w:tcPr>
            <w:tcW w:w="9356" w:type="dxa"/>
          </w:tcPr>
          <w:p w14:paraId="0176107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Structured summary of the trial design, methods, results, and conclusions</w:t>
            </w:r>
          </w:p>
        </w:tc>
        <w:tc>
          <w:tcPr>
            <w:tcW w:w="1417" w:type="dxa"/>
          </w:tcPr>
          <w:p w14:paraId="078952E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2-3</w:t>
            </w:r>
          </w:p>
        </w:tc>
      </w:tr>
      <w:tr w14:paraId="3A57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353B2DC6">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Open science</w:t>
            </w:r>
          </w:p>
        </w:tc>
        <w:tc>
          <w:tcPr>
            <w:tcW w:w="1417" w:type="dxa"/>
            <w:shd w:val="clear" w:color="auto" w:fill="C6D9F0" w:themeFill="text2" w:themeFillTint="33"/>
          </w:tcPr>
          <w:p w14:paraId="6C7112DB">
            <w:pPr>
              <w:spacing w:line="240" w:lineRule="auto"/>
              <w:rPr>
                <w:rFonts w:ascii="Calibri" w:hAnsi="Calibri" w:eastAsia="Calibri" w:cs="Calibri"/>
                <w:b/>
                <w:color w:val="000000"/>
                <w:sz w:val="22"/>
                <w:szCs w:val="22"/>
                <w:lang w:val="en-GB"/>
              </w:rPr>
            </w:pPr>
          </w:p>
        </w:tc>
      </w:tr>
      <w:tr w14:paraId="6325B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59029C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registration</w:t>
            </w:r>
          </w:p>
        </w:tc>
        <w:tc>
          <w:tcPr>
            <w:tcW w:w="992" w:type="dxa"/>
          </w:tcPr>
          <w:p w14:paraId="169EB1A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w:t>
            </w:r>
          </w:p>
        </w:tc>
        <w:tc>
          <w:tcPr>
            <w:tcW w:w="9356" w:type="dxa"/>
          </w:tcPr>
          <w:p w14:paraId="6110F8C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Name of trial registry, identifying number (with URL) and date of registration</w:t>
            </w:r>
          </w:p>
        </w:tc>
        <w:tc>
          <w:tcPr>
            <w:tcW w:w="1417" w:type="dxa"/>
          </w:tcPr>
          <w:p w14:paraId="5384896B">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3</w:t>
            </w:r>
          </w:p>
        </w:tc>
      </w:tr>
      <w:tr w14:paraId="5732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3979146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Protocol and statistical analysis plan</w:t>
            </w:r>
          </w:p>
        </w:tc>
        <w:tc>
          <w:tcPr>
            <w:tcW w:w="992" w:type="dxa"/>
          </w:tcPr>
          <w:p w14:paraId="7510EBB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w:t>
            </w:r>
          </w:p>
        </w:tc>
        <w:tc>
          <w:tcPr>
            <w:tcW w:w="9356" w:type="dxa"/>
          </w:tcPr>
          <w:p w14:paraId="2530AB9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the trial protocol and statistical analysis plan can be accessed</w:t>
            </w:r>
          </w:p>
        </w:tc>
        <w:tc>
          <w:tcPr>
            <w:tcW w:w="1417" w:type="dxa"/>
          </w:tcPr>
          <w:p w14:paraId="628ED577">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6-11</w:t>
            </w:r>
          </w:p>
        </w:tc>
      </w:tr>
      <w:tr w14:paraId="5457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tcPr>
          <w:p w14:paraId="522B7D7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Data sharing</w:t>
            </w:r>
          </w:p>
        </w:tc>
        <w:tc>
          <w:tcPr>
            <w:tcW w:w="992" w:type="dxa"/>
          </w:tcPr>
          <w:p w14:paraId="697875C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4</w:t>
            </w:r>
          </w:p>
        </w:tc>
        <w:tc>
          <w:tcPr>
            <w:tcW w:w="9356" w:type="dxa"/>
          </w:tcPr>
          <w:p w14:paraId="4D4B145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13-14</w:t>
            </w:r>
          </w:p>
        </w:tc>
      </w:tr>
      <w:tr w14:paraId="53FD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restart"/>
          </w:tcPr>
          <w:p w14:paraId="47802CC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Funding and conflicts of interest</w:t>
            </w:r>
          </w:p>
        </w:tc>
        <w:tc>
          <w:tcPr>
            <w:tcW w:w="992" w:type="dxa"/>
          </w:tcPr>
          <w:p w14:paraId="1B41FA2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5a</w:t>
            </w:r>
          </w:p>
        </w:tc>
        <w:tc>
          <w:tcPr>
            <w:tcW w:w="9356" w:type="dxa"/>
          </w:tcPr>
          <w:p w14:paraId="4D265E5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23</w:t>
            </w:r>
          </w:p>
        </w:tc>
      </w:tr>
      <w:tr w14:paraId="0D64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2" w:hRule="atLeast"/>
        </w:trPr>
        <w:tc>
          <w:tcPr>
            <w:tcW w:w="2547" w:type="dxa"/>
            <w:vMerge w:val="continue"/>
          </w:tcPr>
          <w:p w14:paraId="33AB9D71">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9C3C9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5b</w:t>
            </w:r>
          </w:p>
        </w:tc>
        <w:tc>
          <w:tcPr>
            <w:tcW w:w="9356" w:type="dxa"/>
          </w:tcPr>
          <w:p w14:paraId="471BB7B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Financial and other conflicts of interest of the manuscript authors</w:t>
            </w:r>
          </w:p>
        </w:tc>
        <w:tc>
          <w:tcPr>
            <w:tcW w:w="1417" w:type="dxa"/>
          </w:tcPr>
          <w:p w14:paraId="2C85AC6B">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23</w:t>
            </w:r>
          </w:p>
        </w:tc>
      </w:tr>
      <w:tr w14:paraId="6808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571BFEBF">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Introduction</w:t>
            </w:r>
          </w:p>
        </w:tc>
        <w:tc>
          <w:tcPr>
            <w:tcW w:w="1417" w:type="dxa"/>
            <w:shd w:val="clear" w:color="auto" w:fill="C6D9F0" w:themeFill="text2" w:themeFillTint="33"/>
          </w:tcPr>
          <w:p w14:paraId="32FD8D83">
            <w:pPr>
              <w:spacing w:line="240" w:lineRule="auto"/>
              <w:rPr>
                <w:rFonts w:ascii="Calibri" w:hAnsi="Calibri" w:eastAsia="Calibri" w:cs="Calibri"/>
                <w:b/>
                <w:color w:val="000000"/>
                <w:sz w:val="22"/>
                <w:szCs w:val="22"/>
                <w:lang w:val="en-GB"/>
              </w:rPr>
            </w:pPr>
          </w:p>
        </w:tc>
      </w:tr>
      <w:tr w14:paraId="37A3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1" w:hRule="atLeast"/>
        </w:trPr>
        <w:tc>
          <w:tcPr>
            <w:tcW w:w="2547" w:type="dxa"/>
            <w:tcBorders>
              <w:bottom w:val="single" w:color="000000" w:sz="4" w:space="0"/>
            </w:tcBorders>
          </w:tcPr>
          <w:p w14:paraId="36CFF56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Background and rationale</w:t>
            </w:r>
          </w:p>
        </w:tc>
        <w:tc>
          <w:tcPr>
            <w:tcW w:w="992" w:type="dxa"/>
            <w:tcBorders>
              <w:bottom w:val="single" w:color="000000" w:sz="4" w:space="0"/>
            </w:tcBorders>
          </w:tcPr>
          <w:p w14:paraId="630536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6</w:t>
            </w:r>
          </w:p>
        </w:tc>
        <w:tc>
          <w:tcPr>
            <w:tcW w:w="9356" w:type="dxa"/>
          </w:tcPr>
          <w:p w14:paraId="5A09739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Scientific background and rationale</w:t>
            </w:r>
          </w:p>
        </w:tc>
        <w:tc>
          <w:tcPr>
            <w:tcW w:w="1417" w:type="dxa"/>
          </w:tcPr>
          <w:p w14:paraId="3333AA56">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4-5</w:t>
            </w:r>
          </w:p>
        </w:tc>
      </w:tr>
      <w:tr w14:paraId="55C5B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Align w:val="center"/>
          </w:tcPr>
          <w:p w14:paraId="12B554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Objectives</w:t>
            </w:r>
          </w:p>
        </w:tc>
        <w:tc>
          <w:tcPr>
            <w:tcW w:w="992" w:type="dxa"/>
          </w:tcPr>
          <w:p w14:paraId="517F8E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7</w:t>
            </w:r>
          </w:p>
        </w:tc>
        <w:tc>
          <w:tcPr>
            <w:tcW w:w="9356" w:type="dxa"/>
          </w:tcPr>
          <w:p w14:paraId="2591646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Specific objectives related to benefits and harms</w:t>
            </w:r>
          </w:p>
        </w:tc>
        <w:tc>
          <w:tcPr>
            <w:tcW w:w="1417" w:type="dxa"/>
          </w:tcPr>
          <w:p w14:paraId="70B2DB04">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5</w:t>
            </w:r>
          </w:p>
        </w:tc>
      </w:tr>
      <w:tr w14:paraId="1B31C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1C08DDCD">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Methods</w:t>
            </w:r>
          </w:p>
        </w:tc>
        <w:tc>
          <w:tcPr>
            <w:tcW w:w="1417" w:type="dxa"/>
            <w:shd w:val="clear" w:color="auto" w:fill="C6D9F0" w:themeFill="text2" w:themeFillTint="33"/>
          </w:tcPr>
          <w:p w14:paraId="61DDDBB5">
            <w:pPr>
              <w:spacing w:line="240" w:lineRule="auto"/>
              <w:rPr>
                <w:rFonts w:ascii="Calibri" w:hAnsi="Calibri" w:eastAsia="Calibri" w:cs="Calibri"/>
                <w:b/>
                <w:color w:val="000000"/>
                <w:sz w:val="22"/>
                <w:szCs w:val="22"/>
                <w:lang w:val="en-GB"/>
              </w:rPr>
            </w:pPr>
          </w:p>
        </w:tc>
      </w:tr>
      <w:tr w14:paraId="05C5A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8" w:hRule="atLeast"/>
        </w:trPr>
        <w:tc>
          <w:tcPr>
            <w:tcW w:w="2547" w:type="dxa"/>
          </w:tcPr>
          <w:p w14:paraId="6102716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Patient and public involvement</w:t>
            </w:r>
          </w:p>
        </w:tc>
        <w:tc>
          <w:tcPr>
            <w:tcW w:w="992" w:type="dxa"/>
          </w:tcPr>
          <w:p w14:paraId="35C4EF4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8</w:t>
            </w:r>
          </w:p>
        </w:tc>
        <w:tc>
          <w:tcPr>
            <w:tcW w:w="9356" w:type="dxa"/>
          </w:tcPr>
          <w:p w14:paraId="5F1D655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Details of patient or public involvement in the design, conduct and reporting of the trial</w:t>
            </w:r>
          </w:p>
        </w:tc>
        <w:tc>
          <w:tcPr>
            <w:tcW w:w="1417" w:type="dxa"/>
          </w:tcPr>
          <w:p w14:paraId="736CE81D">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6</w:t>
            </w:r>
          </w:p>
        </w:tc>
      </w:tr>
      <w:tr w14:paraId="1118C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7" w:hRule="atLeast"/>
        </w:trPr>
        <w:tc>
          <w:tcPr>
            <w:tcW w:w="2547" w:type="dxa"/>
          </w:tcPr>
          <w:p w14:paraId="0B3B044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design</w:t>
            </w:r>
          </w:p>
        </w:tc>
        <w:tc>
          <w:tcPr>
            <w:tcW w:w="992" w:type="dxa"/>
          </w:tcPr>
          <w:p w14:paraId="72205B9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9</w:t>
            </w:r>
          </w:p>
        </w:tc>
        <w:tc>
          <w:tcPr>
            <w:tcW w:w="9356" w:type="dxa"/>
          </w:tcPr>
          <w:p w14:paraId="5E662EA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7-9</w:t>
            </w:r>
          </w:p>
        </w:tc>
      </w:tr>
      <w:tr w14:paraId="3B0F7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547" w:type="dxa"/>
          </w:tcPr>
          <w:p w14:paraId="7D9C827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Changes to trial protocol</w:t>
            </w:r>
          </w:p>
        </w:tc>
        <w:tc>
          <w:tcPr>
            <w:tcW w:w="992" w:type="dxa"/>
          </w:tcPr>
          <w:p w14:paraId="784655B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10</w:t>
            </w:r>
          </w:p>
        </w:tc>
        <w:tc>
          <w:tcPr>
            <w:tcW w:w="9356" w:type="dxa"/>
          </w:tcPr>
          <w:p w14:paraId="3D532DC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Important changes to the trial after it commenced including any outcomes or analyses that were not prespecified, with reason</w:t>
            </w:r>
          </w:p>
        </w:tc>
        <w:tc>
          <w:tcPr>
            <w:tcW w:w="1417" w:type="dxa"/>
          </w:tcPr>
          <w:p w14:paraId="58F0C5A6">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18EE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tcPr>
          <w:p w14:paraId="5BFE68B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setting</w:t>
            </w:r>
          </w:p>
        </w:tc>
        <w:tc>
          <w:tcPr>
            <w:tcW w:w="992" w:type="dxa"/>
          </w:tcPr>
          <w:p w14:paraId="4A046B8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11</w:t>
            </w:r>
          </w:p>
        </w:tc>
        <w:tc>
          <w:tcPr>
            <w:tcW w:w="9356" w:type="dxa"/>
          </w:tcPr>
          <w:p w14:paraId="269E109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Settings (e.g., community, hospital) and locations (e.g., countries, sites) where the trial was conducted</w:t>
            </w:r>
          </w:p>
        </w:tc>
        <w:tc>
          <w:tcPr>
            <w:tcW w:w="1417" w:type="dxa"/>
          </w:tcPr>
          <w:p w14:paraId="266DD31E">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134A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restart"/>
            <w:vAlign w:val="center"/>
          </w:tcPr>
          <w:p w14:paraId="1FDD4F7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w:t>
            </w:r>
          </w:p>
        </w:tc>
        <w:tc>
          <w:tcPr>
            <w:tcW w:w="992" w:type="dxa"/>
          </w:tcPr>
          <w:p w14:paraId="083D8C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12a</w:t>
            </w:r>
          </w:p>
        </w:tc>
        <w:tc>
          <w:tcPr>
            <w:tcW w:w="9356" w:type="dxa"/>
          </w:tcPr>
          <w:p w14:paraId="3C4A8E8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Eligibility criteria for participants</w:t>
            </w:r>
          </w:p>
        </w:tc>
        <w:tc>
          <w:tcPr>
            <w:tcW w:w="1417" w:type="dxa"/>
          </w:tcPr>
          <w:p w14:paraId="3128EB9A">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w:t>
            </w:r>
          </w:p>
        </w:tc>
      </w:tr>
      <w:tr w14:paraId="2E198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vAlign w:val="center"/>
          </w:tcPr>
          <w:p w14:paraId="37DCF479">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29BA2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12b</w:t>
            </w:r>
          </w:p>
        </w:tc>
        <w:tc>
          <w:tcPr>
            <w:tcW w:w="9356" w:type="dxa"/>
          </w:tcPr>
          <w:p w14:paraId="17B5A22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applicable, eligibility criteria for sites and for individuals delivering the interventions (e.g., surgeons, physiotherapists)</w:t>
            </w:r>
          </w:p>
        </w:tc>
        <w:tc>
          <w:tcPr>
            <w:tcW w:w="1417" w:type="dxa"/>
          </w:tcPr>
          <w:p w14:paraId="6D568B99">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8</w:t>
            </w:r>
          </w:p>
        </w:tc>
      </w:tr>
      <w:tr w14:paraId="72C2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63" w:hRule="atLeast"/>
        </w:trPr>
        <w:tc>
          <w:tcPr>
            <w:tcW w:w="2547" w:type="dxa"/>
          </w:tcPr>
          <w:p w14:paraId="23EE01E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w:t>
            </w:r>
          </w:p>
        </w:tc>
        <w:tc>
          <w:tcPr>
            <w:tcW w:w="992" w:type="dxa"/>
          </w:tcPr>
          <w:p w14:paraId="7CCB2186">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13</w:t>
            </w:r>
          </w:p>
        </w:tc>
        <w:tc>
          <w:tcPr>
            <w:tcW w:w="9356" w:type="dxa"/>
          </w:tcPr>
          <w:p w14:paraId="17D21D8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with sufficient details to allow replication. If relevant, where additional materials describing the intervention and comparator (e.g., intervention manual) can be accessed</w:t>
            </w:r>
          </w:p>
        </w:tc>
        <w:tc>
          <w:tcPr>
            <w:tcW w:w="1417" w:type="dxa"/>
          </w:tcPr>
          <w:p w14:paraId="3D06E337">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8</w:t>
            </w:r>
          </w:p>
        </w:tc>
      </w:tr>
      <w:tr w14:paraId="2D3DE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614" w:hRule="atLeast"/>
        </w:trPr>
        <w:tc>
          <w:tcPr>
            <w:tcW w:w="2547" w:type="dxa"/>
          </w:tcPr>
          <w:p w14:paraId="273E4E1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w:t>
            </w:r>
          </w:p>
        </w:tc>
        <w:tc>
          <w:tcPr>
            <w:tcW w:w="992" w:type="dxa"/>
          </w:tcPr>
          <w:p w14:paraId="1C478860">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14</w:t>
            </w:r>
          </w:p>
          <w:p w14:paraId="7F479C8B">
            <w:pPr>
              <w:spacing w:line="240" w:lineRule="auto"/>
              <w:jc w:val="center"/>
              <w:rPr>
                <w:rFonts w:ascii="Calibri" w:hAnsi="Calibri" w:eastAsia="Calibri" w:cs="Calibri"/>
                <w:color w:val="000000"/>
                <w:sz w:val="22"/>
                <w:szCs w:val="22"/>
                <w:lang w:val="en-GB"/>
              </w:rPr>
            </w:pPr>
          </w:p>
        </w:tc>
        <w:tc>
          <w:tcPr>
            <w:tcW w:w="9356" w:type="dxa"/>
          </w:tcPr>
          <w:p w14:paraId="794D803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9</w:t>
            </w:r>
          </w:p>
        </w:tc>
      </w:tr>
      <w:tr w14:paraId="58D12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39" w:hRule="atLeast"/>
        </w:trPr>
        <w:tc>
          <w:tcPr>
            <w:tcW w:w="2547" w:type="dxa"/>
          </w:tcPr>
          <w:p w14:paraId="3A9C2505">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1344FFA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15</w:t>
            </w:r>
          </w:p>
        </w:tc>
        <w:tc>
          <w:tcPr>
            <w:tcW w:w="9356" w:type="dxa"/>
          </w:tcPr>
          <w:p w14:paraId="591013B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harms were defined and assessed (e.g., systematically, non-systematically)</w:t>
            </w:r>
          </w:p>
        </w:tc>
        <w:tc>
          <w:tcPr>
            <w:tcW w:w="1417" w:type="dxa"/>
          </w:tcPr>
          <w:p w14:paraId="5D66BF02">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9</w:t>
            </w:r>
          </w:p>
        </w:tc>
      </w:tr>
      <w:tr w14:paraId="6297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restart"/>
          </w:tcPr>
          <w:p w14:paraId="6A7FA31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Sample size</w:t>
            </w:r>
          </w:p>
        </w:tc>
        <w:tc>
          <w:tcPr>
            <w:tcW w:w="992" w:type="dxa"/>
          </w:tcPr>
          <w:p w14:paraId="3D9FEE9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16a</w:t>
            </w:r>
          </w:p>
        </w:tc>
        <w:tc>
          <w:tcPr>
            <w:tcW w:w="9356" w:type="dxa"/>
          </w:tcPr>
          <w:p w14:paraId="3B91C74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sample size was determined, including all assumptions supporting the sample size calculation</w:t>
            </w:r>
          </w:p>
        </w:tc>
        <w:tc>
          <w:tcPr>
            <w:tcW w:w="1417" w:type="dxa"/>
          </w:tcPr>
          <w:p w14:paraId="180AD32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w:t>
            </w:r>
          </w:p>
        </w:tc>
      </w:tr>
      <w:tr w14:paraId="3656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3" w:hRule="atLeast"/>
        </w:trPr>
        <w:tc>
          <w:tcPr>
            <w:tcW w:w="2547" w:type="dxa"/>
            <w:vMerge w:val="continue"/>
          </w:tcPr>
          <w:p w14:paraId="5EE3997D">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5C8443C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16b</w:t>
            </w:r>
          </w:p>
        </w:tc>
        <w:tc>
          <w:tcPr>
            <w:tcW w:w="9356" w:type="dxa"/>
          </w:tcPr>
          <w:p w14:paraId="5929DED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Explanation of any interim analyses and stopping guidelines</w:t>
            </w:r>
          </w:p>
        </w:tc>
        <w:tc>
          <w:tcPr>
            <w:tcW w:w="1417" w:type="dxa"/>
          </w:tcPr>
          <w:p w14:paraId="74EBB04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w:t>
            </w:r>
          </w:p>
        </w:tc>
      </w:tr>
      <w:tr w14:paraId="7CF31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tcPr>
          <w:p w14:paraId="1D2AE3F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Randomisation:</w:t>
            </w:r>
          </w:p>
        </w:tc>
        <w:tc>
          <w:tcPr>
            <w:tcW w:w="992" w:type="dxa"/>
          </w:tcPr>
          <w:p w14:paraId="11796DC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9356" w:type="dxa"/>
          </w:tcPr>
          <w:p w14:paraId="7A75315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w:t>
            </w:r>
          </w:p>
        </w:tc>
        <w:tc>
          <w:tcPr>
            <w:tcW w:w="1417" w:type="dxa"/>
          </w:tcPr>
          <w:p w14:paraId="036862A2">
            <w:pPr>
              <w:spacing w:line="240" w:lineRule="auto"/>
              <w:rPr>
                <w:rFonts w:ascii="Calibri" w:hAnsi="Calibri" w:eastAsia="Calibri" w:cs="Calibri"/>
                <w:color w:val="000000"/>
                <w:sz w:val="22"/>
                <w:szCs w:val="22"/>
                <w:lang w:val="en-GB"/>
              </w:rPr>
            </w:pPr>
          </w:p>
        </w:tc>
      </w:tr>
      <w:tr w14:paraId="4537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6" w:hRule="atLeast"/>
        </w:trPr>
        <w:tc>
          <w:tcPr>
            <w:tcW w:w="2547" w:type="dxa"/>
            <w:vMerge w:val="restart"/>
          </w:tcPr>
          <w:p w14:paraId="15B2BB96">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Sequence generation</w:t>
            </w:r>
          </w:p>
        </w:tc>
        <w:tc>
          <w:tcPr>
            <w:tcW w:w="992" w:type="dxa"/>
          </w:tcPr>
          <w:p w14:paraId="04D32F8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17a</w:t>
            </w:r>
          </w:p>
        </w:tc>
        <w:tc>
          <w:tcPr>
            <w:tcW w:w="9356" w:type="dxa"/>
          </w:tcPr>
          <w:p w14:paraId="34D407B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Who generated the random allocation sequence and the method used</w:t>
            </w:r>
          </w:p>
        </w:tc>
        <w:tc>
          <w:tcPr>
            <w:tcW w:w="1417" w:type="dxa"/>
          </w:tcPr>
          <w:p w14:paraId="50468870">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6,8</w:t>
            </w:r>
          </w:p>
        </w:tc>
      </w:tr>
      <w:tr w14:paraId="14EC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5" w:hRule="atLeast"/>
        </w:trPr>
        <w:tc>
          <w:tcPr>
            <w:tcW w:w="2547" w:type="dxa"/>
            <w:vMerge w:val="continue"/>
          </w:tcPr>
          <w:p w14:paraId="0F443E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482760AD">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17b</w:t>
            </w:r>
          </w:p>
        </w:tc>
        <w:tc>
          <w:tcPr>
            <w:tcW w:w="9356" w:type="dxa"/>
          </w:tcPr>
          <w:p w14:paraId="29B4B76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Type of randomisation and details of any restriction (e.g., stratification, blocking and block size)</w:t>
            </w:r>
          </w:p>
        </w:tc>
        <w:tc>
          <w:tcPr>
            <w:tcW w:w="1417" w:type="dxa"/>
          </w:tcPr>
          <w:p w14:paraId="6BFED71E">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6,8</w:t>
            </w:r>
          </w:p>
        </w:tc>
      </w:tr>
      <w:tr w14:paraId="30B7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44" w:hRule="atLeast"/>
        </w:trPr>
        <w:tc>
          <w:tcPr>
            <w:tcW w:w="2547" w:type="dxa"/>
          </w:tcPr>
          <w:p w14:paraId="50619AAE">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Allocation concealment mechanism</w:t>
            </w:r>
          </w:p>
        </w:tc>
        <w:tc>
          <w:tcPr>
            <w:tcW w:w="992" w:type="dxa"/>
          </w:tcPr>
          <w:p w14:paraId="4B77DA4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18</w:t>
            </w:r>
          </w:p>
        </w:tc>
        <w:tc>
          <w:tcPr>
            <w:tcW w:w="9356" w:type="dxa"/>
          </w:tcPr>
          <w:p w14:paraId="4FFCCFA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8</w:t>
            </w:r>
          </w:p>
        </w:tc>
      </w:tr>
      <w:tr w14:paraId="68535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8" w:hRule="atLeast"/>
        </w:trPr>
        <w:tc>
          <w:tcPr>
            <w:tcW w:w="2547" w:type="dxa"/>
          </w:tcPr>
          <w:p w14:paraId="1669B1E1">
            <w:pPr>
              <w:spacing w:line="240" w:lineRule="auto"/>
              <w:ind w:left="113"/>
              <w:rPr>
                <w:rFonts w:ascii="Calibri" w:hAnsi="Calibri" w:eastAsia="Calibri" w:cs="Calibri"/>
                <w:color w:val="000000"/>
                <w:sz w:val="22"/>
                <w:szCs w:val="22"/>
                <w:lang w:val="en-GB"/>
              </w:rPr>
            </w:pPr>
            <w:r>
              <w:rPr>
                <w:rFonts w:ascii="Calibri" w:hAnsi="Calibri" w:eastAsia="Calibri" w:cs="Calibri"/>
                <w:color w:val="000000"/>
                <w:sz w:val="22"/>
                <w:szCs w:val="22"/>
                <w:lang w:val="en-GB"/>
              </w:rPr>
              <w:t>Implementation</w:t>
            </w:r>
          </w:p>
        </w:tc>
        <w:tc>
          <w:tcPr>
            <w:tcW w:w="992" w:type="dxa"/>
          </w:tcPr>
          <w:p w14:paraId="6FD9CBB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19</w:t>
            </w:r>
          </w:p>
        </w:tc>
        <w:tc>
          <w:tcPr>
            <w:tcW w:w="9356" w:type="dxa"/>
          </w:tcPr>
          <w:p w14:paraId="1168460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pPr>
              <w:spacing w:line="240" w:lineRule="auto"/>
              <w:rPr>
                <w:rFonts w:hint="eastAsia"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8</w:t>
            </w:r>
          </w:p>
        </w:tc>
      </w:tr>
      <w:tr w14:paraId="14AA8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1" w:hRule="atLeast"/>
        </w:trPr>
        <w:tc>
          <w:tcPr>
            <w:tcW w:w="2547" w:type="dxa"/>
            <w:vMerge w:val="restart"/>
          </w:tcPr>
          <w:p w14:paraId="6035012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Blinding</w:t>
            </w:r>
          </w:p>
        </w:tc>
        <w:tc>
          <w:tcPr>
            <w:tcW w:w="992" w:type="dxa"/>
          </w:tcPr>
          <w:p w14:paraId="6C79645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20a</w:t>
            </w:r>
          </w:p>
        </w:tc>
        <w:tc>
          <w:tcPr>
            <w:tcW w:w="9356" w:type="dxa"/>
          </w:tcPr>
          <w:p w14:paraId="080A780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8-10</w:t>
            </w:r>
          </w:p>
        </w:tc>
      </w:tr>
      <w:tr w14:paraId="1957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4" w:hRule="atLeast"/>
        </w:trPr>
        <w:tc>
          <w:tcPr>
            <w:tcW w:w="2547" w:type="dxa"/>
            <w:vMerge w:val="continue"/>
          </w:tcPr>
          <w:p w14:paraId="6DDD68B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6207EAC2">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20b</w:t>
            </w:r>
          </w:p>
        </w:tc>
        <w:tc>
          <w:tcPr>
            <w:tcW w:w="9356" w:type="dxa"/>
          </w:tcPr>
          <w:p w14:paraId="64C5F50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blinded, how blinding was achieved and description of the similarity of interventions</w:t>
            </w:r>
          </w:p>
        </w:tc>
        <w:tc>
          <w:tcPr>
            <w:tcW w:w="1417" w:type="dxa"/>
          </w:tcPr>
          <w:p w14:paraId="795AB5B0">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8-10</w:t>
            </w:r>
          </w:p>
        </w:tc>
      </w:tr>
      <w:tr w14:paraId="039E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restart"/>
          </w:tcPr>
          <w:p w14:paraId="3E5EB1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w:t>
            </w:r>
          </w:p>
        </w:tc>
        <w:tc>
          <w:tcPr>
            <w:tcW w:w="992" w:type="dxa"/>
          </w:tcPr>
          <w:p w14:paraId="51D15D6E">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21a</w:t>
            </w:r>
          </w:p>
        </w:tc>
        <w:tc>
          <w:tcPr>
            <w:tcW w:w="9356" w:type="dxa"/>
          </w:tcPr>
          <w:p w14:paraId="67FA2D0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Statistical methods used to compare groups for primary and secondary outcomes, including harms</w:t>
            </w:r>
          </w:p>
        </w:tc>
        <w:tc>
          <w:tcPr>
            <w:tcW w:w="1417" w:type="dxa"/>
          </w:tcPr>
          <w:p w14:paraId="1C79083E">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10-12</w:t>
            </w:r>
          </w:p>
        </w:tc>
      </w:tr>
      <w:tr w14:paraId="06CA6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7629AC0E">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37BA8421">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21b</w:t>
            </w:r>
          </w:p>
        </w:tc>
        <w:tc>
          <w:tcPr>
            <w:tcW w:w="9356" w:type="dxa"/>
          </w:tcPr>
          <w:p w14:paraId="096BC753">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Definition of who is included in each analysis (e.g., all randomised participants), and in which group</w:t>
            </w:r>
          </w:p>
        </w:tc>
        <w:tc>
          <w:tcPr>
            <w:tcW w:w="1417" w:type="dxa"/>
          </w:tcPr>
          <w:p w14:paraId="6622E359">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10-12</w:t>
            </w:r>
          </w:p>
        </w:tc>
      </w:tr>
      <w:tr w14:paraId="35065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2547" w:type="dxa"/>
            <w:vMerge w:val="continue"/>
          </w:tcPr>
          <w:p w14:paraId="1EBB0B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8B0EF0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21c</w:t>
            </w:r>
          </w:p>
        </w:tc>
        <w:tc>
          <w:tcPr>
            <w:tcW w:w="9356" w:type="dxa"/>
          </w:tcPr>
          <w:p w14:paraId="06CE57A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How missing data were handled in the analysis</w:t>
            </w:r>
          </w:p>
        </w:tc>
        <w:tc>
          <w:tcPr>
            <w:tcW w:w="1417" w:type="dxa"/>
          </w:tcPr>
          <w:p w14:paraId="295B5602">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10-12</w:t>
            </w:r>
          </w:p>
        </w:tc>
      </w:tr>
      <w:tr w14:paraId="1498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7" w:hRule="atLeast"/>
        </w:trPr>
        <w:tc>
          <w:tcPr>
            <w:tcW w:w="2547" w:type="dxa"/>
            <w:vMerge w:val="continue"/>
          </w:tcPr>
          <w:p w14:paraId="5074136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018E21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21d</w:t>
            </w:r>
          </w:p>
        </w:tc>
        <w:tc>
          <w:tcPr>
            <w:tcW w:w="9356" w:type="dxa"/>
          </w:tcPr>
          <w:p w14:paraId="25A70C8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Methods for any additional analyses (e.g., subgroup and sensitivity analyses), distinguishing prespecified from post-hoc</w:t>
            </w:r>
          </w:p>
        </w:tc>
        <w:tc>
          <w:tcPr>
            <w:tcW w:w="1417" w:type="dxa"/>
          </w:tcPr>
          <w:p w14:paraId="710D1F83">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10-12</w:t>
            </w:r>
          </w:p>
        </w:tc>
      </w:tr>
      <w:tr w14:paraId="3F41C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vAlign w:val="bottom"/>
          </w:tcPr>
          <w:p w14:paraId="42D9F967">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Results</w:t>
            </w:r>
          </w:p>
        </w:tc>
        <w:tc>
          <w:tcPr>
            <w:tcW w:w="1417" w:type="dxa"/>
            <w:shd w:val="clear" w:color="auto" w:fill="C6D9F0" w:themeFill="text2" w:themeFillTint="33"/>
          </w:tcPr>
          <w:p w14:paraId="6166F990">
            <w:pPr>
              <w:spacing w:line="240" w:lineRule="auto"/>
              <w:rPr>
                <w:rFonts w:ascii="Calibri" w:hAnsi="Calibri" w:eastAsia="Calibri" w:cs="Calibri"/>
                <w:b/>
                <w:color w:val="000000"/>
                <w:sz w:val="22"/>
                <w:szCs w:val="22"/>
                <w:lang w:val="en-GB"/>
              </w:rPr>
            </w:pPr>
          </w:p>
        </w:tc>
      </w:tr>
      <w:tr w14:paraId="510F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09" w:hRule="atLeast"/>
        </w:trPr>
        <w:tc>
          <w:tcPr>
            <w:tcW w:w="2547" w:type="dxa"/>
            <w:vMerge w:val="restart"/>
          </w:tcPr>
          <w:p w14:paraId="5A5782B0">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Participant flow, including flow diagram</w:t>
            </w:r>
          </w:p>
        </w:tc>
        <w:tc>
          <w:tcPr>
            <w:tcW w:w="992" w:type="dxa"/>
          </w:tcPr>
          <w:p w14:paraId="6A3D7D97">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22a</w:t>
            </w:r>
          </w:p>
        </w:tc>
        <w:tc>
          <w:tcPr>
            <w:tcW w:w="9356" w:type="dxa"/>
          </w:tcPr>
          <w:p w14:paraId="5407FA0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the numbers of participants who were randomly assigned, received intended intervention, and were analysed for the primary outcome</w:t>
            </w:r>
          </w:p>
        </w:tc>
        <w:tc>
          <w:tcPr>
            <w:tcW w:w="1417" w:type="dxa"/>
          </w:tcPr>
          <w:p w14:paraId="5DEF8ECA">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Figure1</w:t>
            </w:r>
          </w:p>
        </w:tc>
      </w:tr>
      <w:tr w14:paraId="2FE6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9" w:hRule="atLeast"/>
        </w:trPr>
        <w:tc>
          <w:tcPr>
            <w:tcW w:w="2547" w:type="dxa"/>
            <w:vMerge w:val="continue"/>
          </w:tcPr>
          <w:p w14:paraId="5CE6010C">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7EC31A7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22b</w:t>
            </w:r>
          </w:p>
        </w:tc>
        <w:tc>
          <w:tcPr>
            <w:tcW w:w="9356" w:type="dxa"/>
          </w:tcPr>
          <w:p w14:paraId="1DDC84F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For each group, losses and exclusions after randomisation, together with reasons</w:t>
            </w:r>
          </w:p>
        </w:tc>
        <w:tc>
          <w:tcPr>
            <w:tcW w:w="1417" w:type="dxa"/>
          </w:tcPr>
          <w:p w14:paraId="71AA61D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Figure1</w:t>
            </w:r>
          </w:p>
        </w:tc>
      </w:tr>
      <w:tr w14:paraId="59CD0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1" w:hRule="atLeast"/>
        </w:trPr>
        <w:tc>
          <w:tcPr>
            <w:tcW w:w="2547" w:type="dxa"/>
            <w:vMerge w:val="restart"/>
          </w:tcPr>
          <w:p w14:paraId="333D7287">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Recruitment</w:t>
            </w:r>
          </w:p>
        </w:tc>
        <w:tc>
          <w:tcPr>
            <w:tcW w:w="992" w:type="dxa"/>
          </w:tcPr>
          <w:p w14:paraId="575F7DFB">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23a</w:t>
            </w:r>
          </w:p>
        </w:tc>
        <w:tc>
          <w:tcPr>
            <w:tcW w:w="9356" w:type="dxa"/>
          </w:tcPr>
          <w:p w14:paraId="0570F75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Dates defining the periods of recruitment and follow-up for outcomes of benefits and harms</w:t>
            </w:r>
          </w:p>
        </w:tc>
        <w:tc>
          <w:tcPr>
            <w:tcW w:w="1417" w:type="dxa"/>
          </w:tcPr>
          <w:p w14:paraId="0798090E">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9-10</w:t>
            </w:r>
          </w:p>
        </w:tc>
      </w:tr>
      <w:tr w14:paraId="09AF0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2547" w:type="dxa"/>
            <w:vMerge w:val="continue"/>
          </w:tcPr>
          <w:p w14:paraId="2ADD8395">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0F0DBAC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23b</w:t>
            </w:r>
          </w:p>
        </w:tc>
        <w:tc>
          <w:tcPr>
            <w:tcW w:w="9356" w:type="dxa"/>
          </w:tcPr>
          <w:p w14:paraId="1CC3415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If relevant, why the trial ended or was stopped</w:t>
            </w:r>
          </w:p>
        </w:tc>
        <w:tc>
          <w:tcPr>
            <w:tcW w:w="1417" w:type="dxa"/>
          </w:tcPr>
          <w:p w14:paraId="105B15A1">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7-9</w:t>
            </w:r>
          </w:p>
        </w:tc>
      </w:tr>
      <w:tr w14:paraId="6606A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1" w:hRule="atLeast"/>
        </w:trPr>
        <w:tc>
          <w:tcPr>
            <w:tcW w:w="2547" w:type="dxa"/>
            <w:vMerge w:val="restart"/>
          </w:tcPr>
          <w:p w14:paraId="1B3138DF">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Intervention and comparator delivery</w:t>
            </w:r>
          </w:p>
        </w:tc>
        <w:tc>
          <w:tcPr>
            <w:tcW w:w="992" w:type="dxa"/>
          </w:tcPr>
          <w:p w14:paraId="4A5F7AFC">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24a</w:t>
            </w:r>
          </w:p>
        </w:tc>
        <w:tc>
          <w:tcPr>
            <w:tcW w:w="9356" w:type="dxa"/>
          </w:tcPr>
          <w:p w14:paraId="4BFDE35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Intervention and comparator as they were actually administered (e.g., where appropriate, who delivered the intervention/comparator, how participants adhered, whether they were delivered as intended [fidelity]) </w:t>
            </w:r>
          </w:p>
        </w:tc>
        <w:tc>
          <w:tcPr>
            <w:tcW w:w="1417" w:type="dxa"/>
          </w:tcPr>
          <w:p w14:paraId="33641150">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7-9</w:t>
            </w:r>
          </w:p>
        </w:tc>
      </w:tr>
      <w:tr w14:paraId="0339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vMerge w:val="continue"/>
          </w:tcPr>
          <w:p w14:paraId="29860036">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Calibri" w:hAnsi="Calibri" w:eastAsia="Calibri" w:cs="Calibri"/>
                <w:color w:val="000000"/>
                <w:sz w:val="22"/>
                <w:szCs w:val="22"/>
                <w:lang w:val="en-GB"/>
              </w:rPr>
            </w:pPr>
          </w:p>
        </w:tc>
        <w:tc>
          <w:tcPr>
            <w:tcW w:w="992" w:type="dxa"/>
          </w:tcPr>
          <w:p w14:paraId="14C2CFE4">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24b</w:t>
            </w:r>
          </w:p>
        </w:tc>
        <w:tc>
          <w:tcPr>
            <w:tcW w:w="9356" w:type="dxa"/>
          </w:tcPr>
          <w:p w14:paraId="10AE211E">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Concomitant care received during the trial for each group</w:t>
            </w:r>
          </w:p>
        </w:tc>
        <w:tc>
          <w:tcPr>
            <w:tcW w:w="1417" w:type="dxa"/>
          </w:tcPr>
          <w:p w14:paraId="0A4B9B49">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7-9</w:t>
            </w:r>
          </w:p>
        </w:tc>
      </w:tr>
      <w:tr w14:paraId="63F6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43" w:hRule="atLeast"/>
        </w:trPr>
        <w:tc>
          <w:tcPr>
            <w:tcW w:w="2547" w:type="dxa"/>
          </w:tcPr>
          <w:p w14:paraId="4482000C">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Baseline data</w:t>
            </w:r>
          </w:p>
        </w:tc>
        <w:tc>
          <w:tcPr>
            <w:tcW w:w="992" w:type="dxa"/>
          </w:tcPr>
          <w:p w14:paraId="4A489CE9">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25</w:t>
            </w:r>
          </w:p>
        </w:tc>
        <w:tc>
          <w:tcPr>
            <w:tcW w:w="9356" w:type="dxa"/>
          </w:tcPr>
          <w:p w14:paraId="5EB86B3D">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 table showing baseline demographic and clinical characteristics for each group</w:t>
            </w:r>
          </w:p>
        </w:tc>
        <w:tc>
          <w:tcPr>
            <w:tcW w:w="1417" w:type="dxa"/>
          </w:tcPr>
          <w:p w14:paraId="01C9A6AC">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Table1</w:t>
            </w:r>
          </w:p>
        </w:tc>
      </w:tr>
      <w:tr w14:paraId="7EA4C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10F375E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Numbers analysed, </w:t>
            </w:r>
          </w:p>
          <w:p w14:paraId="66FE5FD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outcomes and estimation</w:t>
            </w:r>
          </w:p>
        </w:tc>
        <w:tc>
          <w:tcPr>
            <w:tcW w:w="992" w:type="dxa"/>
          </w:tcPr>
          <w:p w14:paraId="47AF241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26</w:t>
            </w:r>
          </w:p>
        </w:tc>
        <w:tc>
          <w:tcPr>
            <w:tcW w:w="9356" w:type="dxa"/>
          </w:tcPr>
          <w:p w14:paraId="2508DC5A">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For each primary and secondary outcome, by group: </w:t>
            </w:r>
          </w:p>
          <w:p w14:paraId="5FFA398B">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the number of participants included in the analysis </w:t>
            </w:r>
          </w:p>
          <w:p w14:paraId="1D7E62F7">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the number of participants with available data at the outcome time point</w:t>
            </w:r>
          </w:p>
          <w:p w14:paraId="14A74C90">
            <w:pPr>
              <w:numPr>
                <w:ilvl w:val="0"/>
                <w:numId w:val="1"/>
              </w:numPr>
              <w:spacing w:line="240" w:lineRule="auto"/>
              <w:rPr>
                <w:color w:val="000000"/>
                <w:sz w:val="22"/>
                <w:szCs w:val="22"/>
                <w:lang w:val="en-GB"/>
              </w:rPr>
            </w:pPr>
            <w:r>
              <w:rPr>
                <w:rFonts w:ascii="Calibri" w:hAnsi="Calibri" w:eastAsia="Calibri" w:cs="Calibri"/>
                <w:color w:val="000000"/>
                <w:sz w:val="22"/>
                <w:szCs w:val="22"/>
                <w:lang w:val="en-GB"/>
              </w:rPr>
              <w:t xml:space="preserve">result for each group, and the estimated effect size and its precision (such as 95% confidence interval) </w:t>
            </w:r>
          </w:p>
          <w:p w14:paraId="7130F7F1">
            <w:pPr>
              <w:numPr>
                <w:ilvl w:val="0"/>
                <w:numId w:val="1"/>
              </w:numPr>
              <w:spacing w:after="160" w:line="240" w:lineRule="auto"/>
              <w:rPr>
                <w:color w:val="000000"/>
                <w:sz w:val="22"/>
                <w:szCs w:val="22"/>
                <w:lang w:val="en-GB"/>
              </w:rPr>
            </w:pPr>
            <w:r>
              <w:rPr>
                <w:rFonts w:ascii="Calibri" w:hAnsi="Calibri" w:eastAsia="Calibri" w:cs="Calibri"/>
                <w:color w:val="000000"/>
                <w:sz w:val="22"/>
                <w:szCs w:val="22"/>
                <w:lang w:val="en-GB"/>
              </w:rPr>
              <w:t xml:space="preserve">for binary outcomes, presentation of both absolute and relative effect size </w:t>
            </w:r>
          </w:p>
        </w:tc>
        <w:tc>
          <w:tcPr>
            <w:tcW w:w="1417" w:type="dxa"/>
          </w:tcPr>
          <w:p w14:paraId="50DA64D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13-14</w:t>
            </w:r>
          </w:p>
        </w:tc>
      </w:tr>
      <w:tr w14:paraId="313A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04" w:hRule="atLeast"/>
        </w:trPr>
        <w:tc>
          <w:tcPr>
            <w:tcW w:w="2547" w:type="dxa"/>
          </w:tcPr>
          <w:p w14:paraId="1316CD24">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Harms</w:t>
            </w:r>
          </w:p>
        </w:tc>
        <w:tc>
          <w:tcPr>
            <w:tcW w:w="992" w:type="dxa"/>
          </w:tcPr>
          <w:p w14:paraId="6CC8A508">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27</w:t>
            </w:r>
          </w:p>
        </w:tc>
        <w:tc>
          <w:tcPr>
            <w:tcW w:w="9356" w:type="dxa"/>
          </w:tcPr>
          <w:p w14:paraId="687024A2">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 xml:space="preserve">All harms or unintended events in each group </w:t>
            </w:r>
          </w:p>
        </w:tc>
        <w:tc>
          <w:tcPr>
            <w:tcW w:w="1417" w:type="dxa"/>
          </w:tcPr>
          <w:p w14:paraId="72B82CF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13-14</w:t>
            </w:r>
          </w:p>
        </w:tc>
      </w:tr>
      <w:tr w14:paraId="16C77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6" w:hRule="atLeast"/>
        </w:trPr>
        <w:tc>
          <w:tcPr>
            <w:tcW w:w="2547" w:type="dxa"/>
          </w:tcPr>
          <w:p w14:paraId="216037D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Ancillary analyses</w:t>
            </w:r>
          </w:p>
        </w:tc>
        <w:tc>
          <w:tcPr>
            <w:tcW w:w="992" w:type="dxa"/>
          </w:tcPr>
          <w:p w14:paraId="034AD55A">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28</w:t>
            </w:r>
          </w:p>
        </w:tc>
        <w:tc>
          <w:tcPr>
            <w:tcW w:w="9356" w:type="dxa"/>
          </w:tcPr>
          <w:p w14:paraId="68E7918B">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Any other analyses performed, including subgroup and sensitivity analyses, distinguishing pre-specified from post-hoc</w:t>
            </w:r>
          </w:p>
        </w:tc>
        <w:tc>
          <w:tcPr>
            <w:tcW w:w="1417" w:type="dxa"/>
          </w:tcPr>
          <w:p w14:paraId="3457C6CE">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14</w:t>
            </w:r>
          </w:p>
        </w:tc>
      </w:tr>
      <w:tr w14:paraId="17517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76" w:hRule="atLeast"/>
        </w:trPr>
        <w:tc>
          <w:tcPr>
            <w:tcW w:w="12895" w:type="dxa"/>
            <w:gridSpan w:val="3"/>
            <w:shd w:val="clear" w:color="auto" w:fill="BDD7EE"/>
          </w:tcPr>
          <w:p w14:paraId="7D072CE0">
            <w:pPr>
              <w:spacing w:line="240" w:lineRule="auto"/>
              <w:rPr>
                <w:rFonts w:ascii="Calibri" w:hAnsi="Calibri" w:eastAsia="Calibri" w:cs="Calibri"/>
                <w:b/>
                <w:color w:val="000000"/>
                <w:sz w:val="22"/>
                <w:szCs w:val="22"/>
                <w:lang w:val="en-GB"/>
              </w:rPr>
            </w:pPr>
            <w:r>
              <w:rPr>
                <w:rFonts w:ascii="Calibri" w:hAnsi="Calibri" w:eastAsia="Calibri" w:cs="Calibri"/>
                <w:b/>
                <w:color w:val="000000"/>
                <w:sz w:val="22"/>
                <w:szCs w:val="22"/>
                <w:lang w:val="en-GB"/>
              </w:rPr>
              <w:t>Discussion</w:t>
            </w:r>
          </w:p>
        </w:tc>
        <w:tc>
          <w:tcPr>
            <w:tcW w:w="1417" w:type="dxa"/>
            <w:shd w:val="clear" w:color="auto" w:fill="C6D9F0" w:themeFill="text2" w:themeFillTint="33"/>
          </w:tcPr>
          <w:p w14:paraId="13D65609">
            <w:pPr>
              <w:spacing w:line="240" w:lineRule="auto"/>
              <w:rPr>
                <w:rFonts w:ascii="Calibri" w:hAnsi="Calibri" w:eastAsia="Calibri" w:cs="Calibri"/>
                <w:b/>
                <w:color w:val="000000"/>
                <w:sz w:val="22"/>
                <w:szCs w:val="22"/>
                <w:lang w:val="en-GB"/>
              </w:rPr>
            </w:pPr>
          </w:p>
        </w:tc>
      </w:tr>
      <w:tr w14:paraId="56AC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BDFB8E6">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w:t>
            </w:r>
          </w:p>
        </w:tc>
        <w:tc>
          <w:tcPr>
            <w:tcW w:w="992" w:type="dxa"/>
          </w:tcPr>
          <w:p w14:paraId="40C52785">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29</w:t>
            </w:r>
          </w:p>
        </w:tc>
        <w:tc>
          <w:tcPr>
            <w:tcW w:w="9356" w:type="dxa"/>
          </w:tcPr>
          <w:p w14:paraId="6689FC98">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Interpretation consistent with results, balancing benefits and harms, and considering other relevant evidence</w:t>
            </w:r>
          </w:p>
        </w:tc>
        <w:tc>
          <w:tcPr>
            <w:tcW w:w="1417" w:type="dxa"/>
          </w:tcPr>
          <w:p w14:paraId="028813E5">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15-19</w:t>
            </w:r>
          </w:p>
        </w:tc>
      </w:tr>
      <w:tr w14:paraId="29285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1" w:hRule="atLeast"/>
        </w:trPr>
        <w:tc>
          <w:tcPr>
            <w:tcW w:w="2547" w:type="dxa"/>
          </w:tcPr>
          <w:p w14:paraId="2A291D81">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Limitations</w:t>
            </w:r>
          </w:p>
        </w:tc>
        <w:tc>
          <w:tcPr>
            <w:tcW w:w="992" w:type="dxa"/>
          </w:tcPr>
          <w:p w14:paraId="065DB4EF">
            <w:pPr>
              <w:spacing w:line="240" w:lineRule="auto"/>
              <w:jc w:val="center"/>
              <w:rPr>
                <w:rFonts w:ascii="Calibri" w:hAnsi="Calibri" w:eastAsia="Calibri" w:cs="Calibri"/>
                <w:color w:val="000000"/>
                <w:sz w:val="22"/>
                <w:szCs w:val="22"/>
                <w:lang w:val="en-GB"/>
              </w:rPr>
            </w:pPr>
            <w:r>
              <w:rPr>
                <w:rFonts w:ascii="Calibri" w:hAnsi="Calibri" w:eastAsia="Calibri" w:cs="Calibri"/>
                <w:color w:val="000000"/>
                <w:sz w:val="22"/>
                <w:szCs w:val="22"/>
                <w:lang w:val="en-GB"/>
              </w:rPr>
              <w:t>30</w:t>
            </w:r>
          </w:p>
        </w:tc>
        <w:tc>
          <w:tcPr>
            <w:tcW w:w="9356" w:type="dxa"/>
          </w:tcPr>
          <w:p w14:paraId="53F2EAD9">
            <w:pPr>
              <w:spacing w:line="240" w:lineRule="auto"/>
              <w:rPr>
                <w:rFonts w:ascii="Calibri" w:hAnsi="Calibri" w:eastAsia="Calibri" w:cs="Calibri"/>
                <w:color w:val="000000"/>
                <w:sz w:val="22"/>
                <w:szCs w:val="22"/>
                <w:lang w:val="en-GB"/>
              </w:rPr>
            </w:pPr>
            <w:r>
              <w:rPr>
                <w:rFonts w:ascii="Calibri" w:hAnsi="Calibri" w:eastAsia="Calibri" w:cs="Calibri"/>
                <w:color w:val="000000"/>
                <w:sz w:val="22"/>
                <w:szCs w:val="22"/>
                <w:lang w:val="en-GB"/>
              </w:rPr>
              <w:t>Trial limitations, addressing sources of potential bias, imprecision, generalisability, and, if relevant, multiplicity of analyses</w:t>
            </w:r>
          </w:p>
        </w:tc>
        <w:tc>
          <w:tcPr>
            <w:tcW w:w="1417" w:type="dxa"/>
          </w:tcPr>
          <w:p w14:paraId="16436A34">
            <w:pPr>
              <w:spacing w:line="240" w:lineRule="auto"/>
              <w:rPr>
                <w:rFonts w:hint="default" w:ascii="Calibri" w:hAnsi="Calibri" w:eastAsia="宋体" w:cs="Calibri"/>
                <w:color w:val="000000"/>
                <w:sz w:val="22"/>
                <w:szCs w:val="22"/>
                <w:lang w:val="en-US" w:eastAsia="zh-CN"/>
              </w:rPr>
            </w:pPr>
            <w:r>
              <w:rPr>
                <w:rFonts w:hint="eastAsia" w:ascii="Calibri" w:hAnsi="Calibri" w:eastAsia="宋体" w:cs="Calibri"/>
                <w:color w:val="000000"/>
                <w:sz w:val="22"/>
                <w:szCs w:val="22"/>
                <w:lang w:val="en-US" w:eastAsia="zh-CN"/>
              </w:rPr>
              <w:t>19</w:t>
            </w:r>
            <w:bookmarkStart w:id="0" w:name="_GoBack"/>
            <w:bookmarkEnd w:id="0"/>
          </w:p>
        </w:tc>
      </w:tr>
    </w:tbl>
    <w:p w14:paraId="306C2FFA">
      <w:pPr>
        <w:spacing w:line="240" w:lineRule="auto"/>
        <w:rPr>
          <w:rFonts w:ascii="Calibri" w:hAnsi="Calibri" w:cs="Calibri"/>
          <w:b/>
          <w:sz w:val="22"/>
          <w:szCs w:val="22"/>
          <w:lang w:val="en-GB"/>
        </w:rPr>
      </w:pPr>
    </w:p>
    <w:p w14:paraId="7222F6F7">
      <w:pPr>
        <w:pStyle w:val="39"/>
        <w:tabs>
          <w:tab w:val="left" w:pos="4830"/>
        </w:tabs>
        <w:spacing w:line="240" w:lineRule="auto"/>
        <w:rPr>
          <w:rFonts w:ascii="Calibri" w:hAnsi="Calibri" w:cs="Calibri"/>
          <w:sz w:val="20"/>
        </w:rPr>
      </w:pPr>
      <w:r>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20"/>
          <w:rFonts w:ascii="Calibri" w:hAnsi="Calibri" w:cs="Calibri"/>
          <w:color w:val="0070C0"/>
          <w:sz w:val="20"/>
        </w:rPr>
        <w:t>www.consort-spirit.org</w:t>
      </w:r>
      <w:r>
        <w:rPr>
          <w:rStyle w:val="20"/>
          <w:rFonts w:ascii="Calibri" w:hAnsi="Calibri" w:cs="Calibri"/>
          <w:color w:val="0070C0"/>
          <w:sz w:val="20"/>
        </w:rPr>
        <w:fldChar w:fldCharType="end"/>
      </w:r>
      <w:r>
        <w:rPr>
          <w:rFonts w:ascii="Calibri" w:hAnsi="Calibri" w:cs="Calibri"/>
          <w:color w:val="0070C0"/>
          <w:sz w:val="20"/>
        </w:rPr>
        <w:t>.</w:t>
      </w:r>
    </w:p>
    <w:p w14:paraId="42695FFC">
      <w:pPr>
        <w:spacing w:line="240" w:lineRule="auto"/>
        <w:rPr>
          <w:rFonts w:ascii="Calibri" w:hAnsi="Calibri" w:cs="Calibri"/>
          <w:b/>
          <w:sz w:val="20"/>
          <w:szCs w:val="20"/>
          <w:lang w:val="en-GB"/>
        </w:rPr>
      </w:pPr>
    </w:p>
    <w:p w14:paraId="510D033D">
      <w:pPr>
        <w:pStyle w:val="39"/>
        <w:tabs>
          <w:tab w:val="left" w:pos="4830"/>
        </w:tabs>
        <w:spacing w:line="240" w:lineRule="auto"/>
        <w:rPr>
          <w:rFonts w:ascii="Calibri" w:hAnsi="Calibri" w:cs="Calibri"/>
          <w:sz w:val="20"/>
        </w:rPr>
      </w:pPr>
      <w:r>
        <w:rPr>
          <w:rFonts w:ascii="Calibri" w:hAnsi="Calibri" w:cs="Calibri"/>
          <w:sz w:val="20"/>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20"/>
          <w:rFonts w:ascii="Calibri" w:hAnsi="Calibri" w:cs="Calibri"/>
          <w:color w:val="0070C0"/>
          <w:sz w:val="20"/>
        </w:rPr>
        <w:t>https://dx.doi.org/10.1136/bmj-2024-081123</w:t>
      </w:r>
      <w:r>
        <w:rPr>
          <w:rStyle w:val="20"/>
          <w:rFonts w:ascii="Calibri" w:hAnsi="Calibri" w:cs="Calibri"/>
          <w:color w:val="0070C0"/>
          <w:sz w:val="20"/>
        </w:rPr>
        <w:fldChar w:fldCharType="end"/>
      </w:r>
      <w:r>
        <w:rPr>
          <w:rFonts w:ascii="Calibri" w:hAnsi="Calibri" w:cs="Calibri"/>
          <w:color w:val="0070C0"/>
          <w:sz w:val="20"/>
        </w:rPr>
        <w:t xml:space="preserve">. </w:t>
      </w:r>
    </w:p>
    <w:p w14:paraId="0B985716">
      <w:pPr>
        <w:pStyle w:val="39"/>
        <w:tabs>
          <w:tab w:val="left" w:pos="4830"/>
        </w:tabs>
        <w:spacing w:line="240" w:lineRule="auto"/>
        <w:rPr>
          <w:rFonts w:ascii="Calibri" w:hAnsi="Calibri" w:cs="Calibri"/>
          <w:sz w:val="20"/>
        </w:rPr>
      </w:pPr>
      <w:r>
        <w:rPr>
          <w:rFonts w:ascii="Calibri" w:hAnsi="Calibri" w:cs="Calibri"/>
          <w:sz w:val="20"/>
        </w:rPr>
        <w:br w:type="textWrapping"/>
      </w:r>
      <w:r>
        <w:rPr>
          <w:rFonts w:ascii="Calibri" w:hAnsi="Calibri" w:cs="Calibri"/>
          <w:sz w:val="20"/>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20"/>
          <w:rFonts w:ascii="Calibri" w:hAnsi="Calibri" w:cs="Calibri"/>
          <w:color w:val="0070C0"/>
          <w:sz w:val="20"/>
        </w:rPr>
        <w:t>https://creativecommons.org/licenses/by/4.0/</w:t>
      </w:r>
      <w:r>
        <w:rPr>
          <w:rStyle w:val="20"/>
          <w:rFonts w:ascii="Calibri" w:hAnsi="Calibri" w:cs="Calibri"/>
          <w:color w:val="0070C0"/>
          <w:sz w:val="20"/>
        </w:rPr>
        <w:fldChar w:fldCharType="end"/>
      </w:r>
      <w:r>
        <w:rPr>
          <w:rFonts w:ascii="Calibri" w:hAnsi="Calibri" w:cs="Calibri"/>
          <w:sz w:val="20"/>
        </w:rPr>
        <w:t>), which permits unrestricted use, distribution, and reproduction in any medium, provided the original work is properly cited.</w:t>
      </w:r>
    </w:p>
    <w:sectPr>
      <w:footerReference r:id="rId5" w:type="default"/>
      <w:pgSz w:w="16838" w:h="11906" w:orient="landscape"/>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Noto Sans Symbols">
    <w:altName w:val="Calibri"/>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078763"/>
      <w:docPartObj>
        <w:docPartGallery w:val="AutoText"/>
      </w:docPartObj>
    </w:sdtPr>
    <w:sdtContent>
      <w:p w14:paraId="4E24581E">
        <w:pPr>
          <w:pStyle w:val="10"/>
          <w:jc w:val="right"/>
        </w:pPr>
        <w:r>
          <w:fldChar w:fldCharType="begin"/>
        </w:r>
        <w:r>
          <w:instrText xml:space="preserve"> PAGE   \* MERGEFORMAT </w:instrText>
        </w:r>
        <w:r>
          <w:fldChar w:fldCharType="separate"/>
        </w:r>
        <w:r>
          <w:t>2</w:t>
        </w:r>
        <w:r>
          <w:fldChar w:fldCharType="end"/>
        </w:r>
      </w:p>
    </w:sdtContent>
  </w:sdt>
  <w:p w14:paraId="651BCB0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E25DE"/>
    <w:multiLevelType w:val="multilevel"/>
    <w:tmpl w:val="13BE25DE"/>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 w:val="41B453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pPr>
    <w:rPr>
      <w:rFonts w:ascii="Times New Roman" w:hAnsi="Times New Roman" w:eastAsia="Times New Roman" w:cs="Times New Roman"/>
      <w:color w:val="333333"/>
      <w:sz w:val="24"/>
      <w:szCs w:val="24"/>
      <w:lang w:val="en-US" w:eastAsia="en-GB" w:bidi="ar-SA"/>
    </w:rPr>
  </w:style>
  <w:style w:type="paragraph" w:styleId="2">
    <w:name w:val="heading 1"/>
    <w:basedOn w:val="1"/>
    <w:next w:val="1"/>
    <w:qFormat/>
    <w:uiPriority w:val="9"/>
    <w:pPr>
      <w:spacing w:after="160" w:line="259" w:lineRule="auto"/>
      <w:outlineLvl w:val="0"/>
    </w:pPr>
    <w:rPr>
      <w:rFonts w:ascii="Calibri" w:hAnsi="Calibri" w:eastAsia="Calibri" w:cs="Calibri"/>
      <w:b/>
      <w:color w:val="000000"/>
      <w:sz w:val="22"/>
      <w:szCs w:val="22"/>
    </w:rPr>
  </w:style>
  <w:style w:type="paragraph" w:styleId="3">
    <w:name w:val="heading 2"/>
    <w:basedOn w:val="1"/>
    <w:next w:val="1"/>
    <w:semiHidden/>
    <w:unhideWhenUsed/>
    <w:qFormat/>
    <w:uiPriority w:val="9"/>
    <w:pPr>
      <w:keepNext/>
      <w:keepLines/>
      <w:spacing w:before="40"/>
      <w:outlineLvl w:val="1"/>
    </w:pPr>
    <w:rPr>
      <w:rFonts w:ascii="Calibri" w:hAnsi="Calibri" w:eastAsia="Calibri" w:cs="Calibri"/>
      <w:color w:val="2F5496"/>
      <w:sz w:val="26"/>
      <w:szCs w:val="2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25"/>
    <w:unhideWhenUsed/>
    <w:qFormat/>
    <w:uiPriority w:val="99"/>
    <w:pPr>
      <w:spacing w:line="240" w:lineRule="auto"/>
    </w:pPr>
    <w:rPr>
      <w:sz w:val="20"/>
      <w:szCs w:val="20"/>
    </w:rPr>
  </w:style>
  <w:style w:type="paragraph" w:styleId="9">
    <w:name w:val="Balloon Text"/>
    <w:basedOn w:val="1"/>
    <w:link w:val="33"/>
    <w:semiHidden/>
    <w:unhideWhenUsed/>
    <w:uiPriority w:val="99"/>
    <w:pPr>
      <w:spacing w:line="240" w:lineRule="auto"/>
    </w:pPr>
    <w:rPr>
      <w:rFonts w:ascii="Segoe UI" w:hAnsi="Segoe UI" w:cs="Segoe UI"/>
      <w:sz w:val="18"/>
      <w:szCs w:val="18"/>
    </w:rPr>
  </w:style>
  <w:style w:type="paragraph" w:styleId="10">
    <w:name w:val="footer"/>
    <w:basedOn w:val="1"/>
    <w:link w:val="36"/>
    <w:unhideWhenUsed/>
    <w:qFormat/>
    <w:uiPriority w:val="99"/>
    <w:pPr>
      <w:tabs>
        <w:tab w:val="center" w:pos="4513"/>
        <w:tab w:val="right" w:pos="9026"/>
      </w:tabs>
      <w:spacing w:line="240" w:lineRule="auto"/>
    </w:pPr>
  </w:style>
  <w:style w:type="paragraph" w:styleId="11">
    <w:name w:val="header"/>
    <w:basedOn w:val="1"/>
    <w:link w:val="35"/>
    <w:unhideWhenUsed/>
    <w:qFormat/>
    <w:uiPriority w:val="99"/>
    <w:pPr>
      <w:tabs>
        <w:tab w:val="center" w:pos="4513"/>
        <w:tab w:val="right" w:pos="9026"/>
      </w:tabs>
      <w:spacing w:line="240" w:lineRule="auto"/>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3">
    <w:name w:val="Normal (Web)"/>
    <w:basedOn w:val="1"/>
    <w:unhideWhenUsed/>
    <w:qFormat/>
    <w:uiPriority w:val="99"/>
    <w:pPr>
      <w:spacing w:before="100" w:beforeAutospacing="1" w:after="100" w:afterAutospacing="1" w:line="240" w:lineRule="auto"/>
    </w:pPr>
    <w:rPr>
      <w:color w:val="auto"/>
      <w:lang w:val="en-CA" w:eastAsia="en-US"/>
    </w:rPr>
  </w:style>
  <w:style w:type="paragraph" w:styleId="14">
    <w:name w:val="Title"/>
    <w:basedOn w:val="1"/>
    <w:next w:val="1"/>
    <w:qFormat/>
    <w:uiPriority w:val="10"/>
    <w:pPr>
      <w:keepNext/>
      <w:keepLines/>
      <w:spacing w:before="480" w:after="120"/>
    </w:pPr>
    <w:rPr>
      <w:b/>
      <w:sz w:val="72"/>
      <w:szCs w:val="72"/>
    </w:rPr>
  </w:style>
  <w:style w:type="paragraph" w:styleId="15">
    <w:name w:val="annotation subject"/>
    <w:basedOn w:val="8"/>
    <w:next w:val="8"/>
    <w:link w:val="26"/>
    <w:semiHidden/>
    <w:unhideWhenUsed/>
    <w:qFormat/>
    <w:uiPriority w:val="99"/>
    <w:rPr>
      <w:b/>
      <w:bCs/>
    </w:rPr>
  </w:style>
  <w:style w:type="table" w:styleId="17">
    <w:name w:val="Table Grid"/>
    <w:basedOn w:val="16"/>
    <w:qFormat/>
    <w:uiPriority w:val="39"/>
    <w:pPr>
      <w:spacing w:line="240" w:lineRule="auto"/>
    </w:pPr>
    <w:rPr>
      <w:rFonts w:asciiTheme="minorHAnsi" w:hAnsiTheme="minorHAnsi" w:eastAsiaTheme="minorHAnsi" w:cstheme="minorBidi"/>
      <w:color w:val="auto"/>
      <w:kern w:val="2"/>
      <w:sz w:val="22"/>
      <w:szCs w:val="22"/>
      <w:lang w:val="en-GB"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qFormat/>
    <w:uiPriority w:val="0"/>
    <w:rPr>
      <w:color w:val="CC0000"/>
      <w:u w:val="single"/>
    </w:rPr>
  </w:style>
  <w:style w:type="character" w:styleId="21">
    <w:name w:val="annotation reference"/>
    <w:basedOn w:val="18"/>
    <w:semiHidden/>
    <w:unhideWhenUsed/>
    <w:qFormat/>
    <w:uiPriority w:val="99"/>
    <w:rPr>
      <w:sz w:val="16"/>
      <w:szCs w:val="16"/>
    </w:rPr>
  </w:style>
  <w:style w:type="table" w:customStyle="1" w:styleId="22">
    <w:name w:val="_Style 11"/>
    <w:basedOn w:val="16"/>
    <w:qFormat/>
    <w:uiPriority w:val="0"/>
    <w:pPr>
      <w:spacing w:line="240" w:lineRule="auto"/>
    </w:pPr>
  </w:style>
  <w:style w:type="table" w:customStyle="1" w:styleId="23">
    <w:name w:val="_Style 12"/>
    <w:basedOn w:val="16"/>
    <w:qFormat/>
    <w:uiPriority w:val="0"/>
    <w:tblPr>
      <w:tblCellMar>
        <w:left w:w="115" w:type="dxa"/>
        <w:right w:w="115" w:type="dxa"/>
      </w:tblCellMar>
    </w:tblPr>
  </w:style>
  <w:style w:type="table" w:customStyle="1" w:styleId="24">
    <w:name w:val="_Style 13"/>
    <w:basedOn w:val="16"/>
    <w:qFormat/>
    <w:uiPriority w:val="0"/>
    <w:tblPr>
      <w:tblCellMar>
        <w:left w:w="115" w:type="dxa"/>
        <w:right w:w="115" w:type="dxa"/>
      </w:tblCellMar>
    </w:tblPr>
  </w:style>
  <w:style w:type="character" w:customStyle="1" w:styleId="25">
    <w:name w:val="Comment Text Char"/>
    <w:basedOn w:val="18"/>
    <w:link w:val="8"/>
    <w:qFormat/>
    <w:uiPriority w:val="99"/>
    <w:rPr>
      <w:sz w:val="20"/>
      <w:szCs w:val="20"/>
    </w:rPr>
  </w:style>
  <w:style w:type="character" w:customStyle="1" w:styleId="26">
    <w:name w:val="Comment Subject Char"/>
    <w:basedOn w:val="25"/>
    <w:link w:val="15"/>
    <w:semiHidden/>
    <w:uiPriority w:val="99"/>
    <w:rPr>
      <w:b/>
      <w:bCs/>
      <w:sz w:val="20"/>
      <w:szCs w:val="20"/>
    </w:rPr>
  </w:style>
  <w:style w:type="paragraph" w:customStyle="1" w:styleId="27">
    <w:name w:val="EndNote Bibliography Title"/>
    <w:basedOn w:val="1"/>
    <w:link w:val="28"/>
    <w:qFormat/>
    <w:uiPriority w:val="0"/>
    <w:pPr>
      <w:jc w:val="center"/>
    </w:pPr>
    <w:rPr>
      <w:lang w:val="en-GB"/>
    </w:rPr>
  </w:style>
  <w:style w:type="character" w:customStyle="1" w:styleId="28">
    <w:name w:val="EndNote Bibliography Title Char"/>
    <w:basedOn w:val="18"/>
    <w:link w:val="27"/>
    <w:qFormat/>
    <w:uiPriority w:val="0"/>
    <w:rPr>
      <w:lang w:val="en-GB"/>
    </w:rPr>
  </w:style>
  <w:style w:type="paragraph" w:customStyle="1" w:styleId="29">
    <w:name w:val="EndNote Bibliography"/>
    <w:basedOn w:val="1"/>
    <w:link w:val="30"/>
    <w:qFormat/>
    <w:uiPriority w:val="0"/>
    <w:pPr>
      <w:spacing w:line="240" w:lineRule="auto"/>
    </w:pPr>
    <w:rPr>
      <w:lang w:val="en-GB"/>
    </w:rPr>
  </w:style>
  <w:style w:type="character" w:customStyle="1" w:styleId="30">
    <w:name w:val="EndNote Bibliography Char"/>
    <w:basedOn w:val="18"/>
    <w:link w:val="29"/>
    <w:qFormat/>
    <w:uiPriority w:val="0"/>
    <w:rPr>
      <w:lang w:val="en-GB"/>
    </w:rPr>
  </w:style>
  <w:style w:type="character" w:customStyle="1" w:styleId="31">
    <w:name w:val="Unresolved Mention"/>
    <w:basedOn w:val="18"/>
    <w:semiHidden/>
    <w:unhideWhenUsed/>
    <w:qFormat/>
    <w:uiPriority w:val="99"/>
    <w:rPr>
      <w:color w:val="605E5C"/>
      <w:shd w:val="clear" w:color="auto" w:fill="E1DFDD"/>
    </w:rPr>
  </w:style>
  <w:style w:type="character" w:customStyle="1" w:styleId="32">
    <w:name w:val="cf01"/>
    <w:basedOn w:val="18"/>
    <w:qFormat/>
    <w:uiPriority w:val="0"/>
    <w:rPr>
      <w:rFonts w:hint="default" w:ascii="Segoe UI" w:hAnsi="Segoe UI" w:cs="Segoe UI"/>
      <w:sz w:val="18"/>
      <w:szCs w:val="18"/>
    </w:rPr>
  </w:style>
  <w:style w:type="character" w:customStyle="1" w:styleId="33">
    <w:name w:val="Balloon Text Char"/>
    <w:basedOn w:val="18"/>
    <w:link w:val="9"/>
    <w:semiHidden/>
    <w:qFormat/>
    <w:uiPriority w:val="99"/>
    <w:rPr>
      <w:rFonts w:ascii="Segoe UI" w:hAnsi="Segoe UI" w:cs="Segoe UI"/>
      <w:sz w:val="18"/>
      <w:szCs w:val="18"/>
    </w:rPr>
  </w:style>
  <w:style w:type="paragraph" w:styleId="34">
    <w:name w:val="List Paragraph"/>
    <w:basedOn w:val="1"/>
    <w:qFormat/>
    <w:uiPriority w:val="34"/>
    <w:pPr>
      <w:spacing w:after="160" w:line="259" w:lineRule="auto"/>
      <w:ind w:left="720"/>
      <w:contextualSpacing/>
    </w:pPr>
    <w:rPr>
      <w:rFonts w:ascii="Calibri" w:hAnsi="Calibri" w:eastAsia="Calibri" w:cs="Calibri"/>
      <w:color w:val="auto"/>
      <w:sz w:val="22"/>
      <w:szCs w:val="22"/>
      <w:lang w:val="en-GB"/>
    </w:rPr>
  </w:style>
  <w:style w:type="character" w:customStyle="1" w:styleId="35">
    <w:name w:val="Header Char"/>
    <w:basedOn w:val="18"/>
    <w:link w:val="11"/>
    <w:qFormat/>
    <w:uiPriority w:val="99"/>
  </w:style>
  <w:style w:type="character" w:customStyle="1" w:styleId="36">
    <w:name w:val="Footer Char"/>
    <w:basedOn w:val="18"/>
    <w:link w:val="10"/>
    <w:uiPriority w:val="99"/>
  </w:style>
  <w:style w:type="paragraph" w:customStyle="1" w:styleId="37">
    <w:name w:val="Revision"/>
    <w:hidden/>
    <w:semiHidden/>
    <w:uiPriority w:val="99"/>
    <w:pPr>
      <w:spacing w:line="240" w:lineRule="auto"/>
    </w:pPr>
    <w:rPr>
      <w:rFonts w:ascii="Times New Roman" w:hAnsi="Times New Roman" w:eastAsia="Times New Roman" w:cs="Times New Roman"/>
      <w:color w:val="333333"/>
      <w:sz w:val="24"/>
      <w:szCs w:val="24"/>
      <w:lang w:val="en-US" w:eastAsia="en-GB" w:bidi="ar-SA"/>
    </w:rPr>
  </w:style>
  <w:style w:type="character" w:customStyle="1" w:styleId="38">
    <w:name w:val="apple-converted-space"/>
    <w:basedOn w:val="18"/>
    <w:qFormat/>
    <w:uiPriority w:val="0"/>
  </w:style>
  <w:style w:type="paragraph" w:customStyle="1" w:styleId="39">
    <w:name w:val="TableNote"/>
    <w:basedOn w:val="1"/>
    <w:uiPriority w:val="0"/>
    <w:pPr>
      <w:spacing w:line="300" w:lineRule="exact"/>
    </w:pPr>
    <w:rPr>
      <w:color w:val="auto"/>
      <w:szCs w:val="2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datastoreItem>
</file>

<file path=docProps/app.xml><?xml version="1.0" encoding="utf-8"?>
<Properties xmlns="http://schemas.openxmlformats.org/officeDocument/2006/extended-properties" xmlns:vt="http://schemas.openxmlformats.org/officeDocument/2006/docPropsVTypes">
  <Template>Normal.dotm</Template>
  <Pages>3</Pages>
  <Words>893</Words>
  <Characters>5600</Characters>
  <Lines>48</Lines>
  <Paragraphs>13</Paragraphs>
  <TotalTime>87</TotalTime>
  <ScaleCrop>false</ScaleCrop>
  <LinksUpToDate>false</LinksUpToDate>
  <CharactersWithSpaces>6373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2024-10-08T14:14:00Z</dcterms:created>
  <dc:creator>Sally Hopewell</dc:creator>
  <cp:lastModifiedBy>7V</cp:lastModifiedBy>
  <cp:lastPrinted>2024-03-26T08:52:00Z</cp:lastPrinted>
  <dcterms:modified xsi:type="dcterms:W3CDTF">2026-02-04T14:19:59Z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eyJoZGlkIjoiNjA3NTBhMDM5MDc3YTJhODJhYjM3MTFkYzhmNDhhMmEiLCJ1c2VySWQiOiIzNzI4NzkzNzAifQ==</vt:lpwstr>
  </property>
  <property fmtid="{D5CDD505-2E9C-101B-9397-08002B2CF9AE}" pid="3" name="KSOProductBuildVer">
    <vt:lpwstr>2052-12.1.0.24657</vt:lpwstr>
  </property>
  <property fmtid="{D5CDD505-2E9C-101B-9397-08002B2CF9AE}" pid="4" name="ICV">
    <vt:lpwstr>D65E6BB4D80B4B2796375100BF83D444_12</vt:lpwstr>
  </property>
</Properties>
</file>