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83138B">
      <w:pPr>
        <w:jc w:val="center"/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bookmarkStart w:id="6" w:name="_GoBack"/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Supporting Information</w:t>
      </w:r>
      <w:bookmarkEnd w:id="6"/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</w:p>
    <w:p w14:paraId="32CD387B"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Study on the Electrochemical Performance of MOF-Derived Mn</w:t>
      </w:r>
      <w:r>
        <w:rPr>
          <w:rFonts w:hint="default"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hint="default" w:ascii="Times New Roman" w:hAnsi="Times New Roman" w:cs="Times New Roman"/>
          <w:sz w:val="28"/>
          <w:szCs w:val="28"/>
        </w:rPr>
        <w:t>O</w:t>
      </w:r>
      <w:r>
        <w:rPr>
          <w:rFonts w:hint="default"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hint="default" w:ascii="Times New Roman" w:hAnsi="Times New Roman" w:cs="Times New Roman"/>
          <w:sz w:val="28"/>
          <w:szCs w:val="28"/>
        </w:rPr>
        <w:t xml:space="preserve"> Electrode Materials on Magnesium Ion Capacitors</w:t>
      </w:r>
    </w:p>
    <w:p w14:paraId="7B632F5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Ping-Ping Sun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,</w:t>
      </w:r>
      <w:r>
        <w:rPr>
          <w:rFonts w:hint="eastAsia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Yun-Heng Li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 xml:space="preserve">, </w:t>
      </w:r>
      <w:r>
        <w:rPr>
          <w:rFonts w:hint="eastAsia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Bo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Ya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ng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vertAlign w:val="superscript"/>
          <w:lang w:val="en-US" w:eastAsia="zh-CN" w:bidi="ar"/>
        </w:rPr>
        <w:t>b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, Hai-Yan Liu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*</w:t>
      </w:r>
    </w:p>
    <w:p w14:paraId="78BE04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vertAlign w:val="superscript"/>
          <w:lang w:val="en-US" w:eastAsia="zh-CN" w:bidi="ar"/>
        </w:rPr>
        <w:t>a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The Foundation of Liaoning Provincial Key Laboratory of Energy Storage and Utilization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lang w:val="en-US" w:eastAsia="zh-CN" w:bidi="ar"/>
        </w:rPr>
        <w:t>, Yingkou Institute of Technology, Yingkou 115014, China</w:t>
      </w:r>
    </w:p>
    <w:p w14:paraId="346FECAA">
      <w:pPr>
        <w:jc w:val="center"/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highlight w:val="green"/>
          <w:lang w:val="en-US" w:eastAsia="zh-CN" w:bidi="ar"/>
        </w:rPr>
      </w:pP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vertAlign w:val="superscript"/>
          <w:lang w:val="en-US" w:eastAsia="zh-CN" w:bidi="ar"/>
        </w:rPr>
        <w:t>b</w:t>
      </w:r>
      <w:r>
        <w:rPr>
          <w:rFonts w:hint="eastAsia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highlight w:val="none"/>
          <w:vertAlign w:val="baseline"/>
          <w:lang w:val="en-US" w:eastAsia="zh-CN" w:bidi="ar"/>
        </w:rPr>
        <w:t>Shenghong Refining &amp; Chemical (Lianyungang) Co., Ltd.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 222</w:t>
      </w:r>
      <w:r>
        <w:rPr>
          <w:rFonts w:hint="eastAsia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highlight w:val="none"/>
          <w:lang w:val="en-US" w:eastAsia="zh-CN" w:bidi="ar"/>
        </w:rPr>
        <w:t>0651</w:t>
      </w:r>
      <w:r>
        <w:rPr>
          <w:rFonts w:hint="default" w:ascii="Times New Roman" w:hAnsi="Times New Roman" w:eastAsia="CharisSIL-Italic" w:cs="Times New Roman"/>
          <w:i w:val="0"/>
          <w:iCs w:val="0"/>
          <w:color w:val="000000"/>
          <w:kern w:val="0"/>
          <w:sz w:val="24"/>
          <w:szCs w:val="24"/>
          <w:highlight w:val="none"/>
          <w:lang w:val="en-US" w:eastAsia="zh-CN" w:bidi="ar"/>
        </w:rPr>
        <w:t>,China</w:t>
      </w:r>
    </w:p>
    <w:p w14:paraId="72E3AD86">
      <w:pPr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>Email addresses: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>liuhaiyan2025@foxmail.com (H.-Y. Liu)</w:t>
      </w:r>
    </w:p>
    <w:p w14:paraId="72179A1B">
      <w:pP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br w:type="page"/>
      </w:r>
    </w:p>
    <w:p w14:paraId="793F7A8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Figure List</w:t>
      </w:r>
    </w:p>
    <w:p w14:paraId="60AE857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Figure S1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The unit cell of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26p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-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Mn-MOF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 along different view of a) a axis, b) b axis, c) c axis.</w:t>
      </w:r>
    </w:p>
    <w:p w14:paraId="3AF76959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Figure S2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The unit cell of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26p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-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Mn-MOF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 along different view of a) a axis, b) b axis, c) c axis.</w:t>
      </w:r>
    </w:p>
    <w:p w14:paraId="18D630F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Figure S3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The XRD patterns of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 26p-Mn-MOF</w:t>
      </w:r>
    </w:p>
    <w:p w14:paraId="4195F3A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Figure S4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The morphologies of the 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26p-Mn-MOF in different at different magnification levels (a) 1000 times, (b) 5000 times.</w:t>
      </w:r>
    </w:p>
    <w:p w14:paraId="135CA5B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Figure S5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The morphologies of the samples after being calcined at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500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℃(a-b)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and 700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℃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c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-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d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.</w:t>
      </w:r>
    </w:p>
    <w:p w14:paraId="77516A5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S6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 CV curves of 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a) Mn2O3-500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b) Mn2O3-700.</w:t>
      </w:r>
    </w:p>
    <w:p w14:paraId="1264E8A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S7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Determination of the b value using the relationship between peak current and scan rate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of a) Mn2O3-500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b) Mn2O3-700.</w:t>
      </w:r>
    </w:p>
    <w:p w14:paraId="53EB1AE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Figure S8 a-e)The proportion of double-layer contribution and pseudo-capacitive contribution of Mn2O3-600 at different sweep rates of 10-100 mV s-1</w:t>
      </w:r>
    </w:p>
    <w:p w14:paraId="030B6C0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Figure S9 a-e)The proportion of double-layer contribution and pseudo-capacitive contribution of Mn2O3-500 at different sweep rates of 10-100 mV s-1</w:t>
      </w:r>
    </w:p>
    <w:p w14:paraId="0AB2A658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 xml:space="preserve">Figure S10 a-e)The proportion of double-layer contribution and pseudo-capacitive contribution of Mn2O3-700 at different sweep rates of 10-100 mV s-1 </w:t>
      </w:r>
    </w:p>
    <w:p w14:paraId="410508F9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Figure S11 Discharge time of a) Mn2O3-500 and b) Mn2O3-700 at 1-8 A g-1 current density.</w:t>
      </w:r>
    </w:p>
    <w:p w14:paraId="348136D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Figure S12 The GCD curve of activated carbon at an current density of 1 A g-1.</w:t>
      </w:r>
    </w:p>
    <w:p w14:paraId="063279E3">
      <w:pPr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en-US" w:eastAsia="zh-CN"/>
        </w:rPr>
        <w:br w:type="page"/>
      </w:r>
    </w:p>
    <w:p w14:paraId="508EBA1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Table List</w:t>
      </w:r>
    </w:p>
    <w:p w14:paraId="661DA6D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</w:pPr>
      <w:r>
        <w:rPr>
          <w:rStyle w:val="5"/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Table </w:t>
      </w:r>
      <w:r>
        <w:rPr>
          <w:rStyle w:val="5"/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S1 Reagent Information</w:t>
      </w:r>
    </w:p>
    <w:p w14:paraId="1954E87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Table S2 Crystallographic data and refinement parameters for 26p-Mn-MOF</w:t>
      </w:r>
    </w:p>
    <w:p w14:paraId="67FA737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Table S3 Selected bond lengths (Å) for the 26p-Mn-MOF.</w:t>
      </w:r>
    </w:p>
    <w:p w14:paraId="73421A18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Table S4 Selected bond angles for the 26p-Mn-MOF.</w:t>
      </w:r>
    </w:p>
    <w:p w14:paraId="50FB9E3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Table S5 Hydrogen Bonds for 26p-Mn-MOF.</w:t>
      </w:r>
    </w:p>
    <w:p w14:paraId="0C4B0DF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</w:p>
    <w:p w14:paraId="6FF5BAB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b/>
          <w:sz w:val="24"/>
          <w:szCs w:val="24"/>
        </w:rPr>
      </w:pPr>
    </w:p>
    <w:p w14:paraId="3055E3B8">
      <w:pPr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br w:type="page"/>
      </w:r>
    </w:p>
    <w:p w14:paraId="6E78BFB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Materials characterization</w:t>
      </w:r>
    </w:p>
    <w:p w14:paraId="313A5AE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The structures of samples were </w:t>
      </w:r>
      <w:bookmarkStart w:id="0" w:name="OLE_LINK16"/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analyzed by powder X-ray Diffraction (PXRD), implemented </w:t>
      </w:r>
      <w:bookmarkEnd w:id="0"/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on MiniFlex600 diffractometer (40 kV, 15mA, </w:t>
      </w:r>
      <w:r>
        <w:rPr>
          <w:rFonts w:hint="default" w:ascii="Times New Roman" w:hAnsi="Times New Roman" w:cs="Times New Roman"/>
          <w:color w:val="1A1A1A"/>
          <w:sz w:val="24"/>
          <w:szCs w:val="24"/>
        </w:rPr>
        <w:t>Cu K</w:t>
      </w:r>
      <w:r>
        <w:rPr>
          <w:rFonts w:hint="default" w:ascii="Times New Roman" w:hAnsi="Times New Roman" w:cs="Times New Roman"/>
          <w:i/>
          <w:color w:val="1A1A1A"/>
          <w:sz w:val="24"/>
          <w:szCs w:val="24"/>
        </w:rPr>
        <w:t>α λ</w:t>
      </w:r>
      <w:r>
        <w:rPr>
          <w:rFonts w:hint="default" w:ascii="Times New Roman" w:hAnsi="Times New Roman" w:cs="Times New Roman"/>
          <w:color w:val="1A1A1A"/>
          <w:sz w:val="24"/>
          <w:szCs w:val="24"/>
        </w:rPr>
        <w:t>=0.15405nm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) in a 2-theta range from 5 to 50</w:t>
      </w:r>
      <w:bookmarkStart w:id="1" w:name="OLE_LINK14"/>
      <w:bookmarkStart w:id="2" w:name="OLE_LINK13"/>
      <w:r>
        <w:rPr>
          <w:rFonts w:hint="default" w:ascii="Times New Roman" w:hAnsi="Times New Roman" w:cs="Times New Roman"/>
          <w:color w:val="000000"/>
          <w:sz w:val="24"/>
          <w:szCs w:val="24"/>
        </w:rPr>
        <w:t>°</w:t>
      </w:r>
      <w:bookmarkEnd w:id="1"/>
      <w:bookmarkEnd w:id="2"/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by continuous scanning, with a sampling interval of 0.0200°and a scanning speed of 5°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min</w:t>
      </w:r>
      <w:r>
        <w:rPr>
          <w:rFonts w:hint="default"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. The diffraction data was collected by single-crystal X-ray diffractometer on a SuperNova CCD operated at 50 kV and 0.8 mA using Mo Kɑ radiation (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λ=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0.071073nm) at 294 K.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The s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pecific test parameters refer to other reports</w:t>
      </w:r>
      <w:r>
        <w:rPr>
          <w:rFonts w:hint="eastAsia" w:ascii="Times New Roman" w:hAnsi="Times New Roman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 w:eastAsia="zh-CN"/>
        </w:rPr>
        <w:t>.</w:t>
      </w:r>
    </w:p>
    <w:p w14:paraId="3BFC843A">
      <w:r>
        <w:br w:type="page"/>
      </w:r>
    </w:p>
    <w:p w14:paraId="22FA70B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43780" cy="2521585"/>
            <wp:effectExtent l="0" t="0" r="1397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4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S1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The unit cell of </w:t>
      </w:r>
      <w:bookmarkStart w:id="3" w:name="OLE_LINK3"/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26p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-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Mn-MOF</w:t>
      </w:r>
      <w:bookmarkEnd w:id="3"/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 along different view of a) </w:t>
      </w:r>
      <w:r>
        <w:rPr>
          <w:rFonts w:hint="default" w:ascii="Times New Roman" w:hAnsi="Times New Roman" w:cs="Times New Roman"/>
          <w:i/>
          <w:color w:val="000000"/>
          <w:sz w:val="24"/>
          <w:szCs w:val="24"/>
          <w:highlight w:val="none"/>
        </w:rPr>
        <w:t>a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 axis, b) </w:t>
      </w:r>
      <w:r>
        <w:rPr>
          <w:rFonts w:hint="default" w:ascii="Times New Roman" w:hAnsi="Times New Roman" w:cs="Times New Roman"/>
          <w:i/>
          <w:color w:val="000000"/>
          <w:sz w:val="24"/>
          <w:szCs w:val="24"/>
          <w:highlight w:val="none"/>
        </w:rPr>
        <w:t>b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 axis, c) </w:t>
      </w:r>
      <w:r>
        <w:rPr>
          <w:rFonts w:hint="default" w:ascii="Times New Roman" w:hAnsi="Times New Roman" w:cs="Times New Roman"/>
          <w:i/>
          <w:color w:val="000000"/>
          <w:sz w:val="24"/>
          <w:szCs w:val="24"/>
          <w:highlight w:val="none"/>
        </w:rPr>
        <w:t xml:space="preserve">c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axis.</w:t>
      </w:r>
    </w:p>
    <w:p w14:paraId="04DA3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</w:p>
    <w:p w14:paraId="174090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</w:p>
    <w:p w14:paraId="7FD81A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</w:p>
    <w:p w14:paraId="6E107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</w:p>
    <w:p w14:paraId="47E81E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</w:p>
    <w:p w14:paraId="7ECB5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</w:p>
    <w:p w14:paraId="18B2A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  <w:r>
        <w:drawing>
          <wp:inline distT="0" distB="0" distL="114300" distR="114300">
            <wp:extent cx="4824095" cy="2208530"/>
            <wp:effectExtent l="0" t="0" r="1460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B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S2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 xml:space="preserve">Wire frame view of the super cell structure of </w:t>
      </w:r>
      <w:bookmarkStart w:id="4" w:name="OLE_LINK4"/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26p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-</w:t>
      </w: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  <w:lang w:val="en-US" w:eastAsia="zh-CN"/>
        </w:rPr>
        <w:t>Mn-MOF</w:t>
      </w:r>
      <w:bookmarkEnd w:id="4"/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t>, the dotted lines show H-bond.</w:t>
      </w:r>
    </w:p>
    <w:p w14:paraId="0BB8D4A5">
      <w:pP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  <w:br w:type="page"/>
      </w:r>
    </w:p>
    <w:p w14:paraId="735E7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/>
          <w:sz w:val="24"/>
          <w:szCs w:val="24"/>
          <w:highlight w:val="none"/>
        </w:rPr>
      </w:pPr>
    </w:p>
    <w:p w14:paraId="188BAFB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248025" cy="241935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367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S3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The XRD patterns of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26p-Mn-MOF</w:t>
      </w:r>
    </w:p>
    <w:p w14:paraId="57FE73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5844B93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1DC4DB8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1B2D726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4D024B8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52BE8F0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</w:p>
    <w:p w14:paraId="5D66AA3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  <w:r>
        <w:drawing>
          <wp:inline distT="0" distB="0" distL="114300" distR="114300">
            <wp:extent cx="5272405" cy="2103120"/>
            <wp:effectExtent l="0" t="0" r="444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527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highlight w:val="none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S4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The morphologies of the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26p-Mn-MOF in different at different magnification levels (a) 1000 times, (b) 5000 times.</w:t>
      </w:r>
    </w:p>
    <w:p w14:paraId="591EBD8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</w:p>
    <w:p w14:paraId="2F507C4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</w:p>
    <w:p w14:paraId="47B6856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yellow"/>
          <w:lang w:val="en-US" w:eastAsia="zh-CN"/>
        </w:rPr>
      </w:pPr>
    </w:p>
    <w:p w14:paraId="2798280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  <w:r>
        <w:drawing>
          <wp:inline distT="0" distB="0" distL="114300" distR="114300">
            <wp:extent cx="5268595" cy="3978910"/>
            <wp:effectExtent l="0" t="0" r="8255" b="25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2EE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S5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The morphologies of the samples after being calcined at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500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℃(a-b)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and 700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℃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(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c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-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d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)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.</w:t>
      </w:r>
    </w:p>
    <w:p w14:paraId="084F750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yellow"/>
          <w:lang w:val="en-US" w:eastAsia="zh-CN"/>
        </w:rPr>
      </w:pPr>
      <w:r>
        <w:br w:type="page"/>
      </w:r>
    </w:p>
    <w:p w14:paraId="652B7FD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400040" cy="2286635"/>
            <wp:effectExtent l="0" t="0" r="1016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90C9">
      <w:pPr>
        <w:ind w:firstLine="240" w:firstLineChars="10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S6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CV curves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a) 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-500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b) 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-700.</w:t>
      </w:r>
    </w:p>
    <w:p w14:paraId="6BE58D2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400040" cy="2219325"/>
            <wp:effectExtent l="0" t="0" r="1016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DB8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S7 </w:t>
      </w:r>
      <w:r>
        <w:rPr>
          <w:rFonts w:hint="default" w:ascii="Times New Roman" w:hAnsi="Times New Roman" w:cs="Times New Roman"/>
          <w:sz w:val="24"/>
          <w:szCs w:val="24"/>
        </w:rPr>
        <w:t>Determination of the b value using the relationship between peak current and scan rate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of a) 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-500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b) 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-700.</w:t>
      </w:r>
    </w:p>
    <w:p w14:paraId="4A6F73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center"/>
        <w:textAlignment w:val="auto"/>
      </w:pPr>
    </w:p>
    <w:p w14:paraId="696D52A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</w:p>
    <w:p w14:paraId="0E8E13F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</w:p>
    <w:p w14:paraId="0D72338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</w:p>
    <w:p w14:paraId="166F40E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  <w:r>
        <w:drawing>
          <wp:inline distT="0" distB="0" distL="114300" distR="114300">
            <wp:extent cx="5260975" cy="2790190"/>
            <wp:effectExtent l="0" t="0" r="15875" b="1016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DEF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S8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a-e)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The proportion of double-layer contribution and pseudo-capacitive contribution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-600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at different sweep rates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of 10-100 mV s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</w:p>
    <w:p w14:paraId="3D0F377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</w:p>
    <w:p w14:paraId="0032E7A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</w:p>
    <w:p w14:paraId="3C5771C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</w:pPr>
      <w:r>
        <w:drawing>
          <wp:inline distT="0" distB="0" distL="114300" distR="114300">
            <wp:extent cx="5271770" cy="2790190"/>
            <wp:effectExtent l="0" t="0" r="5080" b="1016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6AD6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S9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a-e)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The proportion of double-layer contribution and pseudo-capacitive contribution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-500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at different sweep rates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of 10-100 mV s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</w:p>
    <w:p w14:paraId="6341608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790190"/>
            <wp:effectExtent l="0" t="0" r="15875" b="1016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F61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S10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a-e)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The proportion of double-layer contribution and pseudo-capacitive contribution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-700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at different sweep rates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of 10-100 mV s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</w:p>
    <w:p w14:paraId="51551B6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390515" cy="2291080"/>
            <wp:effectExtent l="0" t="0" r="635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FFCAE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S11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Discharge time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a) 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-500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b) Mn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-700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at 1-8 A g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current density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 w14:paraId="761BCCB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3117850" cy="2268220"/>
            <wp:effectExtent l="0" t="0" r="635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0DA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jc w:val="both"/>
        <w:textAlignment w:val="auto"/>
        <w:rPr>
          <w:rFonts w:hint="default"/>
          <w:lang w:val="en-US"/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Figure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S12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The GCD curve of activated carbon at an current density of 1 A g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  <w:r>
        <w:rPr>
          <w:rFonts w:hint="eastAsia" w:ascii="Times New Roman" w:hAnsi="Times New Roman" w:cs="Times New Roman"/>
          <w:sz w:val="24"/>
          <w:szCs w:val="24"/>
          <w:vertAlign w:val="baseline"/>
          <w:lang w:val="en-US" w:eastAsia="zh-CN"/>
        </w:rPr>
        <w:t>.</w:t>
      </w:r>
    </w:p>
    <w:p w14:paraId="74A08AF1">
      <w:pP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 w14:paraId="618BA5A8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Style w:val="5"/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Table </w:t>
      </w:r>
      <w:r>
        <w:rPr>
          <w:rStyle w:val="5"/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S1 Reagent Information</w:t>
      </w:r>
    </w:p>
    <w:tbl>
      <w:tblPr>
        <w:tblStyle w:val="2"/>
        <w:tblpPr w:leftFromText="180" w:rightFromText="180" w:vertAnchor="text" w:horzAnchor="page" w:tblpX="1948" w:tblpY="10"/>
        <w:tblOverlap w:val="never"/>
        <w:tblW w:w="4819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2533"/>
        <w:gridCol w:w="3271"/>
      </w:tblGrid>
      <w:tr w14:paraId="7A2308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2410" w:type="dxa"/>
            <w:tcBorders>
              <w:top w:val="single" w:color="auto" w:sz="12" w:space="0"/>
              <w:bottom w:val="single" w:color="auto" w:sz="6" w:space="0"/>
            </w:tcBorders>
            <w:shd w:val="clear" w:color="auto" w:fill="auto"/>
            <w:vAlign w:val="top"/>
          </w:tcPr>
          <w:p w14:paraId="0495EC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Name</w:t>
            </w:r>
          </w:p>
        </w:tc>
        <w:tc>
          <w:tcPr>
            <w:tcW w:w="2533" w:type="dxa"/>
            <w:tcBorders>
              <w:top w:val="single" w:color="auto" w:sz="12" w:space="0"/>
              <w:bottom w:val="single" w:color="auto" w:sz="6" w:space="0"/>
            </w:tcBorders>
            <w:shd w:val="clear" w:color="auto" w:fill="auto"/>
            <w:vAlign w:val="top"/>
          </w:tcPr>
          <w:p w14:paraId="3FE8C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urity</w:t>
            </w:r>
          </w:p>
        </w:tc>
        <w:tc>
          <w:tcPr>
            <w:tcW w:w="3271" w:type="dxa"/>
            <w:tcBorders>
              <w:top w:val="single" w:color="auto" w:sz="12" w:space="0"/>
              <w:bottom w:val="single" w:color="auto" w:sz="6" w:space="0"/>
            </w:tcBorders>
            <w:shd w:val="clear" w:color="auto" w:fill="auto"/>
            <w:vAlign w:val="top"/>
          </w:tcPr>
          <w:p w14:paraId="633D7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Manufacturer</w:t>
            </w:r>
          </w:p>
        </w:tc>
      </w:tr>
      <w:tr w14:paraId="0D816E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2410" w:type="dxa"/>
            <w:tcBorders>
              <w:top w:val="single" w:color="auto" w:sz="6" w:space="0"/>
            </w:tcBorders>
            <w:shd w:val="clear" w:color="auto" w:fill="auto"/>
            <w:vAlign w:val="top"/>
          </w:tcPr>
          <w:p w14:paraId="19CDB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2,6-Pyridine dicarboxylic acid</w:t>
            </w:r>
          </w:p>
        </w:tc>
        <w:tc>
          <w:tcPr>
            <w:tcW w:w="2533" w:type="dxa"/>
            <w:tcBorders>
              <w:top w:val="single" w:color="auto" w:sz="6" w:space="0"/>
            </w:tcBorders>
            <w:shd w:val="clear" w:color="auto" w:fill="auto"/>
            <w:vAlign w:val="top"/>
          </w:tcPr>
          <w:p w14:paraId="39D33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99.0%</w:t>
            </w:r>
          </w:p>
        </w:tc>
        <w:tc>
          <w:tcPr>
            <w:tcW w:w="3271" w:type="dxa"/>
            <w:tcBorders>
              <w:top w:val="single" w:color="auto" w:sz="6" w:space="0"/>
            </w:tcBorders>
            <w:shd w:val="clear" w:color="auto" w:fill="auto"/>
            <w:vAlign w:val="top"/>
          </w:tcPr>
          <w:p w14:paraId="5FB10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5B9BD5" w:themeColor="accent1"/>
                <w:sz w:val="21"/>
                <w:szCs w:val="21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Afaisa reagent</w:t>
            </w:r>
          </w:p>
        </w:tc>
      </w:tr>
      <w:tr w14:paraId="45110C2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410" w:type="dxa"/>
            <w:shd w:val="clear" w:color="auto" w:fill="auto"/>
            <w:vAlign w:val="top"/>
          </w:tcPr>
          <w:p w14:paraId="1A788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Anhydrous magnesium sulfate</w:t>
            </w:r>
          </w:p>
        </w:tc>
        <w:tc>
          <w:tcPr>
            <w:tcW w:w="2533" w:type="dxa"/>
            <w:shd w:val="clear" w:color="auto" w:fill="auto"/>
            <w:vAlign w:val="top"/>
          </w:tcPr>
          <w:p w14:paraId="34E57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99.0%</w:t>
            </w:r>
          </w:p>
        </w:tc>
        <w:tc>
          <w:tcPr>
            <w:tcW w:w="3271" w:type="dxa"/>
            <w:shd w:val="clear" w:color="auto" w:fill="auto"/>
            <w:vAlign w:val="top"/>
          </w:tcPr>
          <w:p w14:paraId="26F2CE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5B9BD5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Afaisa reagent</w:t>
            </w:r>
          </w:p>
        </w:tc>
      </w:tr>
      <w:tr w14:paraId="3AE8A93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2410" w:type="dxa"/>
            <w:shd w:val="clear" w:color="auto" w:fill="auto"/>
            <w:vAlign w:val="top"/>
          </w:tcPr>
          <w:p w14:paraId="402105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Manganese acetate</w:t>
            </w:r>
          </w:p>
        </w:tc>
        <w:tc>
          <w:tcPr>
            <w:tcW w:w="2533" w:type="dxa"/>
            <w:shd w:val="clear" w:color="auto" w:fill="auto"/>
            <w:vAlign w:val="top"/>
          </w:tcPr>
          <w:p w14:paraId="26D4BC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99.0%</w:t>
            </w:r>
          </w:p>
        </w:tc>
        <w:tc>
          <w:tcPr>
            <w:tcW w:w="3271" w:type="dxa"/>
            <w:shd w:val="clear" w:color="auto" w:fill="auto"/>
            <w:vAlign w:val="top"/>
          </w:tcPr>
          <w:p w14:paraId="7EA75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Afaisa reagent</w:t>
            </w:r>
          </w:p>
        </w:tc>
      </w:tr>
      <w:tr w14:paraId="0EA2B3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410" w:type="dxa"/>
            <w:shd w:val="clear" w:color="auto" w:fill="auto"/>
            <w:vAlign w:val="top"/>
          </w:tcPr>
          <w:p w14:paraId="506BE6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Potassium hydroxide</w:t>
            </w:r>
          </w:p>
        </w:tc>
        <w:tc>
          <w:tcPr>
            <w:tcW w:w="2533" w:type="dxa"/>
            <w:shd w:val="clear" w:color="auto" w:fill="auto"/>
            <w:vAlign w:val="top"/>
          </w:tcPr>
          <w:p w14:paraId="7C8E9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99.0%</w:t>
            </w:r>
          </w:p>
        </w:tc>
        <w:tc>
          <w:tcPr>
            <w:tcW w:w="3271" w:type="dxa"/>
            <w:shd w:val="clear" w:color="auto" w:fill="auto"/>
            <w:vAlign w:val="top"/>
          </w:tcPr>
          <w:p w14:paraId="4FDAE4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color w:val="5B9BD5" w:themeColor="accent1"/>
                <w:sz w:val="21"/>
                <w:szCs w:val="2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</w:rPr>
              <w:t>Afaisa reagent</w:t>
            </w:r>
          </w:p>
        </w:tc>
      </w:tr>
      <w:tr w14:paraId="1F3F625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410" w:type="dxa"/>
            <w:shd w:val="clear" w:color="auto" w:fill="auto"/>
            <w:vAlign w:val="top"/>
          </w:tcPr>
          <w:p w14:paraId="536C90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Acetylene black</w:t>
            </w:r>
          </w:p>
        </w:tc>
        <w:tc>
          <w:tcPr>
            <w:tcW w:w="2533" w:type="dxa"/>
            <w:shd w:val="clear" w:color="auto" w:fill="auto"/>
            <w:vAlign w:val="top"/>
          </w:tcPr>
          <w:p w14:paraId="26F2F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99.0%</w:t>
            </w:r>
          </w:p>
        </w:tc>
        <w:tc>
          <w:tcPr>
            <w:tcW w:w="3271" w:type="dxa"/>
            <w:shd w:val="clear" w:color="auto" w:fill="auto"/>
            <w:vAlign w:val="top"/>
          </w:tcPr>
          <w:p w14:paraId="0B5D3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color w:val="5B9BD5" w:themeColor="accent1"/>
                <w:sz w:val="21"/>
                <w:szCs w:val="2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/>
              </w:rPr>
              <w:t>Afaisa reagent</w:t>
            </w:r>
          </w:p>
        </w:tc>
      </w:tr>
      <w:tr w14:paraId="69FC1B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2410" w:type="dxa"/>
            <w:shd w:val="clear" w:color="auto" w:fill="auto"/>
            <w:vAlign w:val="top"/>
          </w:tcPr>
          <w:p w14:paraId="64027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Polyvinylidene fluoride (PVDF)</w:t>
            </w:r>
          </w:p>
        </w:tc>
        <w:tc>
          <w:tcPr>
            <w:tcW w:w="2533" w:type="dxa"/>
            <w:shd w:val="clear" w:color="auto" w:fill="auto"/>
            <w:vAlign w:val="top"/>
          </w:tcPr>
          <w:p w14:paraId="28F25D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99.0%</w:t>
            </w:r>
          </w:p>
        </w:tc>
        <w:tc>
          <w:tcPr>
            <w:tcW w:w="3271" w:type="dxa"/>
            <w:shd w:val="clear" w:color="auto" w:fill="auto"/>
            <w:vAlign w:val="top"/>
          </w:tcPr>
          <w:p w14:paraId="7A707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5B9BD5" w:themeColor="accent1"/>
                <w:sz w:val="21"/>
                <w:szCs w:val="21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Afaisa reagent</w:t>
            </w:r>
          </w:p>
        </w:tc>
      </w:tr>
      <w:tr w14:paraId="3422A0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  <w:jc w:val="center"/>
        </w:trPr>
        <w:tc>
          <w:tcPr>
            <w:tcW w:w="2410" w:type="dxa"/>
            <w:shd w:val="clear" w:color="auto" w:fill="auto"/>
            <w:vAlign w:val="top"/>
          </w:tcPr>
          <w:p w14:paraId="6A934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N-Methylpyrrolidone (NMP)</w:t>
            </w:r>
          </w:p>
        </w:tc>
        <w:tc>
          <w:tcPr>
            <w:tcW w:w="2533" w:type="dxa"/>
            <w:shd w:val="clear" w:color="auto" w:fill="auto"/>
            <w:vAlign w:val="top"/>
          </w:tcPr>
          <w:p w14:paraId="0ABA7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baseline"/>
                <w:lang w:val="en-US" w:eastAsia="zh-CN" w:bidi="ar"/>
              </w:rPr>
              <w:t>99.0%</w:t>
            </w:r>
          </w:p>
        </w:tc>
        <w:tc>
          <w:tcPr>
            <w:tcW w:w="3271" w:type="dxa"/>
            <w:shd w:val="clear" w:color="auto" w:fill="auto"/>
            <w:vAlign w:val="top"/>
          </w:tcPr>
          <w:p w14:paraId="3E312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Afaisa reagent</w:t>
            </w:r>
          </w:p>
        </w:tc>
      </w:tr>
    </w:tbl>
    <w:p w14:paraId="20283FA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4E098B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0CC99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3C1947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B60079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64C7EC90">
      <w:pP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 w14:paraId="04B701B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Style w:val="5"/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Table </w:t>
      </w:r>
      <w:r>
        <w:rPr>
          <w:rStyle w:val="5"/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S2</w:t>
      </w:r>
      <w:r>
        <w:rPr>
          <w:rStyle w:val="5"/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 Cry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 xml:space="preserve">stallographic data and refinement parameters for </w:t>
      </w:r>
      <w:r>
        <w:rPr>
          <w:rStyle w:val="5"/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26p-Mn</w:t>
      </w:r>
      <w:r>
        <w:rPr>
          <w:rStyle w:val="5"/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-MOF</w:t>
      </w:r>
    </w:p>
    <w:tbl>
      <w:tblPr>
        <w:tblStyle w:val="3"/>
        <w:tblW w:w="0" w:type="auto"/>
        <w:jc w:val="center"/>
        <w:tblBorders>
          <w:top w:val="single" w:color="000000" w:themeColor="text1" w:sz="4" w:space="0"/>
          <w:left w:val="none" w:color="auto" w:sz="0" w:space="0"/>
          <w:bottom w:val="single" w:color="000000" w:themeColor="text1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5A95818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</w:tcPr>
          <w:p w14:paraId="577F082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parameters</w:t>
            </w:r>
          </w:p>
        </w:tc>
        <w:tc>
          <w:tcPr>
            <w:tcW w:w="4261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310F1DA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values</w:t>
            </w:r>
          </w:p>
        </w:tc>
      </w:tr>
      <w:tr w14:paraId="7EA3E130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30A26D0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Empirical formula</w:t>
            </w:r>
          </w:p>
        </w:tc>
        <w:tc>
          <w:tcPr>
            <w:tcW w:w="4261" w:type="dxa"/>
            <w:tcBorders>
              <w:top w:val="single" w:color="000000" w:sz="4" w:space="0"/>
            </w:tcBorders>
            <w:shd w:val="clear" w:color="auto" w:fill="FFFFFF"/>
            <w:vAlign w:val="center"/>
          </w:tcPr>
          <w:p w14:paraId="38A2E3E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eastAsia="zh-CN"/>
              </w:rPr>
            </w:pPr>
            <w:bookmarkStart w:id="5" w:name="OLE_LINK1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C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H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Mn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N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O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1</w:t>
            </w:r>
            <w:bookmarkEnd w:id="5"/>
          </w:p>
        </w:tc>
      </w:tr>
      <w:tr w14:paraId="1E769C77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4999375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3FBC087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  <w:t>500.1</w:t>
            </w:r>
          </w:p>
        </w:tc>
      </w:tr>
      <w:tr w14:paraId="53A4CE2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6D20EEA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Temperature/K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2924445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293(2)</w:t>
            </w:r>
          </w:p>
        </w:tc>
      </w:tr>
      <w:tr w14:paraId="6A32548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3998035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641F705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monoclinic</w:t>
            </w:r>
          </w:p>
        </w:tc>
      </w:tr>
      <w:tr w14:paraId="57F23F5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20E4B04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7732D54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C2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c</w:t>
            </w:r>
          </w:p>
        </w:tc>
      </w:tr>
      <w:tr w14:paraId="5B261467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1305D08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a/Å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2D9DC64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13.1954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</w:tr>
      <w:tr w14:paraId="2AB004C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17C531B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b/Å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7C31F69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9.7333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</w:tr>
      <w:tr w14:paraId="3C038781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3CC5CC1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c/Å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6E6FFE0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13.1363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</w:tr>
      <w:tr w14:paraId="59D59D76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6AFA322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α/°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5ED55D5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90</w:t>
            </w:r>
          </w:p>
        </w:tc>
      </w:tr>
      <w:tr w14:paraId="42FE0A1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3507DD2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β/°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172B7FC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6.144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</w:tr>
      <w:tr w14:paraId="4756971A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2C204AE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γ/°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5774D44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90</w:t>
            </w:r>
          </w:p>
        </w:tc>
      </w:tr>
      <w:tr w14:paraId="587842D5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112899E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Volume/Å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09230D2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677.5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)</w:t>
            </w:r>
          </w:p>
        </w:tc>
      </w:tr>
      <w:tr w14:paraId="56525382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157C616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Z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58A2824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</w:tr>
      <w:tr w14:paraId="06265A97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71AED313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Densityg/cm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442EF23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  <w:t>1.984</w:t>
            </w:r>
          </w:p>
        </w:tc>
      </w:tr>
      <w:tr w14:paraId="4EE7C2C9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2DEAB94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μ/mm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vertAlign w:val="superscript"/>
              </w:rPr>
              <w:noBreakHyphen/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714BA07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  <w:t>1.615</w:t>
            </w:r>
          </w:p>
        </w:tc>
      </w:tr>
      <w:tr w14:paraId="1530A38E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641BFA0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F(000)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7578EC8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  <w:t>1001.0</w:t>
            </w:r>
          </w:p>
        </w:tc>
      </w:tr>
      <w:tr w14:paraId="2971756E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0B04242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2Θ range for data collection/°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4249CE4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7.872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 xml:space="preserve"> to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65.072</w:t>
            </w:r>
          </w:p>
        </w:tc>
      </w:tr>
      <w:tr w14:paraId="0C415A7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2430F6D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Index ranges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6B11985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-1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 xml:space="preserve"> ≤ h ≤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, 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4 ≤ k ≤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, -1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 xml:space="preserve"> ≤ l ≤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 w14:paraId="631B62E4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4D4585D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Reflections collected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1BA8B3C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  <w:t>8232</w:t>
            </w:r>
          </w:p>
        </w:tc>
      </w:tr>
      <w:tr w14:paraId="2D9429DE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2DE978B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59FF46C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2816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 xml:space="preserve"> [R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int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 = 0.0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581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, R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sigma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 = 0.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0795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]</w:t>
            </w:r>
          </w:p>
        </w:tc>
      </w:tr>
      <w:tr w14:paraId="3154CE2F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17E4B51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Data/restraints/parameters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37A4846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2816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/0/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130</w:t>
            </w:r>
          </w:p>
        </w:tc>
      </w:tr>
      <w:tr w14:paraId="7E47ADCC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3CE5D6A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Goodness-of-fit on F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017E029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lang w:val="en-US" w:eastAsia="zh-CN"/>
              </w:rPr>
              <w:t>0.975</w:t>
            </w:r>
          </w:p>
        </w:tc>
      </w:tr>
      <w:tr w14:paraId="4565377D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0825B15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Final R indexes [I&gt;=2σ (I)]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3BE8620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R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 = 0.0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590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 = 0.14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93</w:t>
            </w:r>
          </w:p>
        </w:tc>
      </w:tr>
      <w:tr w14:paraId="2D363A9B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shd w:val="clear" w:color="auto" w:fill="FFFFFF"/>
            <w:vAlign w:val="center"/>
          </w:tcPr>
          <w:p w14:paraId="562A914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</w:rPr>
              <w:t>Final R indexes [all data]</w:t>
            </w:r>
          </w:p>
        </w:tc>
        <w:tc>
          <w:tcPr>
            <w:tcW w:w="4261" w:type="dxa"/>
            <w:shd w:val="clear" w:color="auto" w:fill="FFFFFF"/>
            <w:vAlign w:val="center"/>
          </w:tcPr>
          <w:p w14:paraId="3DAD3FA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R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 = 0.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0867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, wR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vertAlign w:val="subscript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</w:rPr>
              <w:t> = 0.17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24"/>
                <w:szCs w:val="24"/>
                <w:lang w:val="en-US" w:eastAsia="zh-CN"/>
              </w:rPr>
              <w:t>76</w:t>
            </w:r>
          </w:p>
        </w:tc>
      </w:tr>
      <w:tr w14:paraId="13004D5C">
        <w:tblPrEx>
          <w:tblBorders>
            <w:top w:val="single" w:color="000000" w:themeColor="text1" w:sz="4" w:space="0"/>
            <w:left w:val="none" w:color="auto" w:sz="0" w:space="0"/>
            <w:bottom w:val="single" w:color="000000" w:themeColor="text1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7DB55F3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highlight w:val="none"/>
              </w:rPr>
              <w:t>CCDC number</w:t>
            </w:r>
          </w:p>
        </w:tc>
        <w:tc>
          <w:tcPr>
            <w:tcW w:w="4261" w:type="dxa"/>
            <w:tcBorders>
              <w:bottom w:val="single" w:color="000000" w:sz="12" w:space="0"/>
            </w:tcBorders>
            <w:shd w:val="clear" w:color="auto" w:fill="FFFFFF"/>
            <w:vAlign w:val="center"/>
          </w:tcPr>
          <w:p w14:paraId="1CD00BB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4"/>
                <w:szCs w:val="24"/>
                <w:highlight w:val="none"/>
                <w:lang w:val="en-US" w:eastAsia="zh-CN"/>
              </w:rPr>
              <w:t>2106211</w:t>
            </w:r>
          </w:p>
        </w:tc>
      </w:tr>
    </w:tbl>
    <w:p w14:paraId="3DC323F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CAB084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eastAsia="zh-CN"/>
        </w:rPr>
        <w:br w:type="page"/>
      </w:r>
    </w:p>
    <w:p w14:paraId="1FEA8CC6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Style w:val="5"/>
          <w:rFonts w:hint="default" w:ascii="Times New Roman" w:hAnsi="Times New Roman" w:cs="Times New Roman"/>
          <w:b w:val="0"/>
          <w:bCs/>
          <w:sz w:val="24"/>
          <w:szCs w:val="24"/>
          <w:highlight w:val="none"/>
        </w:rPr>
        <w:t xml:space="preserve">Table </w:t>
      </w:r>
      <w:r>
        <w:rPr>
          <w:rStyle w:val="5"/>
          <w:rFonts w:hint="eastAsia" w:ascii="Times New Roman" w:hAnsi="Times New Roman" w:eastAsia="宋体" w:cs="Times New Roman"/>
          <w:b w:val="0"/>
          <w:bCs/>
          <w:sz w:val="24"/>
          <w:szCs w:val="24"/>
          <w:highlight w:val="none"/>
          <w:lang w:val="en-US" w:eastAsia="zh-CN"/>
        </w:rPr>
        <w:t>S3</w:t>
      </w:r>
      <w:r>
        <w:rPr>
          <w:rStyle w:val="5"/>
          <w:rFonts w:hint="default" w:ascii="Times New Roman" w:hAnsi="Times New Roman" w:cs="Times New Roman"/>
          <w:b w:val="0"/>
          <w:bCs/>
          <w:sz w:val="24"/>
          <w:szCs w:val="24"/>
          <w:highlight w:val="none"/>
        </w:rPr>
        <w:t xml:space="preserve"> </w:t>
      </w:r>
      <w:r>
        <w:rPr>
          <w:rStyle w:val="5"/>
          <w:rFonts w:hint="default" w:ascii="Times New Roman" w:hAnsi="Times New Roman" w:cs="Times New Roman"/>
          <w:sz w:val="24"/>
          <w:szCs w:val="24"/>
          <w:highlight w:val="none"/>
        </w:rPr>
        <w:t xml:space="preserve">Selected bond lengths (Å) for the </w:t>
      </w:r>
      <w:r>
        <w:rPr>
          <w:rStyle w:val="5"/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26p-Mn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-MOF</w:t>
      </w:r>
      <w:r>
        <w:rPr>
          <w:rStyle w:val="5"/>
          <w:rFonts w:hint="default" w:ascii="Times New Roman" w:hAnsi="Times New Roman" w:cs="Times New Roman"/>
          <w:sz w:val="24"/>
          <w:szCs w:val="24"/>
          <w:highlight w:val="none"/>
        </w:rPr>
        <w:t>.</w:t>
      </w:r>
    </w:p>
    <w:tbl>
      <w:tblPr>
        <w:tblStyle w:val="3"/>
        <w:tblW w:w="8414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4"/>
        <w:gridCol w:w="2143"/>
        <w:gridCol w:w="2068"/>
        <w:gridCol w:w="2229"/>
      </w:tblGrid>
      <w:tr w14:paraId="2D24F98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4" w:type="dxa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</w:tcPr>
          <w:p w14:paraId="39E2A2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43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72FC9B6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5"/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highlight w:val="none"/>
                <w:lang w:val="en-GB" w:eastAsia="en-GB"/>
              </w:rPr>
              <w:t>Bond length</w:t>
            </w:r>
          </w:p>
        </w:tc>
        <w:tc>
          <w:tcPr>
            <w:tcW w:w="2068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6340517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29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0C10F1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5"/>
                <w:rFonts w:hint="default" w:ascii="Times New Roman" w:hAnsi="Times New Roman" w:cs="Times New Roman"/>
                <w:b w:val="0"/>
                <w:color w:val="000000"/>
                <w:kern w:val="0"/>
                <w:sz w:val="24"/>
                <w:szCs w:val="24"/>
                <w:highlight w:val="none"/>
                <w:lang w:val="en-GB" w:eastAsia="en-GB"/>
              </w:rPr>
              <w:t>Bond length</w:t>
            </w:r>
          </w:p>
        </w:tc>
      </w:tr>
      <w:tr w14:paraId="5BE87C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4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6CB58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2143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6E74AFAA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2.268(2)</w:t>
            </w:r>
          </w:p>
        </w:tc>
        <w:tc>
          <w:tcPr>
            <w:tcW w:w="2068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</w:tcPr>
          <w:p w14:paraId="71D8CF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Mn1-O6</w:t>
            </w:r>
          </w:p>
        </w:tc>
        <w:tc>
          <w:tcPr>
            <w:tcW w:w="2229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 w14:paraId="4A82E41E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2.492(2)</w:t>
            </w:r>
          </w:p>
        </w:tc>
      </w:tr>
      <w:tr w14:paraId="0ACA3C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4" w:type="dxa"/>
            <w:tcBorders>
              <w:tl2br w:val="nil"/>
              <w:tr2bl w:val="nil"/>
            </w:tcBorders>
            <w:shd w:val="clear" w:color="auto" w:fill="FFFFFF"/>
          </w:tcPr>
          <w:p w14:paraId="560D27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4704D2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2.256(2)</w:t>
            </w:r>
          </w:p>
        </w:tc>
        <w:tc>
          <w:tcPr>
            <w:tcW w:w="2068" w:type="dxa"/>
            <w:tcBorders>
              <w:tl2br w:val="nil"/>
              <w:tr2bl w:val="nil"/>
            </w:tcBorders>
            <w:shd w:val="clear" w:color="auto" w:fill="FFFFFF"/>
          </w:tcPr>
          <w:p w14:paraId="0A2A0E4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Mn1-O4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22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65BCFD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2.125(3)</w:t>
            </w:r>
          </w:p>
        </w:tc>
      </w:tr>
      <w:tr w14:paraId="15BC99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4" w:type="dxa"/>
            <w:tcBorders>
              <w:tl2br w:val="nil"/>
              <w:tr2bl w:val="nil"/>
            </w:tcBorders>
            <w:shd w:val="clear" w:color="auto" w:fill="FFFFFF"/>
          </w:tcPr>
          <w:p w14:paraId="0A4C189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Mn1-O4</w:t>
            </w:r>
          </w:p>
        </w:tc>
        <w:tc>
          <w:tcPr>
            <w:tcW w:w="214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EFC1D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2.167(2)</w:t>
            </w:r>
          </w:p>
        </w:tc>
        <w:tc>
          <w:tcPr>
            <w:tcW w:w="2068" w:type="dxa"/>
            <w:tcBorders>
              <w:tl2br w:val="nil"/>
              <w:tr2bl w:val="nil"/>
            </w:tcBorders>
            <w:shd w:val="clear" w:color="auto" w:fill="FFFFFF"/>
          </w:tcPr>
          <w:p w14:paraId="721D79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Mn1-N1</w:t>
            </w:r>
          </w:p>
        </w:tc>
        <w:tc>
          <w:tcPr>
            <w:tcW w:w="222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9726C6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2.289(3)</w:t>
            </w:r>
          </w:p>
        </w:tc>
      </w:tr>
      <w:tr w14:paraId="732711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74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</w:tcPr>
          <w:p w14:paraId="3231560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Mn1-O3</w:t>
            </w:r>
          </w:p>
        </w:tc>
        <w:tc>
          <w:tcPr>
            <w:tcW w:w="214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7B346E3A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2.274(2)</w:t>
            </w:r>
          </w:p>
        </w:tc>
        <w:tc>
          <w:tcPr>
            <w:tcW w:w="2068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</w:tcPr>
          <w:p w14:paraId="544E0F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29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center"/>
          </w:tcPr>
          <w:p w14:paraId="0B9E108B">
            <w:pPr>
              <w:keepNext w:val="0"/>
              <w:keepLines w:val="0"/>
              <w:pageBreakBefore w:val="0"/>
              <w:widowControl/>
              <w:suppressLineNumbers w:val="0"/>
              <w:tabs>
                <w:tab w:val="decimal" w:pos="120"/>
              </w:tabs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right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</w:pPr>
          </w:p>
        </w:tc>
      </w:tr>
    </w:tbl>
    <w:p w14:paraId="1275DC9D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kern w:val="0"/>
          <w:sz w:val="24"/>
          <w:szCs w:val="24"/>
          <w:highlight w:val="none"/>
          <w:lang w:val="en-GB" w:eastAsia="en-GB"/>
        </w:rPr>
        <w:t>Symmetric code:</w:t>
      </w:r>
      <w:r>
        <w:rPr>
          <w:rFonts w:hint="default" w:ascii="Times New Roman" w:hAnsi="Times New Roman" w:eastAsia="微软雅黑" w:cs="Times New Roman"/>
          <w:color w:val="000000"/>
          <w:sz w:val="24"/>
          <w:szCs w:val="24"/>
          <w:highlight w:val="none"/>
          <w:vertAlign w:val="superscript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1-X,+Y,3/2-Z; 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+X,1-Y,1/2+Z;</w:t>
      </w:r>
    </w:p>
    <w:p w14:paraId="6FD2728E"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343F4A5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default" w:ascii="Times New Roman" w:hAnsi="Times New Roman" w:eastAsia="AdvOT999035f4" w:cs="Times New Roman"/>
          <w:sz w:val="24"/>
          <w:szCs w:val="24"/>
          <w:lang w:val="en-US"/>
        </w:rPr>
      </w:pPr>
      <w:r>
        <w:rPr>
          <w:rStyle w:val="10"/>
          <w:rFonts w:hint="default" w:ascii="Times New Roman" w:hAnsi="Times New Roman" w:eastAsia="AdvOT999035f4" w:cs="Times New Roman"/>
          <w:b w:val="0"/>
          <w:bCs/>
          <w:kern w:val="2"/>
          <w:sz w:val="24"/>
          <w:szCs w:val="24"/>
          <w:lang w:val="en-US" w:eastAsia="zh-CN" w:bidi="ar"/>
        </w:rPr>
        <w:t xml:space="preserve">Table </w:t>
      </w:r>
      <w:r>
        <w:rPr>
          <w:rStyle w:val="10"/>
          <w:rFonts w:hint="eastAsia" w:ascii="Times New Roman" w:hAnsi="Times New Roman" w:eastAsia="AdvOT999035f4" w:cs="Times New Roman"/>
          <w:b w:val="0"/>
          <w:bCs/>
          <w:kern w:val="2"/>
          <w:sz w:val="24"/>
          <w:szCs w:val="24"/>
          <w:lang w:val="en-US" w:eastAsia="zh-CN" w:bidi="ar"/>
        </w:rPr>
        <w:t>S</w:t>
      </w:r>
      <w:r>
        <w:rPr>
          <w:rStyle w:val="10"/>
          <w:rFonts w:hint="eastAsia" w:ascii="Times New Roman" w:hAnsi="Times New Roman" w:cs="Times New Roman"/>
          <w:b w:val="0"/>
          <w:bCs/>
          <w:kern w:val="2"/>
          <w:sz w:val="24"/>
          <w:szCs w:val="24"/>
          <w:lang w:val="en-US" w:eastAsia="zh-CN" w:bidi="ar"/>
        </w:rPr>
        <w:t>4</w:t>
      </w:r>
      <w:r>
        <w:rPr>
          <w:rStyle w:val="10"/>
          <w:rFonts w:hint="default" w:ascii="Times New Roman" w:hAnsi="Times New Roman" w:eastAsia="AdvOT999035f4" w:cs="Times New Roman"/>
          <w:b w:val="0"/>
          <w:bCs/>
          <w:kern w:val="2"/>
          <w:sz w:val="24"/>
          <w:szCs w:val="24"/>
          <w:lang w:val="en-US" w:eastAsia="zh-CN" w:bidi="ar"/>
        </w:rPr>
        <w:t xml:space="preserve"> Se</w:t>
      </w:r>
      <w:r>
        <w:rPr>
          <w:rStyle w:val="10"/>
          <w:rFonts w:hint="default" w:ascii="Times New Roman" w:hAnsi="Times New Roman" w:eastAsia="AdvOT999035f4" w:cs="Times New Roman"/>
          <w:kern w:val="2"/>
          <w:sz w:val="24"/>
          <w:szCs w:val="24"/>
          <w:lang w:val="en-US" w:eastAsia="zh-CN" w:bidi="ar"/>
        </w:rPr>
        <w:t>lected</w:t>
      </w:r>
      <w:r>
        <w:rPr>
          <w:rFonts w:hint="default" w:ascii="Times New Roman" w:hAnsi="Times New Roman" w:eastAsia="微软雅黑" w:cs="Times New Roman"/>
          <w:bCs/>
          <w:kern w:val="2"/>
          <w:sz w:val="24"/>
          <w:szCs w:val="24"/>
          <w:lang w:val="en-US" w:eastAsia="zh-CN" w:bidi="ar"/>
        </w:rPr>
        <w:t xml:space="preserve"> bond angles for</w:t>
      </w:r>
      <w:r>
        <w:rPr>
          <w:rStyle w:val="10"/>
          <w:rFonts w:hint="default" w:ascii="Times New Roman" w:hAnsi="Times New Roman" w:eastAsia="AdvOT999035f4" w:cs="Times New Roman"/>
          <w:kern w:val="2"/>
          <w:sz w:val="24"/>
          <w:szCs w:val="24"/>
          <w:lang w:val="en-US" w:eastAsia="zh-CN" w:bidi="ar"/>
        </w:rPr>
        <w:t xml:space="preserve"> the </w:t>
      </w:r>
      <w:r>
        <w:rPr>
          <w:rStyle w:val="5"/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26p-Mn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-MOF</w:t>
      </w:r>
      <w:r>
        <w:rPr>
          <w:rStyle w:val="5"/>
          <w:rFonts w:hint="default" w:ascii="Times New Roman" w:hAnsi="Times New Roman" w:cs="Times New Roman"/>
          <w:sz w:val="24"/>
          <w:szCs w:val="24"/>
          <w:highlight w:val="none"/>
        </w:rPr>
        <w:t>.</w:t>
      </w:r>
    </w:p>
    <w:tbl>
      <w:tblPr>
        <w:tblStyle w:val="3"/>
        <w:tblW w:w="9159" w:type="dxa"/>
        <w:tblInd w:w="0" w:type="dxa"/>
        <w:tblBorders>
          <w:top w:val="single" w:color="auto" w:sz="4" w:space="0"/>
          <w:left w:val="single" w:color="000000" w:sz="4" w:space="0"/>
          <w:bottom w:val="single" w:color="auto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9"/>
        <w:gridCol w:w="2289"/>
        <w:gridCol w:w="2290"/>
        <w:gridCol w:w="2291"/>
      </w:tblGrid>
      <w:tr w14:paraId="33F914B7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vAlign w:val="top"/>
          </w:tcPr>
          <w:p w14:paraId="4D1E944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8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143997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val="en-GB" w:eastAsia="en-GB"/>
              </w:rPr>
              <w:t>Angle/˚</w:t>
            </w:r>
          </w:p>
        </w:tc>
        <w:tc>
          <w:tcPr>
            <w:tcW w:w="2290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454880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91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1FD4BF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val="en-GB" w:eastAsia="en-GB"/>
              </w:rPr>
              <w:t>Angle/˚</w:t>
            </w:r>
          </w:p>
        </w:tc>
      </w:tr>
      <w:tr w14:paraId="143D1F2C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F81A6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B17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70.82(9)</w:t>
            </w:r>
          </w:p>
        </w:tc>
        <w:tc>
          <w:tcPr>
            <w:tcW w:w="229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6F338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O4-Mn1-O4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91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76C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78.99(9)</w:t>
            </w:r>
          </w:p>
        </w:tc>
      </w:tr>
      <w:tr w14:paraId="33FF30F6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C0147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-Mn1-O4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EA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150.95(8)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0813B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O4-Mn1-N1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1CCE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90.73(10)</w:t>
            </w:r>
          </w:p>
        </w:tc>
      </w:tr>
      <w:tr w14:paraId="71BD6A50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30C5A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-Mn1-O4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993C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136.90(8)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BFB6B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O4-Mn1-O3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2741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74.03(8)</w:t>
            </w:r>
          </w:p>
        </w:tc>
      </w:tr>
      <w:tr w14:paraId="2E310632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7637DD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-Mn1-N1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D4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140.54(8)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10EABE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O6-Mn1-O2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F21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88.63(10)</w:t>
            </w:r>
          </w:p>
        </w:tc>
      </w:tr>
      <w:tr w14:paraId="4A7D41A1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27569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-Mn1-N1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421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70.78(8)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1E7F3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O6-Mn1-O2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CDE5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83.55(10)</w:t>
            </w:r>
          </w:p>
        </w:tc>
      </w:tr>
      <w:tr w14:paraId="50E9EC33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EDE91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15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83.43(7)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2B858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O6-Mn1-O4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105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164.31(10)</w:t>
            </w:r>
          </w:p>
        </w:tc>
      </w:tr>
      <w:tr w14:paraId="6B9BFE04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46D23A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-Mn1-O3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F789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154.03(7)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F1469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O6-Mn1-O4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7EB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102.51(9)</w:t>
            </w:r>
          </w:p>
        </w:tc>
      </w:tr>
      <w:tr w14:paraId="7D668768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E48C0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O4-Mn1-O2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B4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87.89(10)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5F84E3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O6-Mn1-N1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2A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104.23(11)</w:t>
            </w:r>
          </w:p>
        </w:tc>
      </w:tr>
      <w:tr w14:paraId="3FC85018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25FCBE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O4-Mn1-O2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37D4AC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100.97(9)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608F82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O6-Mn1-O3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3C5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91.89(10)</w:t>
            </w:r>
          </w:p>
        </w:tc>
      </w:tr>
      <w:tr w14:paraId="1FC15984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0879C3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N1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-Mn1-O4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7EF9BA2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66.14(8)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 w14:paraId="6FA5C0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O3-Mn1-O4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E4F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68.12(7)</w:t>
            </w:r>
          </w:p>
        </w:tc>
      </w:tr>
      <w:tr w14:paraId="70FA6E71">
        <w:tblPrEx>
          <w:tblBorders>
            <w:top w:val="single" w:color="auto" w:sz="4" w:space="0"/>
            <w:left w:val="single" w:color="000000" w:sz="4" w:space="0"/>
            <w:bottom w:val="single" w:color="auto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8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2C4EEB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 w:eastAsia="zh-CN" w:bidi="ar"/>
              </w:rPr>
              <w:t>O3-Mn1-N1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228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6DF770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2"/>
                <w:szCs w:val="22"/>
                <w:lang w:val="en-US" w:eastAsia="zh-CN" w:bidi="ar"/>
              </w:rPr>
              <w:t>133.73(8)</w:t>
            </w:r>
          </w:p>
        </w:tc>
        <w:tc>
          <w:tcPr>
            <w:tcW w:w="2290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top"/>
          </w:tcPr>
          <w:p w14:paraId="10F341F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291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vAlign w:val="center"/>
          </w:tcPr>
          <w:p w14:paraId="3F8D65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360" w:lineRule="auto"/>
              <w:ind w:left="0" w:right="0"/>
              <w:jc w:val="right"/>
              <w:textAlignment w:val="auto"/>
              <w:rPr>
                <w:rFonts w:hint="default" w:ascii="Times New Roman" w:hAnsi="Times New Roman" w:cs="Times New Roman"/>
                <w:b w:val="0"/>
                <w:color w:val="000000"/>
                <w:kern w:val="0"/>
                <w:sz w:val="22"/>
                <w:szCs w:val="22"/>
                <w:lang w:val="en-US"/>
              </w:rPr>
            </w:pPr>
          </w:p>
        </w:tc>
      </w:tr>
    </w:tbl>
    <w:p w14:paraId="042A84BC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Symmetric code: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1-X,+Y,3/2-Z;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+X,1-Y,1/2+Z;</w:t>
      </w:r>
    </w:p>
    <w:p w14:paraId="11FC635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</w:pPr>
    </w:p>
    <w:p w14:paraId="70D16CB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textAlignment w:val="auto"/>
        <w:rPr>
          <w:rFonts w:hint="eastAsia" w:ascii="Times New Roman" w:hAnsi="Times New Roman" w:eastAsia="宋体" w:cs="Times New Roman"/>
          <w:b/>
          <w:color w:val="000000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微软雅黑" w:cs="Times New Roman"/>
          <w:b w:val="0"/>
          <w:bCs w:val="0"/>
          <w:color w:val="000000"/>
          <w:sz w:val="24"/>
          <w:szCs w:val="24"/>
          <w:highlight w:val="none"/>
        </w:rPr>
        <w:t xml:space="preserve">Table 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S5</w:t>
      </w:r>
      <w:r>
        <w:rPr>
          <w:rFonts w:ascii="Times New Roman" w:hAnsi="Times New Roman" w:eastAsia="微软雅黑" w:cs="Times New Roman"/>
          <w:b w:val="0"/>
          <w:bCs w:val="0"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微软雅黑" w:cs="Times New Roman"/>
          <w:bCs/>
          <w:color w:val="000000"/>
          <w:sz w:val="24"/>
          <w:szCs w:val="24"/>
          <w:highlight w:val="none"/>
        </w:rPr>
        <w:t xml:space="preserve">Hydrogen Bonds for </w:t>
      </w:r>
      <w:r>
        <w:rPr>
          <w:rStyle w:val="5"/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26p-Mn</w:t>
      </w:r>
      <w:r>
        <w:rPr>
          <w:rStyle w:val="5"/>
          <w:rFonts w:hint="default" w:ascii="Times New Roman" w:hAnsi="Times New Roman" w:cs="Times New Roman"/>
          <w:sz w:val="24"/>
          <w:szCs w:val="24"/>
        </w:rPr>
        <w:t>-MOF</w:t>
      </w:r>
      <w:r>
        <w:rPr>
          <w:rStyle w:val="5"/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.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0D815D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</w:tcPr>
          <w:p w14:paraId="1EC432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highlight w:val="none"/>
              </w:rPr>
              <w:t>D H A</w:t>
            </w:r>
          </w:p>
        </w:tc>
        <w:tc>
          <w:tcPr>
            <w:tcW w:w="1704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2A1CD0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4"/>
                <w:szCs w:val="24"/>
                <w:highlight w:val="none"/>
              </w:rPr>
              <w:t>d(D-H)/Å</w:t>
            </w:r>
          </w:p>
        </w:tc>
        <w:tc>
          <w:tcPr>
            <w:tcW w:w="1704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3BC633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4"/>
                <w:szCs w:val="24"/>
                <w:highlight w:val="none"/>
              </w:rPr>
              <w:t>d(H-A)/Å</w:t>
            </w:r>
          </w:p>
        </w:tc>
        <w:tc>
          <w:tcPr>
            <w:tcW w:w="1705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38395D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4"/>
                <w:szCs w:val="24"/>
                <w:highlight w:val="none"/>
              </w:rPr>
              <w:t>d(D-A)/Å</w:t>
            </w:r>
          </w:p>
        </w:tc>
        <w:tc>
          <w:tcPr>
            <w:tcW w:w="1705" w:type="dxa"/>
            <w:tcBorders>
              <w:top w:val="single" w:color="000000" w:sz="12" w:space="0"/>
              <w:bottom w:val="single" w:color="000000" w:sz="4" w:space="0"/>
            </w:tcBorders>
            <w:shd w:val="clear" w:color="auto" w:fill="FFFFFF"/>
          </w:tcPr>
          <w:p w14:paraId="1D8B23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24"/>
                <w:szCs w:val="24"/>
                <w:highlight w:val="none"/>
              </w:rPr>
              <w:t>D-H-A/°</w:t>
            </w:r>
          </w:p>
        </w:tc>
      </w:tr>
      <w:tr w14:paraId="02DB44A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</w:tcPr>
          <w:p w14:paraId="5A22797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  <w:t>O6 H6A O5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superscript"/>
                <w:lang w:val="en-US" w:eastAsia="zh-CN" w:bidi="ar"/>
              </w:rPr>
              <w:t>1</w:t>
            </w:r>
          </w:p>
        </w:tc>
        <w:tc>
          <w:tcPr>
            <w:tcW w:w="1704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</w:tcPr>
          <w:p w14:paraId="41A591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  <w:t>0.95</w:t>
            </w:r>
          </w:p>
        </w:tc>
        <w:tc>
          <w:tcPr>
            <w:tcW w:w="1704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</w:tcPr>
          <w:p w14:paraId="0C1B0D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  <w:t>2.12</w:t>
            </w:r>
          </w:p>
        </w:tc>
        <w:tc>
          <w:tcPr>
            <w:tcW w:w="1705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</w:tcPr>
          <w:p w14:paraId="68A0CF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2"/>
                <w:szCs w:val="22"/>
              </w:rPr>
              <w:t>2.725(4)</w:t>
            </w:r>
          </w:p>
        </w:tc>
        <w:tc>
          <w:tcPr>
            <w:tcW w:w="1705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</w:tcPr>
          <w:p w14:paraId="4EC0801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2"/>
                <w:szCs w:val="22"/>
              </w:rPr>
              <w:t>120.4</w:t>
            </w:r>
          </w:p>
        </w:tc>
      </w:tr>
      <w:tr w14:paraId="3145E7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</w:tcPr>
          <w:p w14:paraId="562782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  <w:t>O6 H6B O5</w:t>
            </w: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1704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</w:tcPr>
          <w:p w14:paraId="799332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  <w:t>0.95</w:t>
            </w:r>
          </w:p>
        </w:tc>
        <w:tc>
          <w:tcPr>
            <w:tcW w:w="1704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</w:tcPr>
          <w:p w14:paraId="7828C2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  <w:t>1.85</w:t>
            </w:r>
          </w:p>
        </w:tc>
        <w:tc>
          <w:tcPr>
            <w:tcW w:w="1705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</w:tcPr>
          <w:p w14:paraId="47B944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2"/>
                <w:szCs w:val="22"/>
              </w:rPr>
              <w:t>2.789(3)</w:t>
            </w:r>
          </w:p>
        </w:tc>
        <w:tc>
          <w:tcPr>
            <w:tcW w:w="1705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</w:tcPr>
          <w:p w14:paraId="0DAA82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4"/>
                <w:szCs w:val="24"/>
                <w:vertAlign w:val="baseline"/>
                <w:lang w:val="en-US" w:eastAsia="zh-CN" w:bidi="ar"/>
              </w:rPr>
              <w:t>170.2</w:t>
            </w:r>
          </w:p>
        </w:tc>
      </w:tr>
    </w:tbl>
    <w:p w14:paraId="0841167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snapToGrid/>
        <w:spacing w:before="0" w:beforeAutospacing="0" w:after="0" w:afterAutospacing="0" w:line="360" w:lineRule="auto"/>
        <w:ind w:left="0" w:right="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Symmetric code: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1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 xml:space="preserve">1-X,+Y,3/2-Z; 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vertAlign w:val="superscript"/>
          <w:lang w:val="en-US" w:eastAsia="zh-CN" w:bidi="ar"/>
        </w:rPr>
        <w:t>2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+X,1-Y,1/2+Z;</w:t>
      </w:r>
    </w:p>
    <w:p w14:paraId="153A3A2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8307BF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after="0" w:line="360" w:lineRule="auto"/>
        <w:textAlignment w:val="auto"/>
        <w:rPr>
          <w:rFonts w:hint="eastAsia" w:ascii="Times New Roman" w:hAnsi="Times New Roman" w:eastAsia="宋体" w:cs="Times New Roman"/>
          <w:b/>
          <w:color w:val="000000"/>
          <w:sz w:val="24"/>
          <w:szCs w:val="24"/>
          <w:highlight w:val="none"/>
          <w:lang w:val="en-US" w:eastAsia="zh-CN"/>
        </w:rPr>
      </w:pPr>
      <w:r>
        <w:rPr>
          <w:rFonts w:ascii="Times New Roman" w:hAnsi="Times New Roman" w:eastAsia="微软雅黑" w:cs="Times New Roman"/>
          <w:b w:val="0"/>
          <w:bCs w:val="0"/>
          <w:color w:val="000000"/>
          <w:sz w:val="24"/>
          <w:szCs w:val="24"/>
          <w:highlight w:val="none"/>
        </w:rPr>
        <w:t xml:space="preserve">Table 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sz w:val="24"/>
          <w:szCs w:val="24"/>
          <w:highlight w:val="none"/>
          <w:lang w:val="en-US" w:eastAsia="zh-CN"/>
        </w:rPr>
        <w:t>S6</w:t>
      </w:r>
      <w:r>
        <w:rPr>
          <w:rFonts w:ascii="Times New Roman" w:hAnsi="Times New Roman" w:eastAsia="微软雅黑" w:cs="Times New Roman"/>
          <w:b w:val="0"/>
          <w:bCs w:val="0"/>
          <w:color w:val="000000"/>
          <w:sz w:val="24"/>
          <w:szCs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bCs/>
          <w:color w:val="auto"/>
          <w:sz w:val="24"/>
          <w:szCs w:val="24"/>
          <w:highlight w:val="none"/>
          <w:lang w:val="en-US" w:eastAsia="zh-CN"/>
        </w:rPr>
        <w:t xml:space="preserve">pecific fitting values of </w:t>
      </w:r>
      <w:r>
        <w:rPr>
          <w:rFonts w:hint="eastAsia" w:ascii="Times New Roman" w:hAnsi="Times New Roman" w:cs="Times New Roman"/>
          <w:bCs/>
          <w:color w:val="auto"/>
          <w:sz w:val="24"/>
          <w:szCs w:val="24"/>
          <w:highlight w:val="none"/>
          <w:lang w:val="en-US" w:eastAsia="zh-CN"/>
        </w:rPr>
        <w:t>EIS</w:t>
      </w:r>
      <w:r>
        <w:rPr>
          <w:rStyle w:val="5"/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.</w:t>
      </w:r>
    </w:p>
    <w:tbl>
      <w:tblPr>
        <w:tblStyle w:val="3"/>
        <w:tblW w:w="511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</w:tblGrid>
      <w:tr w14:paraId="4F7565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vAlign w:val="top"/>
          </w:tcPr>
          <w:p w14:paraId="587E7E70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Sample</w:t>
            </w:r>
          </w:p>
        </w:tc>
        <w:tc>
          <w:tcPr>
            <w:tcW w:w="1703" w:type="dxa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vAlign w:val="top"/>
          </w:tcPr>
          <w:p w14:paraId="52B68907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R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1704" w:type="dxa"/>
            <w:tcBorders>
              <w:top w:val="single" w:color="000000" w:sz="12" w:space="0"/>
              <w:bottom w:val="single" w:color="000000" w:sz="4" w:space="0"/>
              <w:tl2br w:val="nil"/>
            </w:tcBorders>
            <w:shd w:val="clear" w:color="auto" w:fill="FFFFFF"/>
            <w:vAlign w:val="top"/>
          </w:tcPr>
          <w:p w14:paraId="5F911DEF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</w:rPr>
              <w:t>R</w:t>
            </w:r>
            <w:r>
              <w:rPr>
                <w:rFonts w:hint="default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</w:rPr>
              <w:t>ct</w:t>
            </w:r>
          </w:p>
        </w:tc>
      </w:tr>
      <w:tr w14:paraId="51E2F1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top"/>
          </w:tcPr>
          <w:p w14:paraId="1C5973BC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Mn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-500</w:t>
            </w:r>
          </w:p>
        </w:tc>
        <w:tc>
          <w:tcPr>
            <w:tcW w:w="1703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top"/>
          </w:tcPr>
          <w:p w14:paraId="0861B311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0.93Ω</w:t>
            </w:r>
          </w:p>
        </w:tc>
        <w:tc>
          <w:tcPr>
            <w:tcW w:w="1704" w:type="dxa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top"/>
          </w:tcPr>
          <w:p w14:paraId="4AD5A00E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2.32</w:t>
            </w:r>
          </w:p>
        </w:tc>
      </w:tr>
      <w:tr w14:paraId="140A4B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5B46034C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Mn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-600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117D0204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0.48</w:t>
            </w:r>
          </w:p>
        </w:tc>
        <w:tc>
          <w:tcPr>
            <w:tcW w:w="1704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1BD54BBF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0.56</w:t>
            </w:r>
          </w:p>
        </w:tc>
      </w:tr>
      <w:tr w14:paraId="6670EC7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top"/>
          </w:tcPr>
          <w:p w14:paraId="24E2A433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Mn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-700</w:t>
            </w:r>
          </w:p>
        </w:tc>
        <w:tc>
          <w:tcPr>
            <w:tcW w:w="170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top"/>
          </w:tcPr>
          <w:p w14:paraId="6B5B65AF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1.09</w:t>
            </w:r>
          </w:p>
        </w:tc>
        <w:tc>
          <w:tcPr>
            <w:tcW w:w="1704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FFFFFF"/>
            <w:vAlign w:val="top"/>
          </w:tcPr>
          <w:p w14:paraId="20E80790">
            <w:pPr>
              <w:keepNext w:val="0"/>
              <w:keepLines w:val="0"/>
              <w:pageBreakBefore w:val="0"/>
              <w:suppressLineNumbers w:val="0"/>
              <w:kinsoku/>
              <w:wordWrap/>
              <w:topLinePunct w:val="0"/>
              <w:bidi w:val="0"/>
              <w:spacing w:before="0" w:beforeAutospacing="0" w:after="0" w:afterAutospacing="0" w:line="360" w:lineRule="auto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color w:val="000000"/>
                <w:sz w:val="24"/>
                <w:szCs w:val="24"/>
                <w:lang w:val="en-US" w:eastAsia="zh-CN"/>
              </w:rPr>
              <w:t>1.98</w:t>
            </w:r>
          </w:p>
        </w:tc>
      </w:tr>
    </w:tbl>
    <w:p w14:paraId="454C843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1B00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vOT999035f4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dvOT8608a8d1 + 2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94c8263f . I + 0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66015"/>
    <w:rsid w:val="08E47996"/>
    <w:rsid w:val="0A147EA3"/>
    <w:rsid w:val="0D797DF2"/>
    <w:rsid w:val="12D04660"/>
    <w:rsid w:val="16152118"/>
    <w:rsid w:val="169D0189"/>
    <w:rsid w:val="17337FA2"/>
    <w:rsid w:val="188613D0"/>
    <w:rsid w:val="2983385B"/>
    <w:rsid w:val="2EC07DD3"/>
    <w:rsid w:val="39FC1B14"/>
    <w:rsid w:val="3AEE1927"/>
    <w:rsid w:val="3DF6104A"/>
    <w:rsid w:val="3F071F9F"/>
    <w:rsid w:val="3F926B47"/>
    <w:rsid w:val="48043A12"/>
    <w:rsid w:val="524D5734"/>
    <w:rsid w:val="59913813"/>
    <w:rsid w:val="5C6D4BEE"/>
    <w:rsid w:val="607D3784"/>
    <w:rsid w:val="71477A03"/>
    <w:rsid w:val="726219EB"/>
    <w:rsid w:val="75075E2E"/>
    <w:rsid w:val="760F595E"/>
    <w:rsid w:val="7DF90AB0"/>
    <w:rsid w:val="7EA607D6"/>
    <w:rsid w:val="7FCD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5">
    <w:name w:val="fontstyle01"/>
    <w:basedOn w:val="4"/>
    <w:qFormat/>
    <w:uiPriority w:val="0"/>
    <w:rPr>
      <w:rFonts w:ascii="AdvOT999035f4" w:hAnsi="AdvOT999035f4" w:eastAsia="AdvOT999035f4" w:cs="AdvOT999035f4"/>
      <w:color w:val="242021"/>
      <w:sz w:val="18"/>
      <w:szCs w:val="18"/>
    </w:rPr>
  </w:style>
  <w:style w:type="character" w:customStyle="1" w:styleId="6">
    <w:name w:val="fontstyle21"/>
    <w:basedOn w:val="4"/>
    <w:qFormat/>
    <w:uiPriority w:val="0"/>
    <w:rPr>
      <w:rFonts w:ascii="AdvOT8608a8d1 + 22" w:hAnsi="AdvOT8608a8d1 + 22" w:eastAsia="AdvOT8608a8d1 + 22" w:cs="AdvOT8608a8d1 + 22"/>
      <w:color w:val="242021"/>
      <w:sz w:val="12"/>
      <w:szCs w:val="12"/>
    </w:rPr>
  </w:style>
  <w:style w:type="character" w:customStyle="1" w:styleId="7">
    <w:name w:val="fontstyle31"/>
    <w:basedOn w:val="4"/>
    <w:qFormat/>
    <w:uiPriority w:val="0"/>
    <w:rPr>
      <w:rFonts w:ascii="AdvTT94c8263f . I + 03" w:hAnsi="AdvTT94c8263f . I + 03" w:eastAsia="AdvTT94c8263f . I + 03" w:cs="AdvTT94c8263f . I + 03"/>
      <w:color w:val="242021"/>
      <w:sz w:val="16"/>
      <w:szCs w:val="16"/>
    </w:rPr>
  </w:style>
  <w:style w:type="character" w:customStyle="1" w:styleId="8">
    <w:name w:val="replacethischar"/>
    <w:basedOn w:val="4"/>
    <w:qFormat/>
    <w:uiPriority w:val="0"/>
    <w:rPr>
      <w:b/>
      <w:bCs/>
      <w:color w:val="FF0000"/>
    </w:rPr>
  </w:style>
  <w:style w:type="paragraph" w:customStyle="1" w:styleId="9">
    <w:name w:val="ciftablefooter"/>
    <w:basedOn w:val="1"/>
    <w:qFormat/>
    <w:uiPriority w:val="0"/>
    <w:pPr>
      <w:jc w:val="left"/>
    </w:pPr>
    <w:rPr>
      <w:kern w:val="0"/>
      <w:sz w:val="16"/>
      <w:szCs w:val="16"/>
      <w:lang w:val="en-US" w:eastAsia="zh-CN" w:bidi="ar"/>
    </w:rPr>
  </w:style>
  <w:style w:type="character" w:customStyle="1" w:styleId="10">
    <w:name w:val="15"/>
    <w:basedOn w:val="4"/>
    <w:qFormat/>
    <w:uiPriority w:val="0"/>
    <w:rPr>
      <w:rFonts w:hint="default" w:ascii="AdvOT999035f4" w:hAnsi="AdvOT999035f4" w:eastAsia="AdvOT999035f4" w:cs="AdvOT999035f4"/>
      <w:color w:val="242021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801</Words>
  <Characters>4500</Characters>
  <Lines>0</Lines>
  <Paragraphs>0</Paragraphs>
  <TotalTime>0</TotalTime>
  <ScaleCrop>false</ScaleCrop>
  <LinksUpToDate>false</LinksUpToDate>
  <CharactersWithSpaces>5152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2021-08-29T08:17:00Z</dcterms:created>
  <dc:creator>Administrator</dc:creator>
  <cp:lastModifiedBy>平平</cp:lastModifiedBy>
  <dcterms:modified xsi:type="dcterms:W3CDTF">2026-01-10T13:19:28Z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55D14753A64D40889FA95D12ED6436A0</vt:lpwstr>
  </property>
  <property fmtid="{D5CDD505-2E9C-101B-9397-08002B2CF9AE}" pid="4" name="KSOTemplateDocerSaveRecord">
    <vt:lpwstr>eyJoZGlkIjoiZGVhYWJmOGQxMTQzZGNmYjYzMDhmNWE5MWU4N2FkNWMiLCJ1c2VySWQiOiIzMTQzMDUwMTYifQ==</vt:lpwstr>
  </property>
</Properties>
</file>