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5753" w14:textId="77777777" w:rsidR="00C960A2" w:rsidRPr="00C960A2" w:rsidRDefault="00C960A2" w:rsidP="00C960A2">
      <w:pPr>
        <w:widowControl w:val="0"/>
        <w:pBdr>
          <w:top w:val="nil"/>
          <w:left w:val="nil"/>
          <w:bottom w:val="nil"/>
          <w:right w:val="nil"/>
          <w:between w:val="nil"/>
        </w:pBdr>
        <w:spacing w:after="240" w:line="360" w:lineRule="auto"/>
        <w:rPr>
          <w:rFonts w:ascii="Times New Roman" w:eastAsia="Google Sans Text" w:hAnsi="Times New Roman" w:cs="Times New Roman"/>
          <w:color w:val="1B1C1D"/>
          <w:kern w:val="0"/>
          <w:sz w:val="20"/>
          <w:szCs w:val="20"/>
          <w14:ligatures w14:val="none"/>
        </w:rPr>
      </w:pPr>
      <w:r w:rsidRPr="00C960A2">
        <w:rPr>
          <w:rFonts w:ascii="Times New Roman" w:eastAsia="Google Sans Text" w:hAnsi="Times New Roman" w:cs="Times New Roman"/>
          <w:color w:val="1B1C1D"/>
          <w:kern w:val="0"/>
          <w:sz w:val="20"/>
          <w:szCs w:val="20"/>
          <w14:ligatures w14:val="none"/>
        </w:rPr>
        <w:t>Khodavirdilou, Lida</w:t>
      </w:r>
      <w:r w:rsidRPr="00C960A2">
        <w:rPr>
          <w:rFonts w:ascii="Times New Roman" w:eastAsia="Google Sans Text" w:hAnsi="Times New Roman" w:cs="Times New Roman"/>
          <w:color w:val="1B1C1D"/>
          <w:kern w:val="0"/>
          <w:sz w:val="20"/>
          <w:szCs w:val="20"/>
          <w:vertAlign w:val="superscript"/>
          <w14:ligatures w14:val="none"/>
        </w:rPr>
        <w:t>1,2</w:t>
      </w:r>
      <w:r w:rsidRPr="00C960A2">
        <w:rPr>
          <w:rFonts w:ascii="Times New Roman" w:eastAsia="Google Sans Text" w:hAnsi="Times New Roman" w:cs="Times New Roman"/>
          <w:color w:val="1B1C1D"/>
          <w:kern w:val="0"/>
          <w:sz w:val="20"/>
          <w:szCs w:val="20"/>
          <w14:ligatures w14:val="none"/>
        </w:rPr>
        <w:t>; Zuarth Gonzalez, Julio D</w:t>
      </w:r>
      <w:r w:rsidRPr="00C960A2">
        <w:rPr>
          <w:rFonts w:ascii="Times New Roman" w:eastAsia="Google Sans Text" w:hAnsi="Times New Roman" w:cs="Times New Roman"/>
          <w:color w:val="1B1C1D"/>
          <w:kern w:val="0"/>
          <w:sz w:val="20"/>
          <w:szCs w:val="20"/>
          <w:vertAlign w:val="superscript"/>
          <w14:ligatures w14:val="none"/>
        </w:rPr>
        <w:t>1</w:t>
      </w:r>
      <w:r w:rsidRPr="00C960A2">
        <w:rPr>
          <w:rFonts w:ascii="Times New Roman" w:eastAsia="Google Sans Text" w:hAnsi="Times New Roman" w:cs="Times New Roman"/>
          <w:color w:val="1B1C1D"/>
          <w:kern w:val="0"/>
          <w:sz w:val="20"/>
          <w:szCs w:val="20"/>
          <w14:ligatures w14:val="none"/>
        </w:rPr>
        <w:t>; Mukhopadhyay, Sushobhan</w:t>
      </w:r>
      <w:r w:rsidRPr="00C960A2">
        <w:rPr>
          <w:rFonts w:ascii="Times New Roman" w:eastAsia="Google Sans Text" w:hAnsi="Times New Roman" w:cs="Times New Roman"/>
          <w:color w:val="1B1C1D"/>
          <w:kern w:val="0"/>
          <w:sz w:val="20"/>
          <w:szCs w:val="20"/>
          <w:vertAlign w:val="superscript"/>
          <w14:ligatures w14:val="none"/>
        </w:rPr>
        <w:t>3</w:t>
      </w:r>
      <w:r w:rsidRPr="00C960A2">
        <w:rPr>
          <w:rFonts w:ascii="Times New Roman" w:eastAsia="Google Sans Text" w:hAnsi="Times New Roman" w:cs="Times New Roman"/>
          <w:color w:val="1B1C1D"/>
          <w:kern w:val="0"/>
          <w:sz w:val="20"/>
          <w:szCs w:val="20"/>
          <w14:ligatures w14:val="none"/>
        </w:rPr>
        <w:t>; Guadagnoli, Nicholas</w:t>
      </w:r>
      <w:r w:rsidRPr="00C960A2">
        <w:rPr>
          <w:rFonts w:ascii="Times New Roman" w:eastAsia="Google Sans Text" w:hAnsi="Times New Roman" w:cs="Times New Roman"/>
          <w:color w:val="1B1C1D"/>
          <w:kern w:val="0"/>
          <w:sz w:val="20"/>
          <w:szCs w:val="20"/>
          <w:vertAlign w:val="superscript"/>
          <w14:ligatures w14:val="none"/>
        </w:rPr>
        <w:t>3</w:t>
      </w:r>
      <w:r w:rsidRPr="00C960A2">
        <w:rPr>
          <w:rFonts w:ascii="Times New Roman" w:eastAsia="Google Sans Text" w:hAnsi="Times New Roman" w:cs="Times New Roman"/>
          <w:color w:val="1B1C1D"/>
          <w:kern w:val="0"/>
          <w:sz w:val="20"/>
          <w:szCs w:val="20"/>
          <w14:ligatures w14:val="none"/>
        </w:rPr>
        <w:t>; Obeng, Samuel</w:t>
      </w:r>
      <w:r w:rsidRPr="00C960A2">
        <w:rPr>
          <w:rFonts w:ascii="Times New Roman" w:eastAsia="Google Sans Text" w:hAnsi="Times New Roman" w:cs="Times New Roman"/>
          <w:color w:val="1B1C1D"/>
          <w:kern w:val="0"/>
          <w:sz w:val="20"/>
          <w:szCs w:val="20"/>
          <w:vertAlign w:val="superscript"/>
          <w14:ligatures w14:val="none"/>
        </w:rPr>
        <w:t>1</w:t>
      </w:r>
      <w:r w:rsidRPr="00C960A2">
        <w:rPr>
          <w:rFonts w:ascii="Times New Roman" w:eastAsia="Google Sans Text" w:hAnsi="Times New Roman" w:cs="Times New Roman"/>
          <w:color w:val="1B1C1D"/>
          <w:kern w:val="0"/>
          <w:sz w:val="20"/>
          <w:szCs w:val="20"/>
          <w14:ligatures w14:val="none"/>
        </w:rPr>
        <w:t>; McCurdy, Christopher R</w:t>
      </w:r>
      <w:r w:rsidRPr="00C960A2">
        <w:rPr>
          <w:rFonts w:ascii="Times New Roman" w:eastAsia="Google Sans Text" w:hAnsi="Times New Roman" w:cs="Times New Roman"/>
          <w:color w:val="1B1C1D"/>
          <w:kern w:val="0"/>
          <w:sz w:val="20"/>
          <w:szCs w:val="20"/>
          <w:vertAlign w:val="superscript"/>
          <w14:ligatures w14:val="none"/>
        </w:rPr>
        <w:t>3</w:t>
      </w:r>
      <w:r w:rsidRPr="00C960A2">
        <w:rPr>
          <w:rFonts w:ascii="Times New Roman" w:eastAsia="Google Sans Text" w:hAnsi="Times New Roman" w:cs="Times New Roman"/>
          <w:color w:val="1B1C1D"/>
          <w:kern w:val="0"/>
          <w:sz w:val="20"/>
          <w:szCs w:val="20"/>
          <w14:ligatures w14:val="none"/>
        </w:rPr>
        <w:t>; McMahon, Lance R</w:t>
      </w:r>
      <w:r w:rsidRPr="00C960A2">
        <w:rPr>
          <w:rFonts w:ascii="Times New Roman" w:eastAsia="Google Sans Text" w:hAnsi="Times New Roman" w:cs="Times New Roman"/>
          <w:color w:val="1B1C1D"/>
          <w:kern w:val="0"/>
          <w:sz w:val="20"/>
          <w:szCs w:val="20"/>
          <w:vertAlign w:val="superscript"/>
          <w14:ligatures w14:val="none"/>
        </w:rPr>
        <w:t>1</w:t>
      </w:r>
      <w:r w:rsidRPr="00C960A2">
        <w:rPr>
          <w:rFonts w:ascii="Times New Roman" w:eastAsia="Google Sans Text" w:hAnsi="Times New Roman" w:cs="Times New Roman"/>
          <w:color w:val="1B1C1D"/>
          <w:kern w:val="0"/>
          <w:sz w:val="20"/>
          <w:szCs w:val="20"/>
          <w14:ligatures w14:val="none"/>
        </w:rPr>
        <w:t>; and Wilkerson, Jenny L</w:t>
      </w:r>
      <w:r w:rsidRPr="00C960A2">
        <w:rPr>
          <w:rFonts w:ascii="Times New Roman" w:eastAsia="Google Sans Text" w:hAnsi="Times New Roman" w:cs="Times New Roman"/>
          <w:color w:val="1B1C1D"/>
          <w:kern w:val="0"/>
          <w:sz w:val="20"/>
          <w:szCs w:val="20"/>
          <w:vertAlign w:val="superscript"/>
          <w14:ligatures w14:val="none"/>
        </w:rPr>
        <w:t>1,2</w:t>
      </w:r>
      <w:r w:rsidRPr="00C960A2">
        <w:rPr>
          <w:rFonts w:ascii="Times New Roman" w:eastAsia="Google Sans Text" w:hAnsi="Times New Roman" w:cs="Times New Roman"/>
          <w:b/>
          <w:bCs/>
          <w:color w:val="1B1C1D"/>
          <w:kern w:val="0"/>
          <w:sz w:val="20"/>
          <w:szCs w:val="20"/>
          <w:vertAlign w:val="superscript"/>
          <w14:ligatures w14:val="none"/>
        </w:rPr>
        <w:t>*</w:t>
      </w:r>
    </w:p>
    <w:p w14:paraId="4406ADEB" w14:textId="77777777" w:rsidR="00C960A2" w:rsidRPr="00C960A2" w:rsidRDefault="00C960A2" w:rsidP="00C960A2">
      <w:pPr>
        <w:widowControl w:val="0"/>
        <w:pBdr>
          <w:top w:val="nil"/>
          <w:left w:val="nil"/>
          <w:bottom w:val="nil"/>
          <w:right w:val="nil"/>
          <w:between w:val="nil"/>
        </w:pBdr>
        <w:spacing w:after="240" w:line="240" w:lineRule="auto"/>
        <w:rPr>
          <w:rFonts w:ascii="Times New Roman" w:eastAsia="Google Sans Text" w:hAnsi="Times New Roman" w:cs="Times New Roman"/>
          <w:color w:val="1B1C1D"/>
          <w:kern w:val="0"/>
          <w:sz w:val="20"/>
          <w:szCs w:val="20"/>
          <w14:ligatures w14:val="none"/>
        </w:rPr>
      </w:pPr>
      <w:r w:rsidRPr="00C960A2">
        <w:rPr>
          <w:rFonts w:ascii="Times New Roman" w:eastAsia="Google Sans Text" w:hAnsi="Times New Roman" w:cs="Times New Roman"/>
          <w:color w:val="1B1C1D"/>
          <w:kern w:val="0"/>
          <w:sz w:val="20"/>
          <w:szCs w:val="20"/>
          <w14:ligatures w14:val="none"/>
        </w:rPr>
        <w:t>¹ Department of Pharmaceutical Sciences, Texas Tech University Health Sciences Center, Amarillo, TX, USA</w:t>
      </w:r>
    </w:p>
    <w:p w14:paraId="4F4AF500" w14:textId="77777777" w:rsidR="00C960A2" w:rsidRPr="00C960A2" w:rsidRDefault="00C960A2" w:rsidP="00C960A2">
      <w:pPr>
        <w:widowControl w:val="0"/>
        <w:pBdr>
          <w:top w:val="nil"/>
          <w:left w:val="nil"/>
          <w:bottom w:val="nil"/>
          <w:right w:val="nil"/>
          <w:between w:val="nil"/>
        </w:pBdr>
        <w:spacing w:after="240" w:line="240" w:lineRule="auto"/>
        <w:rPr>
          <w:rFonts w:ascii="Times New Roman" w:eastAsia="Google Sans Text" w:hAnsi="Times New Roman" w:cs="Times New Roman"/>
          <w:b/>
          <w:color w:val="1B1C1D"/>
          <w:kern w:val="0"/>
          <w:sz w:val="20"/>
          <w:szCs w:val="20"/>
          <w14:ligatures w14:val="none"/>
        </w:rPr>
      </w:pPr>
      <w:r w:rsidRPr="00C960A2">
        <w:rPr>
          <w:rFonts w:ascii="Times New Roman" w:eastAsia="Google Sans Text" w:hAnsi="Times New Roman" w:cs="Times New Roman"/>
          <w:color w:val="1B1C1D"/>
          <w:kern w:val="0"/>
          <w:sz w:val="20"/>
          <w:szCs w:val="20"/>
          <w14:ligatures w14:val="none"/>
        </w:rPr>
        <w:t>² Department of Anesthesiology and Perioperative Medicine, Rutgers Biomedical and Health Sciences, Rutgers, The State University of New Jersey, Newark, NJ, USA</w:t>
      </w:r>
      <w:r w:rsidRPr="00C960A2">
        <w:rPr>
          <w:rFonts w:ascii="Times New Roman" w:eastAsia="Google Sans Text" w:hAnsi="Times New Roman" w:cs="Times New Roman"/>
          <w:b/>
          <w:color w:val="1B1C1D"/>
          <w:kern w:val="0"/>
          <w:sz w:val="20"/>
          <w:szCs w:val="20"/>
          <w14:ligatures w14:val="none"/>
        </w:rPr>
        <w:t xml:space="preserve"> </w:t>
      </w:r>
    </w:p>
    <w:p w14:paraId="09A5D8AB" w14:textId="77777777" w:rsidR="00C960A2" w:rsidRPr="00C960A2" w:rsidRDefault="00C960A2" w:rsidP="00C960A2">
      <w:pPr>
        <w:widowControl w:val="0"/>
        <w:pBdr>
          <w:top w:val="nil"/>
          <w:left w:val="nil"/>
          <w:bottom w:val="nil"/>
          <w:right w:val="nil"/>
          <w:between w:val="nil"/>
        </w:pBdr>
        <w:spacing w:after="240" w:line="240" w:lineRule="auto"/>
        <w:rPr>
          <w:rFonts w:ascii="Times New Roman" w:eastAsia="Google Sans Text" w:hAnsi="Times New Roman" w:cs="Times New Roman"/>
          <w:color w:val="1B1C1D"/>
          <w:kern w:val="0"/>
          <w:sz w:val="20"/>
          <w:szCs w:val="20"/>
          <w14:ligatures w14:val="none"/>
        </w:rPr>
      </w:pPr>
      <w:r w:rsidRPr="00C960A2">
        <w:rPr>
          <w:rFonts w:ascii="Times New Roman" w:eastAsia="Google Sans Text" w:hAnsi="Times New Roman" w:cs="Times New Roman"/>
          <w:color w:val="1B1C1D"/>
          <w:kern w:val="0"/>
          <w:sz w:val="20"/>
          <w:szCs w:val="20"/>
          <w14:ligatures w14:val="none"/>
        </w:rPr>
        <w:t>³ Department of Medicinal Chemistry, College of Pharmacy, University of Florida, Gainesville, FL, USA</w:t>
      </w:r>
    </w:p>
    <w:p w14:paraId="3E86C6C8" w14:textId="42406B59" w:rsidR="00DF1C41" w:rsidRPr="00597420" w:rsidRDefault="00DF1C41" w:rsidP="00DF1C41">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Supplemental Methods</w:t>
      </w:r>
    </w:p>
    <w:p w14:paraId="2DA6AEFA" w14:textId="77777777" w:rsidR="00745941" w:rsidRPr="00597420" w:rsidRDefault="00745941" w:rsidP="007459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Apparatus</w:t>
      </w:r>
    </w:p>
    <w:p w14:paraId="66FC227C" w14:textId="2E6D8B90" w:rsidR="00745941" w:rsidRPr="00597420" w:rsidRDefault="00745941" w:rsidP="00597420">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r w:rsidRPr="00597420">
        <w:rPr>
          <w:rFonts w:asciiTheme="majorBidi" w:eastAsia="Google Sans Text" w:hAnsiTheme="majorBidi" w:cstheme="majorBidi"/>
          <w:color w:val="1B1C1D"/>
          <w:kern w:val="0"/>
          <w:sz w:val="20"/>
          <w:szCs w:val="20"/>
          <w14:ligatures w14:val="none"/>
        </w:rPr>
        <w:t>Behavioral sessions were conducted in operant conditioning chambers (Med Associates, St. Albans, VT), enclosed in sound-attenuating cubicles. Each chamber contained two retractable levers positioned on the left and right wall, each paired with a cue light above, and a house light mounted on the opposite wall. Chambers were computer-controlled, with data collection and task programming managed through Med-PC V software.</w:t>
      </w:r>
      <w:r w:rsidRPr="00597420">
        <w:rPr>
          <w:rFonts w:asciiTheme="majorBidi" w:eastAsia="Arial" w:hAnsiTheme="majorBidi" w:cstheme="majorBidi"/>
          <w:kern w:val="0"/>
          <w:sz w:val="20"/>
          <w:szCs w:val="20"/>
          <w14:ligatures w14:val="none"/>
        </w:rPr>
        <w:t xml:space="preserve"> </w:t>
      </w:r>
      <w:r w:rsidRPr="00597420">
        <w:rPr>
          <w:rFonts w:asciiTheme="majorBidi" w:eastAsia="Google Sans Text" w:hAnsiTheme="majorBidi" w:cstheme="majorBidi"/>
          <w:color w:val="1B1C1D"/>
          <w:kern w:val="0"/>
          <w:sz w:val="20"/>
          <w:szCs w:val="20"/>
          <w14:ligatures w14:val="none"/>
        </w:rPr>
        <w:t xml:space="preserve">For drug self-administration experiments, each chamber was equipped with an infusion pump connected to a fluid swivel and tether system, allowing for intravenous drug delivery. </w:t>
      </w:r>
      <w:bookmarkStart w:id="0" w:name="OLE_LINK2"/>
      <w:r w:rsidRPr="00597420">
        <w:rPr>
          <w:rFonts w:asciiTheme="majorBidi" w:eastAsia="Google Sans Text" w:hAnsiTheme="majorBidi" w:cstheme="majorBidi"/>
          <w:color w:val="1B1C1D"/>
          <w:kern w:val="0"/>
          <w:sz w:val="20"/>
          <w:szCs w:val="20"/>
          <w14:ligatures w14:val="none"/>
        </w:rPr>
        <w:t xml:space="preserve">For food-maintained responding experiments, a pellet dispenser was centrally located between the two levers from outside, delivering 20 mg dustless food pellets (Bio-Serv, Flemington, NJ) into a receptacle following reinforced responses. </w:t>
      </w:r>
      <w:bookmarkEnd w:id="0"/>
      <w:r w:rsidRPr="00597420">
        <w:rPr>
          <w:rFonts w:asciiTheme="majorBidi" w:eastAsia="Google Sans Text" w:hAnsiTheme="majorBidi" w:cstheme="majorBidi"/>
          <w:color w:val="1B1C1D"/>
          <w:kern w:val="0"/>
          <w:sz w:val="20"/>
          <w:szCs w:val="20"/>
          <w14:ligatures w14:val="none"/>
        </w:rPr>
        <w:t xml:space="preserve">The apparatus and operant-conditioning procedures were otherwise identical to those previously described </w:t>
      </w:r>
      <w:r w:rsidRPr="00597420">
        <w:rPr>
          <w:rFonts w:asciiTheme="majorBidi" w:eastAsia="Google Sans Text" w:hAnsiTheme="majorBidi" w:cstheme="majorBidi"/>
          <w:color w:val="1B1C1D"/>
          <w:kern w:val="0"/>
          <w:sz w:val="20"/>
          <w:szCs w:val="20"/>
          <w14:ligatures w14:val="none"/>
        </w:rPr>
        <w:fldChar w:fldCharType="begin"/>
      </w:r>
      <w:r w:rsidR="00597420">
        <w:rPr>
          <w:rFonts w:asciiTheme="majorBidi" w:eastAsia="Google Sans Text" w:hAnsiTheme="majorBidi" w:cstheme="majorBidi"/>
          <w:color w:val="1B1C1D"/>
          <w:kern w:val="0"/>
          <w:sz w:val="20"/>
          <w:szCs w:val="20"/>
          <w14:ligatures w14:val="none"/>
        </w:rPr>
        <w:instrText xml:space="preserve"> ADDIN ZOTERO_ITEM CSL_CITATION {"citationID":"k38nM3Cp","properties":{"formattedCitation":"(Hiranita et al. 2019; Wilkerson et al. 2019; Obeng et al. 2021)","plainCitation":"(Hiranita et al. 2019; Wilkerson et al. 2019; Obeng et al. 2021)","noteIndex":0},"citationItems":[{"id":1292,"uris":["http://zotero.org/users/14584789/items/TL3M3G5S"],"itemData":{"id":1292,"type":"article-journal","abstract":"Mitragyna speciosa (kratom) may hold promise as both an analgesic and treatment for opioid use disorder. Mitragynine, its primary alkaloid constituent, is an opioid receptor ligand. However, the extent to which the in vivo effects of mitragynine are mediated by opioid receptors, or whether mitragynine interacts with other opioid agonists, is not fully established.","container-title":"Psychopharmacology","DOI":"10.1007/s00213-019-05247-7","ISSN":"1432-2072","issue":"9","journalAbbreviation":"Psychopharmacology","language":"en","page":"2725-2734","source":"Springer Link","title":"The effects of mitragynine and morphine on schedule-controlled responding and antinociception in rats","volume":"236","author":[{"family":"Hiranita","given":"Takato"},{"family":"Leon","given":"Francisco"},{"family":"Felix","given":"Jasmine S."},{"family":"Restrepo","given":"Luis F."},{"family":"Reeves","given":"Morgan E."},{"family":"Pennington","given":"Anna E."},{"family":"Obeng","given":"Samuel"},{"family":"Avery","given":"Bonnie A."},{"family":"McCurdy","given":"Christopher R."},{"family":"McMahon","given":"Lance R."},{"family":"Wilkerson","given":"Jenny L."}],"issued":{"date-parts":[["2019",9,1]]}}},{"id":1293,"uris":["http://zotero.org/users/14584789/items/D9MMMPMF"],"itemData":{"id":1293,"type":"article-journal","container-title":"The Journal of Pharmacology and Experimental Therapeutics","DOI":"10.1124/jpet.120.000189","ISSN":"0022-3565, 1521-0103","issue":"3","journalAbbreviation":"The Journal of Pharmacology and Experimental Therapeutics","language":"English","note":"publisher: Elsevier\nPMID: 33384303","page":"410-427","source":"jpet.aspetjournals.org","title":"Pharmacological Comparison of Mitragynine and 7-Hydroxymitragynine: In Vitro Affinity and Efficacy for μ-Opioid Receptor and Opioid-Like Behavioral Effects in Rats","title-short":"Pharmacological Comparison of Mitragynine and 7-Hydroxymitragynine","volume":"376","author":[{"family":"Obeng","given":"Samuel"},{"family":"Wilkerson","given":"Jenny L."},{"family":"León","given":"Francisco"},{"family":"Reeves","given":"Morgan E."},{"family":"Restrepo","given":"Luis F."},{"family":"Gamez-Jimenez","given":"Lea R."},{"family":"Patel","given":"Avi"},{"family":"Pennington","given":"Anna E."},{"family":"Taylor","given":"Victoria A."},{"family":"Ho","given":"Nicholas P."},{"family":"Braun","given":"Tobias"},{"family":"Fortner","given":"John D."},{"family":"Crowley","given":"Morgan L."},{"family":"Williamson","given":"Morgan R."},{"family":"Pallares","given":"Victoria L. C."},{"family":"Mottinelli","given":"Marco"},{"family":"Lopera-Londoño","given":"Carolina"},{"family":"McCurdy","given":"Christopher R."},{"family":"McMahon","given":"Lance R."},{"family":"Hiranita","given":"Takato"}],"issued":{"date-parts":[["2021",3,1]]}}},{"id":1299,"uris":["http://zotero.org/users/14584789/items/5WMFGDCU"],"itemData":{"id":1299,"type":"article-journal","container-title":"The Journal of Pharmacology and Experimental Therapeutics","DOI":"10.1124/jpet.118.255844","ISSN":"0022-3565, 1521-0103","issue":"3","journalAbbreviation":"The Journal of Pharmacology and Experimental Therapeutics","language":"English","note":"publisher: Elsevier\nPMID: 31235534","page":"380-389","source":"jpet.aspetjournals.org","title":"The Effects of Morphine, Baclofen, and Buspirone Alone and in Combination on Schedule-Controlled Responding and Hot Plate Antinociception in Rats","volume":"370","author":[{"family":"Wilkerson","given":"Jenny L."},{"family":"Felix","given":"Jasmine S."},{"family":"Restrepo","given":"Luis F."},{"family":"Ansari","given":"Mohd Imran"},{"family":"Coop","given":"Andrew"},{"family":"McMahon","given":"Lance R."}],"issued":{"date-parts":[["2019",9,1]]}}}],"schema":"https://github.com/citation-style-language/schema/raw/master/csl-citation.json"} </w:instrText>
      </w:r>
      <w:r w:rsidRPr="00597420">
        <w:rPr>
          <w:rFonts w:asciiTheme="majorBidi" w:eastAsia="Google Sans Text" w:hAnsiTheme="majorBidi" w:cstheme="majorBidi"/>
          <w:color w:val="1B1C1D"/>
          <w:kern w:val="0"/>
          <w:sz w:val="20"/>
          <w:szCs w:val="20"/>
          <w14:ligatures w14:val="none"/>
        </w:rPr>
        <w:fldChar w:fldCharType="separate"/>
      </w:r>
      <w:r w:rsidR="00597420" w:rsidRPr="00597420">
        <w:rPr>
          <w:rFonts w:ascii="Times New Roman" w:hAnsi="Times New Roman" w:cs="Times New Roman"/>
          <w:sz w:val="20"/>
        </w:rPr>
        <w:t>(Hiranita et al. 2019; Wilkerson et al. 2019; Obeng et al. 2021)</w:t>
      </w:r>
      <w:r w:rsidRPr="00597420">
        <w:rPr>
          <w:rFonts w:asciiTheme="majorBidi" w:eastAsia="Google Sans Text" w:hAnsiTheme="majorBidi" w:cstheme="majorBidi"/>
          <w:color w:val="1B1C1D"/>
          <w:kern w:val="0"/>
          <w:sz w:val="20"/>
          <w:szCs w:val="20"/>
          <w14:ligatures w14:val="none"/>
        </w:rPr>
        <w:fldChar w:fldCharType="end"/>
      </w:r>
      <w:r w:rsidRPr="00597420">
        <w:rPr>
          <w:rFonts w:asciiTheme="majorBidi" w:eastAsia="Google Sans Text" w:hAnsiTheme="majorBidi" w:cstheme="majorBidi"/>
          <w:color w:val="1B1C1D"/>
          <w:kern w:val="0"/>
          <w:sz w:val="20"/>
          <w:szCs w:val="20"/>
          <w14:ligatures w14:val="none"/>
        </w:rPr>
        <w:t>.</w:t>
      </w:r>
    </w:p>
    <w:p w14:paraId="0E9198B7" w14:textId="156E2B7B" w:rsidR="00DF1C41" w:rsidRPr="00597420" w:rsidRDefault="00DF1C41" w:rsidP="00DF1C41">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Behavioral Procedures</w:t>
      </w:r>
    </w:p>
    <w:p w14:paraId="4303E262" w14:textId="4AF5104D" w:rsidR="00DF1C41" w:rsidRPr="00597420" w:rsidRDefault="00DF1C41" w:rsidP="00DF1C41">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 xml:space="preserve">Experiment 1: Effect of </w:t>
      </w:r>
      <w:r w:rsidR="006C49ED" w:rsidRPr="00597420">
        <w:rPr>
          <w:rFonts w:asciiTheme="majorBidi" w:eastAsia="Google Sans Text" w:hAnsiTheme="majorBidi" w:cstheme="majorBidi"/>
          <w:b/>
          <w:bCs/>
          <w:color w:val="1B1C1D"/>
          <w:kern w:val="0"/>
          <w:sz w:val="20"/>
          <w:szCs w:val="20"/>
          <w14:ligatures w14:val="none"/>
        </w:rPr>
        <w:t>Mitragynine (</w:t>
      </w:r>
      <w:r w:rsidRPr="00597420">
        <w:rPr>
          <w:rFonts w:asciiTheme="majorBidi" w:eastAsia="Google Sans Text" w:hAnsiTheme="majorBidi" w:cstheme="majorBidi"/>
          <w:b/>
          <w:bCs/>
          <w:color w:val="1B1C1D"/>
          <w:kern w:val="0"/>
          <w:sz w:val="20"/>
          <w:szCs w:val="20"/>
          <w14:ligatures w14:val="none"/>
        </w:rPr>
        <w:t>MG</w:t>
      </w:r>
      <w:r w:rsidR="006C49ED" w:rsidRPr="00597420">
        <w:rPr>
          <w:rFonts w:asciiTheme="majorBidi" w:eastAsia="Google Sans Text" w:hAnsiTheme="majorBidi" w:cstheme="majorBidi"/>
          <w:b/>
          <w:bCs/>
          <w:color w:val="1B1C1D"/>
          <w:kern w:val="0"/>
          <w:sz w:val="20"/>
          <w:szCs w:val="20"/>
          <w14:ligatures w14:val="none"/>
        </w:rPr>
        <w:t>)</w:t>
      </w:r>
      <w:r w:rsidRPr="00597420">
        <w:rPr>
          <w:rFonts w:asciiTheme="majorBidi" w:eastAsia="Google Sans Text" w:hAnsiTheme="majorBidi" w:cstheme="majorBidi"/>
          <w:b/>
          <w:bCs/>
          <w:color w:val="1B1C1D"/>
          <w:kern w:val="0"/>
          <w:sz w:val="20"/>
          <w:szCs w:val="20"/>
          <w14:ligatures w14:val="none"/>
        </w:rPr>
        <w:t xml:space="preserve"> on Methamphetamine Self-Administration under Fixed Ratio Schedule </w:t>
      </w:r>
    </w:p>
    <w:p w14:paraId="0710A026" w14:textId="655723C8" w:rsidR="00DF1C41" w:rsidRPr="00597420" w:rsidRDefault="00DF1C41" w:rsidP="00597420">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r w:rsidRPr="00597420">
        <w:rPr>
          <w:rFonts w:asciiTheme="majorBidi" w:eastAsia="Google Sans Text" w:hAnsiTheme="majorBidi" w:cstheme="majorBidi"/>
          <w:color w:val="1B1C1D"/>
          <w:kern w:val="0"/>
          <w:sz w:val="20"/>
          <w:szCs w:val="20"/>
          <w14:ligatures w14:val="none"/>
        </w:rPr>
        <w:t xml:space="preserve">Eight implanted Sprague-Dawley rats (4 males, 4 females) were utilized for this experiment. After a one-week acclimation period, rats began training to self-administer methamphetamine, as previously established methods </w:t>
      </w:r>
      <w:r w:rsidRPr="00597420">
        <w:rPr>
          <w:rFonts w:asciiTheme="majorBidi" w:eastAsia="Google Sans Text" w:hAnsiTheme="majorBidi" w:cstheme="majorBidi"/>
          <w:color w:val="1B1C1D"/>
          <w:kern w:val="0"/>
          <w:sz w:val="20"/>
          <w:szCs w:val="20"/>
          <w14:ligatures w14:val="none"/>
        </w:rPr>
        <w:fldChar w:fldCharType="begin"/>
      </w:r>
      <w:r w:rsidR="00597420">
        <w:rPr>
          <w:rFonts w:asciiTheme="majorBidi" w:eastAsia="Google Sans Text" w:hAnsiTheme="majorBidi" w:cstheme="majorBidi"/>
          <w:color w:val="1B1C1D"/>
          <w:kern w:val="0"/>
          <w:sz w:val="20"/>
          <w:szCs w:val="20"/>
          <w14:ligatures w14:val="none"/>
        </w:rPr>
        <w:instrText xml:space="preserve"> ADDIN ZOTERO_ITEM CSL_CITATION {"citationID":"XgzY34sm","properties":{"formattedCitation":"(Zimmer et al. 2012; Baladi et al. 2014)","plainCitation":"(Zimmer et al. 2012; Baladi et al. 2014)","noteIndex":0},"citationItems":[{"id":1310,"uris":["http://zotero.org/users/14584789/items/UMM394WC"],"itemData":{"id":1310,"type":"article-journal","abstract":"Methylphenidate (MPD) is clinically effective in treating symptoms of attention-deficit/hyperactivity disorder; however, its relatively wide availability has raised public health concerns for non-medical use of MPD among certain adult populations. ...","container-title":"Behavioural pharmacology","DOI":"10.1097/FBP.0000000000000094","issue":"8","language":"en","note":"PMID: 25325290","page":"758","source":"pmc.ncbi.nlm.nih.gov","title":"Prior methylphenidate self-administration alters the subsequent reinforcing effects of methamphetamine in rats","volume":"25","author":[{"family":"Baladi","given":"Michelle G."},{"family":"Nielsen","given":"Shannon M."},{"family":"Umpierre","given":"Anthony"},{"family":"Hanson","given":"Glen R."},{"family":"Fleckenstein","given":"Annette E."}],"issued":{"date-parts":[["2014",12]]}}},{"id":1313,"uris":["http://zotero.org/users/14584789/items/5NN2VWFK"],"itemData":{"id":1313,"type":"article-journal","abstract":"Recent attempts to model the addiction process in rodents have focused on cocaine self-administration procedures that provide extended daily access. Such procedures produce a characteristic loading phase during which blood levels rapidly rise and then are maintained within an elevated range for the duration of the session. The present experiments tested the hypothesis that multiple fast-rising spikes in cocaine levels contribute to the addiction process more robustly than constant, maintained drug levels. Here, we compared the effects of various cocaine self-administration procedures that produced very different patterns of drug intake and drug dynamics on Pmax, a behavioral economic measure of the motivation to self-administer drug. Two groups received intermittent access (IntA) to cocaine during daily 6-h sessions. Access was limited to twelve 5-min trials that alternated with 25-min timeout periods, using either a hold-down procedure or a fixed ratio 1 (FR1). Cocaine levels could not be maintained with this procedure; instead the animals experienced 12 fast-rising spikes in cocaine levels each day. The IntA groups were compared with groups given 6-h FR1 long access and 2-h short access sessions and two other control groups. Here, we report that cocaine self-administration procedures resulting in repeatedly spiking drug levels produce more robust increases in Pmax than procedures resulting in maintained high levels of cocaine. These results suggest that rapid spiking of brain-cocaine levels is sufficient to increase the motivation to self-administer cocaine.","container-title":"Neuropsychopharmacology","DOI":"10.1038/npp.2012.37","ISSN":"1740-634X","issue":"8","journalAbbreviation":"Neuropsychopharmacol","language":"en","license":"2012 American College of Neuropsychopharmacology","note":"publisher: Nature Publishing Group","page":"1901-1910","source":"www.nature.com","title":"The Motivation to Self-Administer is Increased After a History of Spiking Brain Levels of Cocaine","volume":"37","author":[{"family":"Zimmer","given":"Benjamin A."},{"family":"Oleson","given":"Erik B."},{"family":"Roberts","given":"David CS"}],"issued":{"date-parts":[["2012",7]]}}}],"schema":"https://github.com/citation-style-language/schema/raw/master/csl-citation.json"} </w:instrText>
      </w:r>
      <w:r w:rsidRPr="00597420">
        <w:rPr>
          <w:rFonts w:asciiTheme="majorBidi" w:eastAsia="Google Sans Text" w:hAnsiTheme="majorBidi" w:cstheme="majorBidi"/>
          <w:color w:val="1B1C1D"/>
          <w:kern w:val="0"/>
          <w:sz w:val="20"/>
          <w:szCs w:val="20"/>
          <w14:ligatures w14:val="none"/>
        </w:rPr>
        <w:fldChar w:fldCharType="separate"/>
      </w:r>
      <w:r w:rsidR="00597420" w:rsidRPr="00597420">
        <w:rPr>
          <w:rFonts w:ascii="Times New Roman" w:hAnsi="Times New Roman" w:cs="Times New Roman"/>
          <w:sz w:val="20"/>
        </w:rPr>
        <w:t>(Zimmer et al. 2012; Baladi et al. 2014)</w:t>
      </w:r>
      <w:r w:rsidRPr="00597420">
        <w:rPr>
          <w:rFonts w:asciiTheme="majorBidi" w:eastAsia="Google Sans Text" w:hAnsiTheme="majorBidi" w:cstheme="majorBidi"/>
          <w:color w:val="1B1C1D"/>
          <w:kern w:val="0"/>
          <w:sz w:val="20"/>
          <w:szCs w:val="20"/>
          <w14:ligatures w14:val="none"/>
        </w:rPr>
        <w:fldChar w:fldCharType="end"/>
      </w:r>
      <w:r w:rsidRPr="00597420">
        <w:rPr>
          <w:rFonts w:asciiTheme="majorBidi" w:eastAsia="Google Sans Text" w:hAnsiTheme="majorBidi" w:cstheme="majorBidi"/>
          <w:color w:val="1B1C1D"/>
          <w:kern w:val="0"/>
          <w:sz w:val="20"/>
          <w:szCs w:val="20"/>
          <w14:ligatures w14:val="none"/>
        </w:rPr>
        <w:t xml:space="preserve">. Initial training involved a FR1 schedule of reinforcement, conducted for 2 hours daily. Each active lever press resulted in an intravenous (i.v.) infusion of methamphetamine (0.032 mg/kg/infusion), followed by a 20-sec timeout period during which the cue lights were extinguished and levers were retracted </w:t>
      </w:r>
      <w:r w:rsidRPr="00597420">
        <w:rPr>
          <w:rFonts w:asciiTheme="majorBidi" w:eastAsia="Google Sans Text" w:hAnsiTheme="majorBidi" w:cstheme="majorBidi"/>
          <w:color w:val="1B1C1D"/>
          <w:kern w:val="0"/>
          <w:sz w:val="20"/>
          <w:szCs w:val="20"/>
          <w14:ligatures w14:val="none"/>
        </w:rPr>
        <w:fldChar w:fldCharType="begin"/>
      </w:r>
      <w:r w:rsidR="00597420">
        <w:rPr>
          <w:rFonts w:asciiTheme="majorBidi" w:eastAsia="Google Sans Text" w:hAnsiTheme="majorBidi" w:cstheme="majorBidi"/>
          <w:color w:val="1B1C1D"/>
          <w:kern w:val="0"/>
          <w:sz w:val="20"/>
          <w:szCs w:val="20"/>
          <w14:ligatures w14:val="none"/>
        </w:rPr>
        <w:instrText xml:space="preserve"> ADDIN ZOTERO_ITEM CSL_CITATION {"citationID":"6yHgbMSk","properties":{"formattedCitation":"(Zimmer et al. 2012)","plainCitation":"(Zimmer et al. 2012)","noteIndex":0},"citationItems":[{"id":1313,"uris":["http://zotero.org/users/14584789/items/5NN2VWFK"],"itemData":{"id":1313,"type":"article-journal","abstract":"Recent attempts to model the addiction process in rodents have focused on cocaine self-administration procedures that provide extended daily access. Such procedures produce a characteristic loading phase during which blood levels rapidly rise and then are maintained within an elevated range for the duration of the session. The present experiments tested the hypothesis that multiple fast-rising spikes in cocaine levels contribute to the addiction process more robustly than constant, maintained drug levels. Here, we compared the effects of various cocaine self-administration procedures that produced very different patterns of drug intake and drug dynamics on Pmax, a behavioral economic measure of the motivation to self-administer drug. Two groups received intermittent access (IntA) to cocaine during daily 6-h sessions. Access was limited to twelve 5-min trials that alternated with 25-min timeout periods, using either a hold-down procedure or a fixed ratio 1 (FR1). Cocaine levels could not be maintained with this procedure; instead the animals experienced 12 fast-rising spikes in cocaine levels each day. The IntA groups were compared with groups given 6-h FR1 long access and 2-h short access sessions and two other control groups. Here, we report that cocaine self-administration procedures resulting in repeatedly spiking drug levels produce more robust increases in Pmax than procedures resulting in maintained high levels of cocaine. These results suggest that rapid spiking of brain-cocaine levels is sufficient to increase the motivation to self-administer cocaine.","container-title":"Neuropsychopharmacology","DOI":"10.1038/npp.2012.37","ISSN":"1740-634X","issue":"8","journalAbbreviation":"Neuropsychopharmacol","language":"en","license":"2012 American College of Neuropsychopharmacology","note":"publisher: Nature Publishing Group","page":"1901-1910","source":"www.nature.com","title":"The Motivation to Self-Administer is Increased After a History of Spiking Brain Levels of Cocaine","volume":"37","author":[{"family":"Zimmer","given":"Benjamin A."},{"family":"Oleson","given":"Erik B."},{"family":"Roberts","given":"David CS"}],"issued":{"date-parts":[["2012",7]]}}}],"schema":"https://github.com/citation-style-language/schema/raw/master/csl-citation.json"} </w:instrText>
      </w:r>
      <w:r w:rsidRPr="00597420">
        <w:rPr>
          <w:rFonts w:asciiTheme="majorBidi" w:eastAsia="Google Sans Text" w:hAnsiTheme="majorBidi" w:cstheme="majorBidi"/>
          <w:color w:val="1B1C1D"/>
          <w:kern w:val="0"/>
          <w:sz w:val="20"/>
          <w:szCs w:val="20"/>
          <w14:ligatures w14:val="none"/>
        </w:rPr>
        <w:fldChar w:fldCharType="separate"/>
      </w:r>
      <w:r w:rsidR="00597420" w:rsidRPr="00597420">
        <w:rPr>
          <w:rFonts w:ascii="Times New Roman" w:hAnsi="Times New Roman" w:cs="Times New Roman"/>
          <w:sz w:val="20"/>
        </w:rPr>
        <w:t>(Zimmer et al. 2012)</w:t>
      </w:r>
      <w:r w:rsidRPr="00597420">
        <w:rPr>
          <w:rFonts w:asciiTheme="majorBidi" w:eastAsia="Google Sans Text" w:hAnsiTheme="majorBidi" w:cstheme="majorBidi"/>
          <w:color w:val="1B1C1D"/>
          <w:kern w:val="0"/>
          <w:sz w:val="20"/>
          <w:szCs w:val="20"/>
          <w14:ligatures w14:val="none"/>
        </w:rPr>
        <w:fldChar w:fldCharType="end"/>
      </w:r>
      <w:r w:rsidRPr="00597420">
        <w:rPr>
          <w:rFonts w:asciiTheme="majorBidi" w:eastAsia="Google Sans Text" w:hAnsiTheme="majorBidi" w:cstheme="majorBidi"/>
          <w:color w:val="1B1C1D"/>
          <w:kern w:val="0"/>
          <w:sz w:val="20"/>
          <w:szCs w:val="20"/>
          <w14:ligatures w14:val="none"/>
        </w:rPr>
        <w:t>. Up to 100 infusions per session were permitted. Responses on the inactive lever were recorded but had no programmed consequences. Rats that consistently earned more than 20 infusions per session were first advanced to a FR3 schedule, followed by progression to the final FR5 schedule (each fifth response produced a 0.032 mg/kg/injection of methamphetamine). Only animals that successfully reached the FR5 criterion were included in the study, ensuring reliable self-administration behavior. Stable responding was defined as less than 20% variability across consecutive sessions, typically achieved within 10 to 20 days of training.</w:t>
      </w:r>
      <w:r w:rsidRPr="00597420">
        <w:rPr>
          <w:rFonts w:asciiTheme="majorBidi" w:eastAsia="Arial" w:hAnsiTheme="majorBidi" w:cstheme="majorBidi"/>
          <w:kern w:val="0"/>
          <w:sz w:val="20"/>
          <w:szCs w:val="20"/>
          <w14:ligatures w14:val="none"/>
        </w:rPr>
        <w:t xml:space="preserve"> </w:t>
      </w:r>
      <w:r w:rsidRPr="00597420">
        <w:rPr>
          <w:rFonts w:asciiTheme="majorBidi" w:eastAsia="Google Sans Text" w:hAnsiTheme="majorBidi" w:cstheme="majorBidi"/>
          <w:color w:val="1B1C1D"/>
          <w:kern w:val="0"/>
          <w:sz w:val="20"/>
          <w:szCs w:val="20"/>
          <w14:ligatures w14:val="none"/>
        </w:rPr>
        <w:t xml:space="preserve">Animals that </w:t>
      </w:r>
      <w:r w:rsidRPr="00597420">
        <w:rPr>
          <w:rFonts w:asciiTheme="majorBidi" w:eastAsia="Google Sans Text" w:hAnsiTheme="majorBidi" w:cstheme="majorBidi"/>
          <w:color w:val="1B1C1D"/>
          <w:kern w:val="0"/>
          <w:sz w:val="20"/>
          <w:szCs w:val="20"/>
          <w14:ligatures w14:val="none"/>
        </w:rPr>
        <w:lastRenderedPageBreak/>
        <w:t>did not meet these criteria were excluded from further testing. During the experimental phase, rats were required to complete three consecutive days of stable responding before the first MG or vehicle injection, and two consecutive days of stable responding were required between subsequent test sessions. Pretreatment with MG (10, 17.8, 32, or 56 mg/kg, i.p.) or vehicle was administered 30 min prior the session. The order of dose administration was counterbalanced across animals to mitigate sequence effects. Active and inactive lever presses, infusions, and response rates (responses/sec) were recorded as primary behavioral measures.</w:t>
      </w:r>
    </w:p>
    <w:p w14:paraId="23DC946B" w14:textId="77777777" w:rsidR="00DF1C41" w:rsidRPr="00597420" w:rsidRDefault="00DF1C41" w:rsidP="00DF1C41">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Experiment 2: Food Self-Administration (Mirroring Paradigm)</w:t>
      </w:r>
    </w:p>
    <w:p w14:paraId="603692B4" w14:textId="23EAF244" w:rsidR="00DF1C41" w:rsidRPr="00597420" w:rsidRDefault="00DF1C41" w:rsidP="00597420">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r w:rsidRPr="00597420">
        <w:rPr>
          <w:rFonts w:asciiTheme="majorBidi" w:eastAsia="Google Sans Text" w:hAnsiTheme="majorBidi" w:cstheme="majorBidi"/>
          <w:color w:val="1B1C1D"/>
          <w:kern w:val="0"/>
          <w:sz w:val="20"/>
          <w:szCs w:val="20"/>
          <w14:ligatures w14:val="none"/>
        </w:rPr>
        <w:t>This experiment included 8 Sprague-Dawley rats (4 males, 4 females), which were not implanted with a jugular catheter. Following a one</w:t>
      </w:r>
      <w:r w:rsidRPr="00597420">
        <w:rPr>
          <w:rFonts w:asciiTheme="majorBidi" w:eastAsia="Google Sans Text" w:hAnsiTheme="majorBidi" w:cstheme="majorBidi"/>
          <w:color w:val="1B1C1D"/>
          <w:kern w:val="0"/>
          <w:sz w:val="20"/>
          <w:szCs w:val="20"/>
          <w14:ligatures w14:val="none"/>
        </w:rPr>
        <w:noBreakHyphen/>
        <w:t>week acclimation period, rats began training to self</w:t>
      </w:r>
      <w:r w:rsidRPr="00597420">
        <w:rPr>
          <w:rFonts w:asciiTheme="majorBidi" w:eastAsia="Google Sans Text" w:hAnsiTheme="majorBidi" w:cstheme="majorBidi"/>
          <w:color w:val="1B1C1D"/>
          <w:kern w:val="0"/>
          <w:sz w:val="20"/>
          <w:szCs w:val="20"/>
          <w14:ligatures w14:val="none"/>
        </w:rPr>
        <w:noBreakHyphen/>
        <w:t xml:space="preserve">administer food using previously established methods </w:t>
      </w:r>
      <w:r w:rsidRPr="00597420">
        <w:rPr>
          <w:rFonts w:asciiTheme="majorBidi" w:eastAsia="Google Sans Text" w:hAnsiTheme="majorBidi" w:cstheme="majorBidi"/>
          <w:color w:val="1B1C1D"/>
          <w:kern w:val="0"/>
          <w:sz w:val="20"/>
          <w:szCs w:val="20"/>
          <w14:ligatures w14:val="none"/>
        </w:rPr>
        <w:fldChar w:fldCharType="begin"/>
      </w:r>
      <w:r w:rsidR="00597420">
        <w:rPr>
          <w:rFonts w:asciiTheme="majorBidi" w:eastAsia="Google Sans Text" w:hAnsiTheme="majorBidi" w:cstheme="majorBidi"/>
          <w:color w:val="1B1C1D"/>
          <w:kern w:val="0"/>
          <w:sz w:val="20"/>
          <w:szCs w:val="20"/>
          <w14:ligatures w14:val="none"/>
        </w:rPr>
        <w:instrText xml:space="preserve"> ADDIN ZOTERO_ITEM CSL_CITATION {"citationID":"MTg7AhuM","properties":{"formattedCitation":"(Baladi et al. 2014)","plainCitation":"(Baladi et al. 2014)","noteIndex":0},"citationItems":[{"id":1310,"uris":["http://zotero.org/users/14584789/items/UMM394WC"],"itemData":{"id":1310,"type":"article-journal","abstract":"Methylphenidate (MPD) is clinically effective in treating symptoms of attention-deficit/hyperactivity disorder; however, its relatively wide availability has raised public health concerns for non-medical use of MPD among certain adult populations. ...","container-title":"Behavioural pharmacology","DOI":"10.1097/FBP.0000000000000094","issue":"8","language":"en","note":"PMID: 25325290","page":"758","source":"pmc.ncbi.nlm.nih.gov","title":"Prior methylphenidate self-administration alters the subsequent reinforcing effects of methamphetamine in rats","volume":"25","author":[{"family":"Baladi","given":"Michelle G."},{"family":"Nielsen","given":"Shannon M."},{"family":"Umpierre","given":"Anthony"},{"family":"Hanson","given":"Glen R."},{"family":"Fleckenstein","given":"Annette E."}],"issued":{"date-parts":[["2014",12]]}}}],"schema":"https://github.com/citation-style-language/schema/raw/master/csl-citation.json"} </w:instrText>
      </w:r>
      <w:r w:rsidRPr="00597420">
        <w:rPr>
          <w:rFonts w:asciiTheme="majorBidi" w:eastAsia="Google Sans Text" w:hAnsiTheme="majorBidi" w:cstheme="majorBidi"/>
          <w:color w:val="1B1C1D"/>
          <w:kern w:val="0"/>
          <w:sz w:val="20"/>
          <w:szCs w:val="20"/>
          <w14:ligatures w14:val="none"/>
        </w:rPr>
        <w:fldChar w:fldCharType="separate"/>
      </w:r>
      <w:r w:rsidR="00597420" w:rsidRPr="00597420">
        <w:rPr>
          <w:rFonts w:ascii="Times New Roman" w:hAnsi="Times New Roman" w:cs="Times New Roman"/>
          <w:sz w:val="20"/>
        </w:rPr>
        <w:t>(Baladi et al. 2014)</w:t>
      </w:r>
      <w:r w:rsidRPr="00597420">
        <w:rPr>
          <w:rFonts w:asciiTheme="majorBidi" w:eastAsia="Google Sans Text" w:hAnsiTheme="majorBidi" w:cstheme="majorBidi"/>
          <w:color w:val="1B1C1D"/>
          <w:kern w:val="0"/>
          <w:sz w:val="20"/>
          <w:szCs w:val="20"/>
          <w14:ligatures w14:val="none"/>
        </w:rPr>
        <w:fldChar w:fldCharType="end"/>
      </w:r>
      <w:r w:rsidRPr="00597420">
        <w:rPr>
          <w:rFonts w:asciiTheme="majorBidi" w:eastAsia="Google Sans Text" w:hAnsiTheme="majorBidi" w:cstheme="majorBidi"/>
          <w:color w:val="1B1C1D"/>
          <w:kern w:val="0"/>
          <w:sz w:val="20"/>
          <w:szCs w:val="20"/>
          <w14:ligatures w14:val="none"/>
        </w:rPr>
        <w:t xml:space="preserve">. Prior to lever press training, animals completed a single 60-min magazine training session in the operant chambers with levers retracted </w:t>
      </w:r>
      <w:r w:rsidRPr="00597420">
        <w:rPr>
          <w:rFonts w:asciiTheme="majorBidi" w:eastAsia="Google Sans Text" w:hAnsiTheme="majorBidi" w:cstheme="majorBidi"/>
          <w:color w:val="1B1C1D"/>
          <w:kern w:val="0"/>
          <w:sz w:val="20"/>
          <w:szCs w:val="20"/>
          <w14:ligatures w14:val="none"/>
        </w:rPr>
        <w:fldChar w:fldCharType="begin"/>
      </w:r>
      <w:r w:rsidR="00597420">
        <w:rPr>
          <w:rFonts w:asciiTheme="majorBidi" w:eastAsia="Google Sans Text" w:hAnsiTheme="majorBidi" w:cstheme="majorBidi"/>
          <w:color w:val="1B1C1D"/>
          <w:kern w:val="0"/>
          <w:sz w:val="20"/>
          <w:szCs w:val="20"/>
          <w14:ligatures w14:val="none"/>
        </w:rPr>
        <w:instrText xml:space="preserve"> ADDIN ZOTERO_ITEM CSL_CITATION {"citationID":"qrMPxIbV","properties":{"formattedCitation":"(Bullock 2018)","plainCitation":"(Bullock 2018)","noteIndex":0},"citationItems":[{"id":1315,"uris":["http://zotero.org/users/14584789/items/VFEIV2L7"],"itemData":{"id":1315,"type":"article-journal","container-title":"Masters Theses","source":"COinS","title":"Application of a Three-Lever Drug Discrimination Method to Differentiate the Interoceptive Stimulus Effects of 3, 4-Methylenedioxypyrovalerone and 4-Methylmethcathinone in Male Sprague-Dawley Rats","URL":"https://scholarworks.wmich.edu/masters_theses/3694","author":[{"family":"Bullock","given":"Trent"}],"issued":{"date-parts":[["2018",8,1]]}}}],"schema":"https://github.com/citation-style-language/schema/raw/master/csl-citation.json"} </w:instrText>
      </w:r>
      <w:r w:rsidRPr="00597420">
        <w:rPr>
          <w:rFonts w:asciiTheme="majorBidi" w:eastAsia="Google Sans Text" w:hAnsiTheme="majorBidi" w:cstheme="majorBidi"/>
          <w:color w:val="1B1C1D"/>
          <w:kern w:val="0"/>
          <w:sz w:val="20"/>
          <w:szCs w:val="20"/>
          <w14:ligatures w14:val="none"/>
        </w:rPr>
        <w:fldChar w:fldCharType="separate"/>
      </w:r>
      <w:r w:rsidR="00597420" w:rsidRPr="00597420">
        <w:rPr>
          <w:rFonts w:ascii="Times New Roman" w:hAnsi="Times New Roman" w:cs="Times New Roman"/>
          <w:sz w:val="20"/>
        </w:rPr>
        <w:t>(Bullock 2018)</w:t>
      </w:r>
      <w:r w:rsidRPr="00597420">
        <w:rPr>
          <w:rFonts w:asciiTheme="majorBidi" w:eastAsia="Google Sans Text" w:hAnsiTheme="majorBidi" w:cstheme="majorBidi"/>
          <w:color w:val="1B1C1D"/>
          <w:kern w:val="0"/>
          <w:sz w:val="20"/>
          <w:szCs w:val="20"/>
          <w14:ligatures w14:val="none"/>
        </w:rPr>
        <w:fldChar w:fldCharType="end"/>
      </w:r>
      <w:r w:rsidRPr="00597420">
        <w:rPr>
          <w:rFonts w:asciiTheme="majorBidi" w:eastAsia="Google Sans Text" w:hAnsiTheme="majorBidi" w:cstheme="majorBidi"/>
          <w:color w:val="1B1C1D"/>
          <w:kern w:val="0"/>
          <w:sz w:val="20"/>
          <w:szCs w:val="20"/>
          <w14:ligatures w14:val="none"/>
        </w:rPr>
        <w:t>. During this session, 20 mg dustless food pellets were delivered on a fixed-time 60-sec (FT60) schedule to acclimate rats to the sound and location of pellet delivery. All animals were required to consume the dispensed pellets in order to proceed to the next training phase. Following successful magazine training, rats began operant conditioning for food reinforcement, based on previous established methods. Sessions were limited to a maximum of 100 food pellets and initially conducted under a FR1 schedule, which was gradually increased to the terminal FR5 schedule. Each session lasted 2 hours with a 20-sec time-out period following each reinforcer. Stable responding was defined as less than 20% variability across consecutive sessions and was typically achieved within 10–20 days. Before the first injection, rats were required to show stable responding over three consecutive sessions. For all subsequent treatments, a minimum of 2 days of stable responding was required between test sessions. Rats received intraperitoneal pretreatment with either vehicle or MG (10, 17.8, 32, or 56 mg/kg) 30 min prior to testing. The order of doses was counterbalanced across subjects. During test sessions, active and inactive lever presses and response rates (responses per second) were recorded.</w:t>
      </w:r>
    </w:p>
    <w:p w14:paraId="28A6E852" w14:textId="77777777" w:rsidR="00DF1C41" w:rsidRPr="00597420" w:rsidRDefault="00DF1C41" w:rsidP="00DF1C41">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Experiment 3: Effect of MG on Methamphetamine Self-Administration under Progressive Ratio Schedule</w:t>
      </w:r>
    </w:p>
    <w:p w14:paraId="262B5EF8" w14:textId="2FEC6065" w:rsidR="00DF1C41" w:rsidRPr="00597420" w:rsidRDefault="00DF1C41" w:rsidP="00597420">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r w:rsidRPr="00597420">
        <w:rPr>
          <w:rFonts w:asciiTheme="majorBidi" w:eastAsia="Google Sans Text" w:hAnsiTheme="majorBidi" w:cstheme="majorBidi"/>
          <w:color w:val="1B1C1D"/>
          <w:kern w:val="0"/>
          <w:sz w:val="20"/>
          <w:szCs w:val="20"/>
          <w14:ligatures w14:val="none"/>
        </w:rPr>
        <w:t xml:space="preserve">For the PR schedule, following established procedures </w:t>
      </w:r>
      <w:r w:rsidRPr="00597420">
        <w:rPr>
          <w:rFonts w:asciiTheme="majorBidi" w:eastAsia="Google Sans Text" w:hAnsiTheme="majorBidi" w:cstheme="majorBidi"/>
          <w:color w:val="1B1C1D"/>
          <w:kern w:val="0"/>
          <w:sz w:val="20"/>
          <w:szCs w:val="20"/>
          <w14:ligatures w14:val="none"/>
        </w:rPr>
        <w:fldChar w:fldCharType="begin"/>
      </w:r>
      <w:r w:rsidR="00597420">
        <w:rPr>
          <w:rFonts w:asciiTheme="majorBidi" w:eastAsia="Google Sans Text" w:hAnsiTheme="majorBidi" w:cstheme="majorBidi"/>
          <w:color w:val="1B1C1D"/>
          <w:kern w:val="0"/>
          <w:sz w:val="20"/>
          <w:szCs w:val="20"/>
          <w14:ligatures w14:val="none"/>
        </w:rPr>
        <w:instrText xml:space="preserve"> ADDIN ZOTERO_ITEM CSL_CITATION {"citationID":"dEhhPvaw","properties":{"formattedCitation":"(Richardson and Roberts 1996)","plainCitation":"(Richardson and Roberts 1996)","noteIndex":0},"citationItems":[{"id":1317,"uris":["http://zotero.org/users/14584789/items/TUEAHHGH"],"itemData":{"id":1317,"type":"article-journal","abstract":"Drug self-administration studies have recently employed progressive ratio (PR) schedules to examine psychostimulant and opiate reinforcement. This review addresses the technical, statistical, and theoretical issues related to the use of the PR schedule in self-administration studies in rats. Session parameters adopted for use in our laboratory and the considerations relevant to them are described. The strengths and weaknesses of the PR schedule are also discussed.","container-title":"Journal of Neuroscience Methods","DOI":"10.1016/0165-0270(95)00153-0","ISSN":"0165-0270","issue":"1","journalAbbreviation":"Journal of Neuroscience Methods","page":"1-11","source":"ScienceDirect","title":"Progressive ratio schedules in drug self-administration studies in rats: a method to evaluate reinforcing efficacy","title-short":"Progressive ratio schedules in drug self-administration studies in rats","volume":"66","author":[{"family":"Richardson","given":"Nicole R."},{"family":"Roberts","given":"David C. S."}],"issued":{"date-parts":[["1996",5,1]]}}}],"schema":"https://github.com/citation-style-language/schema/raw/master/csl-citation.json"} </w:instrText>
      </w:r>
      <w:r w:rsidRPr="00597420">
        <w:rPr>
          <w:rFonts w:asciiTheme="majorBidi" w:eastAsia="Google Sans Text" w:hAnsiTheme="majorBidi" w:cstheme="majorBidi"/>
          <w:color w:val="1B1C1D"/>
          <w:kern w:val="0"/>
          <w:sz w:val="20"/>
          <w:szCs w:val="20"/>
          <w14:ligatures w14:val="none"/>
        </w:rPr>
        <w:fldChar w:fldCharType="separate"/>
      </w:r>
      <w:r w:rsidR="00597420" w:rsidRPr="00597420">
        <w:rPr>
          <w:rFonts w:ascii="Times New Roman" w:hAnsi="Times New Roman" w:cs="Times New Roman"/>
          <w:sz w:val="20"/>
        </w:rPr>
        <w:t>(Richardson and Roberts 1996)</w:t>
      </w:r>
      <w:r w:rsidRPr="00597420">
        <w:rPr>
          <w:rFonts w:asciiTheme="majorBidi" w:eastAsia="Google Sans Text" w:hAnsiTheme="majorBidi" w:cstheme="majorBidi"/>
          <w:color w:val="1B1C1D"/>
          <w:kern w:val="0"/>
          <w:sz w:val="20"/>
          <w:szCs w:val="20"/>
          <w14:ligatures w14:val="none"/>
        </w:rPr>
        <w:fldChar w:fldCharType="end"/>
      </w:r>
      <w:r w:rsidRPr="00597420">
        <w:rPr>
          <w:rFonts w:asciiTheme="majorBidi" w:eastAsia="Google Sans Text" w:hAnsiTheme="majorBidi" w:cstheme="majorBidi"/>
          <w:color w:val="1B1C1D"/>
          <w:kern w:val="0"/>
          <w:sz w:val="20"/>
          <w:szCs w:val="20"/>
          <w14:ligatures w14:val="none"/>
        </w:rPr>
        <w:t>, 14 implanted Sprague–Dawley rats (7 females and 7 males) were initially utilized. After a one-week acclimation period, rats began training to self-administer methamphetamine. Similar to the first experiment, initial training involved an FR1 schedule for 2 hours daily, where an active lever press delivered an intravenous infusion of methamphetamine (0.032 mg/kg/infusion), followed by a 20-sec timeout (cue lights off, levers retracted). Inactive lever responses were recorded but produced no consequences. The FR schedule gradually increased until animals reached FR5.</w:t>
      </w:r>
      <w:r w:rsidRPr="00597420">
        <w:rPr>
          <w:rFonts w:asciiTheme="majorBidi" w:eastAsia="Google Sans Text" w:hAnsiTheme="majorBidi" w:cstheme="majorBidi"/>
          <w:b/>
          <w:bCs/>
          <w:color w:val="1B1C1D"/>
          <w:kern w:val="0"/>
          <w:sz w:val="20"/>
          <w:szCs w:val="20"/>
          <w14:ligatures w14:val="none"/>
        </w:rPr>
        <w:t xml:space="preserve"> </w:t>
      </w:r>
      <w:r w:rsidRPr="00597420">
        <w:rPr>
          <w:rFonts w:asciiTheme="majorBidi" w:eastAsia="Google Sans Text" w:hAnsiTheme="majorBidi" w:cstheme="majorBidi"/>
          <w:color w:val="1B1C1D"/>
          <w:kern w:val="0"/>
          <w:sz w:val="20"/>
          <w:szCs w:val="20"/>
          <w14:ligatures w14:val="none"/>
        </w:rPr>
        <w:t>Of the 7 male rats, one was excluded due to loss of catheter patency, and 2 additional males were excluded for not meeting the FR5 requirement during the training phase.</w:t>
      </w:r>
      <w:r w:rsidRPr="00597420">
        <w:rPr>
          <w:rFonts w:asciiTheme="majorBidi" w:eastAsia="Times New Roman" w:hAnsiTheme="majorBidi" w:cstheme="majorBidi"/>
          <w:color w:val="000000"/>
          <w:kern w:val="0"/>
          <w:sz w:val="20"/>
          <w:szCs w:val="20"/>
          <w14:ligatures w14:val="none"/>
        </w:rPr>
        <w:t xml:space="preserve"> </w:t>
      </w:r>
      <w:r w:rsidRPr="00597420">
        <w:rPr>
          <w:rFonts w:asciiTheme="majorBidi" w:eastAsia="Google Sans Text" w:hAnsiTheme="majorBidi" w:cstheme="majorBidi"/>
          <w:color w:val="1B1C1D"/>
          <w:kern w:val="0"/>
          <w:sz w:val="20"/>
          <w:szCs w:val="20"/>
          <w14:ligatures w14:val="none"/>
        </w:rPr>
        <w:t xml:space="preserve">These exclusions ensure that all animals included in the final analysis demonstrated consistent self-administration behavior and maintained catheter patency throughout the study. All 7 female rats remained in the study. Once stable responding under FR5 was achieved, rats were transitioned to a PR schedule to assess motivation. On the PR schedule, reinforcement required an increasing number of lever presses, progressing through the sequence: 1, 2, 4, 6, 9, 12, 15, 20, 25, 32, 40, 50, 62, 77, 95, 118, 145, 178, 219, </w:t>
      </w:r>
      <w:r w:rsidRPr="00597420">
        <w:rPr>
          <w:rFonts w:asciiTheme="majorBidi" w:eastAsia="Google Sans Text" w:hAnsiTheme="majorBidi" w:cstheme="majorBidi"/>
          <w:color w:val="1B1C1D"/>
          <w:kern w:val="0"/>
          <w:sz w:val="20"/>
          <w:szCs w:val="20"/>
          <w14:ligatures w14:val="none"/>
        </w:rPr>
        <w:lastRenderedPageBreak/>
        <w:t xml:space="preserve">268, 328, 402, 492, and 603, thereby reflecting progressively greater effort demands </w:t>
      </w:r>
      <w:r w:rsidRPr="00597420">
        <w:rPr>
          <w:rFonts w:asciiTheme="majorBidi" w:eastAsia="Google Sans Text" w:hAnsiTheme="majorBidi" w:cstheme="majorBidi"/>
          <w:color w:val="1B1C1D"/>
          <w:kern w:val="0"/>
          <w:sz w:val="20"/>
          <w:szCs w:val="20"/>
          <w14:ligatures w14:val="none"/>
        </w:rPr>
        <w:fldChar w:fldCharType="begin"/>
      </w:r>
      <w:r w:rsidR="00597420">
        <w:rPr>
          <w:rFonts w:asciiTheme="majorBidi" w:eastAsia="Google Sans Text" w:hAnsiTheme="majorBidi" w:cstheme="majorBidi"/>
          <w:color w:val="1B1C1D"/>
          <w:kern w:val="0"/>
          <w:sz w:val="20"/>
          <w:szCs w:val="20"/>
          <w14:ligatures w14:val="none"/>
        </w:rPr>
        <w:instrText xml:space="preserve"> ADDIN ZOTERO_ITEM CSL_CITATION {"citationID":"8bOE3kFR","properties":{"formattedCitation":"(Richardson and Roberts 1996)","plainCitation":"(Richardson and Roberts 1996)","noteIndex":0},"citationItems":[{"id":1317,"uris":["http://zotero.org/users/14584789/items/TUEAHHGH"],"itemData":{"id":1317,"type":"article-journal","abstract":"Drug self-administration studies have recently employed progressive ratio (PR) schedules to examine psychostimulant and opiate reinforcement. This review addresses the technical, statistical, and theoretical issues related to the use of the PR schedule in self-administration studies in rats. Session parameters adopted for use in our laboratory and the considerations relevant to them are described. The strengths and weaknesses of the PR schedule are also discussed.","container-title":"Journal of Neuroscience Methods","DOI":"10.1016/0165-0270(95)00153-0","ISSN":"0165-0270","issue":"1","journalAbbreviation":"Journal of Neuroscience Methods","page":"1-11","source":"ScienceDirect","title":"Progressive ratio schedules in drug self-administration studies in rats: a method to evaluate reinforcing efficacy","title-short":"Progressive ratio schedules in drug self-administration studies in rats","volume":"66","author":[{"family":"Richardson","given":"Nicole R."},{"family":"Roberts","given":"David C. S."}],"issued":{"date-parts":[["1996",5,1]]}}}],"schema":"https://github.com/citation-style-language/schema/raw/master/csl-citation.json"} </w:instrText>
      </w:r>
      <w:r w:rsidRPr="00597420">
        <w:rPr>
          <w:rFonts w:asciiTheme="majorBidi" w:eastAsia="Google Sans Text" w:hAnsiTheme="majorBidi" w:cstheme="majorBidi"/>
          <w:color w:val="1B1C1D"/>
          <w:kern w:val="0"/>
          <w:sz w:val="20"/>
          <w:szCs w:val="20"/>
          <w14:ligatures w14:val="none"/>
        </w:rPr>
        <w:fldChar w:fldCharType="separate"/>
      </w:r>
      <w:r w:rsidR="00597420" w:rsidRPr="00597420">
        <w:rPr>
          <w:rFonts w:ascii="Times New Roman" w:hAnsi="Times New Roman" w:cs="Times New Roman"/>
          <w:sz w:val="20"/>
        </w:rPr>
        <w:t>(Richardson and Roberts 1996)</w:t>
      </w:r>
      <w:r w:rsidRPr="00597420">
        <w:rPr>
          <w:rFonts w:asciiTheme="majorBidi" w:eastAsia="Google Sans Text" w:hAnsiTheme="majorBidi" w:cstheme="majorBidi"/>
          <w:color w:val="1B1C1D"/>
          <w:kern w:val="0"/>
          <w:sz w:val="20"/>
          <w:szCs w:val="20"/>
          <w14:ligatures w14:val="none"/>
        </w:rPr>
        <w:fldChar w:fldCharType="end"/>
      </w:r>
      <w:r w:rsidRPr="00597420">
        <w:rPr>
          <w:rFonts w:asciiTheme="majorBidi" w:eastAsia="Google Sans Text" w:hAnsiTheme="majorBidi" w:cstheme="majorBidi"/>
          <w:color w:val="1B1C1D"/>
          <w:kern w:val="0"/>
          <w:sz w:val="20"/>
          <w:szCs w:val="20"/>
          <w14:ligatures w14:val="none"/>
        </w:rPr>
        <w:t>.</w:t>
      </w:r>
      <w:r w:rsidR="004B0D2D" w:rsidRPr="00597420">
        <w:rPr>
          <w:rFonts w:asciiTheme="majorBidi" w:hAnsiTheme="majorBidi" w:cstheme="majorBidi"/>
          <w:sz w:val="20"/>
          <w:szCs w:val="20"/>
        </w:rPr>
        <w:t xml:space="preserve"> </w:t>
      </w:r>
      <w:r w:rsidR="000E72BB" w:rsidRPr="00597420">
        <w:rPr>
          <w:rFonts w:asciiTheme="majorBidi" w:eastAsia="Google Sans Text" w:hAnsiTheme="majorBidi" w:cstheme="majorBidi"/>
          <w:color w:val="1B1C1D"/>
          <w:kern w:val="0"/>
          <w:sz w:val="20"/>
          <w:szCs w:val="20"/>
          <w14:ligatures w14:val="none"/>
        </w:rPr>
        <w:t xml:space="preserve">The breakpoint, defined as the final ratio completed, served as the primary outcome measure. Each progressive ratio session had a maximum duration of 2 hours. </w:t>
      </w:r>
      <w:r w:rsidRPr="00597420">
        <w:rPr>
          <w:rFonts w:asciiTheme="majorBidi" w:eastAsia="Google Sans Text" w:hAnsiTheme="majorBidi" w:cstheme="majorBidi"/>
          <w:color w:val="1B1C1D"/>
          <w:kern w:val="0"/>
          <w:sz w:val="20"/>
          <w:szCs w:val="20"/>
          <w14:ligatures w14:val="none"/>
        </w:rPr>
        <w:t xml:space="preserve">Stable responding on the PR schedule was defined as less than 20% variance over three consecutive sessions, mirroring the criteria used for FR acquisition. In the experimental phase, rats were pretreated with either vehicle or MG (10, 17.8, 32, </w:t>
      </w:r>
      <w:r w:rsidR="006C49ED" w:rsidRPr="00597420">
        <w:rPr>
          <w:rFonts w:asciiTheme="majorBidi" w:eastAsia="Google Sans Text" w:hAnsiTheme="majorBidi" w:cstheme="majorBidi"/>
          <w:color w:val="1B1C1D"/>
          <w:kern w:val="0"/>
          <w:sz w:val="20"/>
          <w:szCs w:val="20"/>
          <w14:ligatures w14:val="none"/>
        </w:rPr>
        <w:t>or</w:t>
      </w:r>
      <w:r w:rsidRPr="00597420">
        <w:rPr>
          <w:rFonts w:asciiTheme="majorBidi" w:eastAsia="Google Sans Text" w:hAnsiTheme="majorBidi" w:cstheme="majorBidi"/>
          <w:color w:val="1B1C1D"/>
          <w:kern w:val="0"/>
          <w:sz w:val="20"/>
          <w:szCs w:val="20"/>
          <w14:ligatures w14:val="none"/>
        </w:rPr>
        <w:t>56 mg/kg, i.p.)</w:t>
      </w:r>
      <w:r w:rsidRPr="00597420">
        <w:rPr>
          <w:rFonts w:asciiTheme="majorBidi" w:eastAsia="Arial" w:hAnsiTheme="majorBidi" w:cstheme="majorBidi"/>
          <w:kern w:val="0"/>
          <w:sz w:val="20"/>
          <w:szCs w:val="20"/>
          <w14:ligatures w14:val="none"/>
        </w:rPr>
        <w:t xml:space="preserve"> </w:t>
      </w:r>
      <w:r w:rsidRPr="00597420">
        <w:rPr>
          <w:rFonts w:asciiTheme="majorBidi" w:eastAsia="Google Sans Text" w:hAnsiTheme="majorBidi" w:cstheme="majorBidi"/>
          <w:color w:val="1B1C1D"/>
          <w:kern w:val="0"/>
          <w:sz w:val="20"/>
          <w:szCs w:val="20"/>
          <w14:ligatures w14:val="none"/>
        </w:rPr>
        <w:t>30 min prior to the session, with the order of doses counterbalanced. Breakpoint and active lever presses were recorded as the primary behavioral measures.</w:t>
      </w:r>
    </w:p>
    <w:p w14:paraId="2DA5B1B0"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02524CBD"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59E17B84"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1E1D3DE7"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3FDFFFE6"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464131B6"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46FA81D5"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085B28DA"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6876FFC3" w14:textId="77777777" w:rsidR="00C70C56" w:rsidRPr="00597420" w:rsidRDefault="00C70C56" w:rsidP="00DF1C41">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p>
    <w:p w14:paraId="07E4AB78" w14:textId="77777777" w:rsidR="00897152" w:rsidRPr="00597420" w:rsidRDefault="00897152">
      <w:pPr>
        <w:rPr>
          <w:rFonts w:asciiTheme="majorBidi" w:eastAsia="Google Sans Text" w:hAnsiTheme="majorBidi" w:cstheme="majorBidi"/>
          <w:b/>
          <w:bCs/>
          <w:color w:val="1B1C1D"/>
          <w:kern w:val="0"/>
          <w:sz w:val="20"/>
          <w:szCs w:val="20"/>
          <w14:ligatures w14:val="none"/>
        </w:rPr>
      </w:pPr>
      <w:bookmarkStart w:id="1" w:name="_Hlk212733638"/>
      <w:r w:rsidRPr="00597420">
        <w:rPr>
          <w:rFonts w:asciiTheme="majorBidi" w:eastAsia="Google Sans Text" w:hAnsiTheme="majorBidi" w:cstheme="majorBidi"/>
          <w:b/>
          <w:bCs/>
          <w:color w:val="1B1C1D"/>
          <w:kern w:val="0"/>
          <w:sz w:val="20"/>
          <w:szCs w:val="20"/>
          <w14:ligatures w14:val="none"/>
        </w:rPr>
        <w:br w:type="page"/>
      </w:r>
    </w:p>
    <w:p w14:paraId="451CDE76" w14:textId="199518CA" w:rsidR="000D40A2" w:rsidRPr="00597420" w:rsidRDefault="00BA3003" w:rsidP="000D40A2">
      <w:pPr>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lastRenderedPageBreak/>
        <w:t>Supplementa</w:t>
      </w:r>
      <w:r w:rsidR="000D40A2" w:rsidRPr="00597420">
        <w:rPr>
          <w:rFonts w:asciiTheme="majorBidi" w:eastAsia="Google Sans Text" w:hAnsiTheme="majorBidi" w:cstheme="majorBidi"/>
          <w:b/>
          <w:bCs/>
          <w:color w:val="1B1C1D"/>
          <w:kern w:val="0"/>
          <w:sz w:val="20"/>
          <w:szCs w:val="20"/>
          <w14:ligatures w14:val="none"/>
        </w:rPr>
        <w:t>l Results</w:t>
      </w:r>
    </w:p>
    <w:p w14:paraId="66FB7C9A" w14:textId="77777777" w:rsidR="00360968" w:rsidRPr="00597420" w:rsidRDefault="00360968" w:rsidP="00360968">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Experiment 1: Effects of MG on Responding for Methamphetamine Under a Fixed Ratio Schedule</w:t>
      </w:r>
    </w:p>
    <w:p w14:paraId="1E4C1311" w14:textId="77777777" w:rsidR="00360968" w:rsidRPr="00597420" w:rsidRDefault="00360968" w:rsidP="00360968">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Active vs. Inactive Lever Presses</w:t>
      </w:r>
    </w:p>
    <w:p w14:paraId="678435A3" w14:textId="09D55562" w:rsidR="00360968" w:rsidRPr="00597420" w:rsidRDefault="00360968" w:rsidP="00360968">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r w:rsidRPr="00597420">
        <w:rPr>
          <w:rFonts w:asciiTheme="majorBidi" w:eastAsia="Google Sans Text" w:hAnsiTheme="majorBidi" w:cstheme="majorBidi"/>
          <w:color w:val="1B1C1D"/>
          <w:kern w:val="0"/>
          <w:sz w:val="20"/>
          <w:szCs w:val="20"/>
          <w14:ligatures w14:val="none"/>
        </w:rPr>
        <w:t xml:space="preserve">Under vehicle pretreatment, there were more active (252.5 presses) than inactive lever responses (59.82 presses; p = 0.0046). Mixed-effects analysis revealed significant main effects of lever type (F(1.965, 23.59) = 22.38, p &lt; 0.0001) and MG dose (F(1, 14) = 22.11, p = 0.0003), as well as a significant lever × dose interaction (F(4, 48) = 9.675, p &lt; 0.0001). Active lever pressing was significantly greater than inactive pressing at vehicle, 10, 17.8, and 32 mg/kg, but not at 56 mg/kg, where responding was markedly reduced. Inactive lever responding remained low and unchanged across doses </w:t>
      </w:r>
      <w:r w:rsidR="00897152" w:rsidRPr="00597420">
        <w:rPr>
          <w:rFonts w:asciiTheme="majorBidi" w:eastAsia="Google Sans Text" w:hAnsiTheme="majorBidi" w:cstheme="majorBidi"/>
          <w:color w:val="1B1C1D"/>
          <w:kern w:val="0"/>
          <w:sz w:val="20"/>
          <w:szCs w:val="20"/>
          <w14:ligatures w14:val="none"/>
        </w:rPr>
        <w:t>(Supplemental Figure 2A).</w:t>
      </w:r>
    </w:p>
    <w:p w14:paraId="3853F8F4" w14:textId="77777777" w:rsidR="007159A2" w:rsidRPr="00597420" w:rsidRDefault="007159A2" w:rsidP="007159A2">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 xml:space="preserve">Experiment 2: Effects of MG on Responding for Food </w:t>
      </w:r>
    </w:p>
    <w:p w14:paraId="6BA72526" w14:textId="77777777" w:rsidR="007159A2" w:rsidRPr="00597420" w:rsidRDefault="007159A2" w:rsidP="007159A2">
      <w:pPr>
        <w:widowControl w:val="0"/>
        <w:pBdr>
          <w:top w:val="nil"/>
          <w:left w:val="nil"/>
          <w:bottom w:val="nil"/>
          <w:right w:val="nil"/>
          <w:between w:val="nil"/>
        </w:pBdr>
        <w:spacing w:after="240" w:line="360" w:lineRule="auto"/>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Active vs. Inactive Lever Presses</w:t>
      </w:r>
    </w:p>
    <w:p w14:paraId="0649208A" w14:textId="4F18556D" w:rsidR="007159A2" w:rsidRPr="00597420" w:rsidRDefault="007159A2" w:rsidP="007159A2">
      <w:pPr>
        <w:widowControl w:val="0"/>
        <w:pBdr>
          <w:top w:val="nil"/>
          <w:left w:val="nil"/>
          <w:bottom w:val="nil"/>
          <w:right w:val="nil"/>
          <w:between w:val="nil"/>
        </w:pBdr>
        <w:spacing w:after="240" w:line="360" w:lineRule="auto"/>
        <w:rPr>
          <w:rFonts w:asciiTheme="majorBidi" w:eastAsia="Google Sans Text" w:hAnsiTheme="majorBidi" w:cstheme="majorBidi"/>
          <w:color w:val="1B1C1D"/>
          <w:kern w:val="0"/>
          <w:sz w:val="20"/>
          <w:szCs w:val="20"/>
          <w14:ligatures w14:val="none"/>
        </w:rPr>
      </w:pPr>
      <w:r w:rsidRPr="00597420">
        <w:rPr>
          <w:rFonts w:asciiTheme="majorBidi" w:eastAsia="Google Sans Text" w:hAnsiTheme="majorBidi" w:cstheme="majorBidi"/>
          <w:color w:val="1B1C1D"/>
          <w:kern w:val="0"/>
          <w:sz w:val="20"/>
          <w:szCs w:val="20"/>
          <w14:ligatures w14:val="none"/>
        </w:rPr>
        <w:t xml:space="preserve">Under vehicle pretreatment, there were more active than inactive lever presses (500.0 vs. 0.625, p &lt; 0.0001). Analysis revealed a significant main effect of lever type (F(1, 14) = 150132, p &lt; 0.0001), but no main effect of MG dose (F(4, 56) = 2.286, p = 0.0714) and no lever × dose interaction (F(4, 56) = 2.286, p = 0.0714). Active lever pressing was significantly greater than inactive pressing at all doses tested, and inactive lever responding remained low and unchanged across doses </w:t>
      </w:r>
      <w:r w:rsidR="00897152" w:rsidRPr="00597420">
        <w:rPr>
          <w:rFonts w:asciiTheme="majorBidi" w:eastAsia="Google Sans Text" w:hAnsiTheme="majorBidi" w:cstheme="majorBidi"/>
          <w:color w:val="1B1C1D"/>
          <w:kern w:val="0"/>
          <w:sz w:val="20"/>
          <w:szCs w:val="20"/>
          <w14:ligatures w14:val="none"/>
        </w:rPr>
        <w:t>(Supplemental Figure 2B).</w:t>
      </w:r>
    </w:p>
    <w:p w14:paraId="59716828" w14:textId="77777777" w:rsidR="00360968" w:rsidRPr="00597420" w:rsidRDefault="00360968" w:rsidP="000D40A2">
      <w:pPr>
        <w:rPr>
          <w:rFonts w:asciiTheme="majorBidi" w:eastAsia="Google Sans Text" w:hAnsiTheme="majorBidi" w:cstheme="majorBidi"/>
          <w:b/>
          <w:bCs/>
          <w:color w:val="1B1C1D"/>
          <w:kern w:val="0"/>
          <w:sz w:val="20"/>
          <w:szCs w:val="20"/>
          <w14:ligatures w14:val="none"/>
        </w:rPr>
      </w:pPr>
    </w:p>
    <w:p w14:paraId="42CD4286" w14:textId="77777777" w:rsidR="000D40A2" w:rsidRPr="00597420" w:rsidRDefault="000D40A2" w:rsidP="000D40A2">
      <w:pPr>
        <w:rPr>
          <w:rFonts w:asciiTheme="majorBidi" w:eastAsia="Google Sans Text" w:hAnsiTheme="majorBidi" w:cstheme="majorBidi"/>
          <w:b/>
          <w:bCs/>
          <w:color w:val="1B1C1D"/>
          <w:kern w:val="0"/>
          <w:sz w:val="20"/>
          <w:szCs w:val="20"/>
          <w14:ligatures w14:val="none"/>
        </w:rPr>
      </w:pPr>
    </w:p>
    <w:p w14:paraId="1196674A" w14:textId="77777777" w:rsidR="000D40A2" w:rsidRPr="00597420" w:rsidRDefault="000D40A2" w:rsidP="000D40A2">
      <w:pPr>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t xml:space="preserve"> </w:t>
      </w:r>
    </w:p>
    <w:p w14:paraId="2CC5DD21" w14:textId="77777777" w:rsidR="000D40A2" w:rsidRPr="00597420" w:rsidRDefault="000D40A2">
      <w:pPr>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br w:type="page"/>
      </w:r>
    </w:p>
    <w:p w14:paraId="39C713D3" w14:textId="2E1B6626" w:rsidR="000D40A2" w:rsidRPr="00597420" w:rsidRDefault="000D40A2" w:rsidP="000D40A2">
      <w:pPr>
        <w:rPr>
          <w:rFonts w:asciiTheme="majorBidi" w:eastAsia="Google Sans Text" w:hAnsiTheme="majorBidi" w:cstheme="majorBidi"/>
          <w:b/>
          <w:bCs/>
          <w:color w:val="1B1C1D"/>
          <w:kern w:val="0"/>
          <w:sz w:val="20"/>
          <w:szCs w:val="20"/>
          <w14:ligatures w14:val="none"/>
        </w:rPr>
      </w:pPr>
      <w:r w:rsidRPr="00597420">
        <w:rPr>
          <w:rFonts w:asciiTheme="majorBidi" w:eastAsia="Google Sans Text" w:hAnsiTheme="majorBidi" w:cstheme="majorBidi"/>
          <w:b/>
          <w:bCs/>
          <w:color w:val="1B1C1D"/>
          <w:kern w:val="0"/>
          <w:sz w:val="20"/>
          <w:szCs w:val="20"/>
          <w14:ligatures w14:val="none"/>
        </w:rPr>
        <w:lastRenderedPageBreak/>
        <w:t>Supplementa</w:t>
      </w:r>
      <w:r w:rsidR="00897152" w:rsidRPr="00597420">
        <w:rPr>
          <w:rFonts w:asciiTheme="majorBidi" w:eastAsia="Google Sans Text" w:hAnsiTheme="majorBidi" w:cstheme="majorBidi"/>
          <w:b/>
          <w:bCs/>
          <w:color w:val="1B1C1D"/>
          <w:kern w:val="0"/>
          <w:sz w:val="20"/>
          <w:szCs w:val="20"/>
          <w14:ligatures w14:val="none"/>
        </w:rPr>
        <w:t>l</w:t>
      </w:r>
      <w:r w:rsidRPr="00597420">
        <w:rPr>
          <w:rFonts w:asciiTheme="majorBidi" w:eastAsia="Google Sans Text" w:hAnsiTheme="majorBidi" w:cstheme="majorBidi"/>
          <w:b/>
          <w:bCs/>
          <w:color w:val="1B1C1D"/>
          <w:kern w:val="0"/>
          <w:sz w:val="20"/>
          <w:szCs w:val="20"/>
          <w14:ligatures w14:val="none"/>
        </w:rPr>
        <w:t xml:space="preserve"> Figures</w:t>
      </w:r>
    </w:p>
    <w:p w14:paraId="527BDAC0" w14:textId="25504FE9" w:rsidR="00BA3003" w:rsidRPr="00597420" w:rsidRDefault="00BA3003">
      <w:pPr>
        <w:rPr>
          <w:rFonts w:asciiTheme="majorBidi" w:eastAsia="Google Sans Text" w:hAnsiTheme="majorBidi" w:cstheme="majorBidi"/>
          <w:b/>
          <w:bCs/>
          <w:color w:val="1B1C1D"/>
          <w:kern w:val="0"/>
          <w:sz w:val="20"/>
          <w:szCs w:val="20"/>
          <w14:ligatures w14:val="none"/>
        </w:rPr>
      </w:pPr>
    </w:p>
    <w:bookmarkEnd w:id="1"/>
    <w:p w14:paraId="57A96357" w14:textId="071B3283" w:rsidR="001D08AA" w:rsidRPr="00597420" w:rsidRDefault="00C70C56">
      <w:pPr>
        <w:rPr>
          <w:rFonts w:asciiTheme="majorBidi" w:hAnsiTheme="majorBidi" w:cstheme="majorBidi"/>
          <w:sz w:val="20"/>
          <w:szCs w:val="20"/>
        </w:rPr>
      </w:pPr>
      <w:r w:rsidRPr="00597420">
        <w:rPr>
          <w:rFonts w:asciiTheme="majorBidi" w:eastAsia="Google Sans Text" w:hAnsiTheme="majorBidi" w:cstheme="majorBidi"/>
          <w:b/>
          <w:bCs/>
          <w:color w:val="1B1C1D"/>
          <w:kern w:val="0"/>
          <w:sz w:val="20"/>
          <w:szCs w:val="20"/>
          <w14:ligatures w14:val="none"/>
        </w:rPr>
        <w:t xml:space="preserve">Fig S1. </w:t>
      </w:r>
      <w:r w:rsidRPr="00597420">
        <w:rPr>
          <w:rFonts w:asciiTheme="majorBidi" w:hAnsiTheme="majorBidi" w:cstheme="majorBidi"/>
          <w:noProof/>
          <w:sz w:val="20"/>
          <w:szCs w:val="20"/>
        </w:rPr>
        <w:drawing>
          <wp:inline distT="0" distB="0" distL="0" distR="0" wp14:anchorId="6E5DC053" wp14:editId="1DA828DD">
            <wp:extent cx="5687060" cy="2722245"/>
            <wp:effectExtent l="0" t="0" r="8890" b="1905"/>
            <wp:docPr id="651911473" name="Picture 1" descr="A graph showing the number of days and 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11473" name="Picture 1" descr="A graph showing the number of days and day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7060" cy="2722245"/>
                    </a:xfrm>
                    <a:prstGeom prst="rect">
                      <a:avLst/>
                    </a:prstGeom>
                    <a:noFill/>
                    <a:ln>
                      <a:noFill/>
                    </a:ln>
                  </pic:spPr>
                </pic:pic>
              </a:graphicData>
            </a:graphic>
          </wp:inline>
        </w:drawing>
      </w:r>
    </w:p>
    <w:p w14:paraId="687EFE0E" w14:textId="484F23FB" w:rsidR="00C70C56" w:rsidRPr="00597420" w:rsidRDefault="00C70C56" w:rsidP="00C70C56">
      <w:pPr>
        <w:tabs>
          <w:tab w:val="left" w:pos="1593"/>
        </w:tabs>
        <w:rPr>
          <w:rFonts w:asciiTheme="majorBidi" w:eastAsia="Aptos" w:hAnsiTheme="majorBidi" w:cstheme="majorBidi"/>
          <w:sz w:val="20"/>
          <w:szCs w:val="20"/>
        </w:rPr>
      </w:pPr>
      <w:r w:rsidRPr="00597420">
        <w:rPr>
          <w:rFonts w:asciiTheme="majorBidi" w:eastAsia="Aptos" w:hAnsiTheme="majorBidi" w:cstheme="majorBidi"/>
          <w:b/>
          <w:bCs/>
          <w:sz w:val="20"/>
          <w:szCs w:val="20"/>
        </w:rPr>
        <w:t>Supplementa</w:t>
      </w:r>
      <w:r w:rsidR="00E94165" w:rsidRPr="00597420">
        <w:rPr>
          <w:rFonts w:asciiTheme="majorBidi" w:eastAsia="Aptos" w:hAnsiTheme="majorBidi" w:cstheme="majorBidi"/>
          <w:b/>
          <w:bCs/>
          <w:sz w:val="20"/>
          <w:szCs w:val="20"/>
        </w:rPr>
        <w:t>l</w:t>
      </w:r>
      <w:r w:rsidRPr="00597420">
        <w:rPr>
          <w:rFonts w:asciiTheme="majorBidi" w:eastAsia="Aptos" w:hAnsiTheme="majorBidi" w:cstheme="majorBidi"/>
          <w:b/>
          <w:bCs/>
          <w:sz w:val="20"/>
          <w:szCs w:val="20"/>
        </w:rPr>
        <w:t xml:space="preserve"> Fig S1. </w:t>
      </w:r>
      <w:r w:rsidR="00F25331" w:rsidRPr="00597420">
        <w:rPr>
          <w:rFonts w:asciiTheme="majorBidi" w:eastAsia="Aptos" w:hAnsiTheme="majorBidi" w:cstheme="majorBidi"/>
          <w:b/>
          <w:bCs/>
          <w:sz w:val="20"/>
          <w:szCs w:val="20"/>
        </w:rPr>
        <w:t>Fixed Ratio</w:t>
      </w:r>
      <w:r w:rsidR="00A46BA3" w:rsidRPr="00597420">
        <w:rPr>
          <w:rFonts w:asciiTheme="majorBidi" w:eastAsia="Aptos" w:hAnsiTheme="majorBidi" w:cstheme="majorBidi"/>
          <w:b/>
          <w:bCs/>
          <w:sz w:val="20"/>
          <w:szCs w:val="20"/>
        </w:rPr>
        <w:t xml:space="preserve"> </w:t>
      </w:r>
      <w:r w:rsidR="00F25331" w:rsidRPr="00597420">
        <w:rPr>
          <w:rFonts w:asciiTheme="majorBidi" w:eastAsia="Aptos" w:hAnsiTheme="majorBidi" w:cstheme="majorBidi"/>
          <w:b/>
          <w:bCs/>
          <w:sz w:val="20"/>
          <w:szCs w:val="20"/>
        </w:rPr>
        <w:t xml:space="preserve">(FR), </w:t>
      </w:r>
      <w:r w:rsidRPr="00597420">
        <w:rPr>
          <w:rFonts w:asciiTheme="majorBidi" w:eastAsia="Aptos" w:hAnsiTheme="majorBidi" w:cstheme="majorBidi"/>
          <w:b/>
          <w:bCs/>
          <w:sz w:val="20"/>
          <w:szCs w:val="20"/>
        </w:rPr>
        <w:t>Acquisition of methamphetamine self-administration.</w:t>
      </w:r>
      <w:r w:rsidRPr="00597420">
        <w:rPr>
          <w:rFonts w:asciiTheme="majorBidi" w:eastAsia="Aptos" w:hAnsiTheme="majorBidi" w:cstheme="majorBidi"/>
          <w:sz w:val="20"/>
          <w:szCs w:val="20"/>
        </w:rPr>
        <w:br/>
        <w:t xml:space="preserve">Mean (± SEM) active and inactive lever presses during daily 2-h acquisition sessions under an FR1→FR3→FR5 schedule (0.032 mg/kg/infusion; n = 8). Two-way repeated-measures ANOVA revealed significant main effects of Lever [F(1, 14) = 12.75, p = 0.0031] and Session [F(2.506, 35.08) = 7.84, p = 0.0007], as well as a significant Lever × Session interaction [F(14, 196) = 10.19, p &lt; 0.0001]. Post-hoc comparisons indicated that active-lever responding became significantly greater than inactive-lever responding beginning on Day 7 (p = 0.03) and remained elevated through Day 15 (p = 0.0003). These findings confirm successful acquisition of methamphetamine-maintained behavior prior to </w:t>
      </w:r>
      <w:r w:rsidR="00F25331" w:rsidRPr="00597420">
        <w:rPr>
          <w:rFonts w:asciiTheme="majorBidi" w:eastAsia="Aptos" w:hAnsiTheme="majorBidi" w:cstheme="majorBidi"/>
          <w:sz w:val="20"/>
          <w:szCs w:val="20"/>
        </w:rPr>
        <w:t>MG</w:t>
      </w:r>
      <w:r w:rsidRPr="00597420">
        <w:rPr>
          <w:rFonts w:asciiTheme="majorBidi" w:eastAsia="Aptos" w:hAnsiTheme="majorBidi" w:cstheme="majorBidi"/>
          <w:sz w:val="20"/>
          <w:szCs w:val="20"/>
        </w:rPr>
        <w:t xml:space="preserve"> testing.</w:t>
      </w:r>
    </w:p>
    <w:p w14:paraId="622B021D" w14:textId="77777777" w:rsidR="00C226CD" w:rsidRDefault="00C226CD" w:rsidP="00F25331">
      <w:pPr>
        <w:rPr>
          <w:rStyle w:val="Strong"/>
          <w:rFonts w:asciiTheme="majorBidi" w:hAnsiTheme="majorBidi" w:cstheme="majorBidi"/>
          <w:sz w:val="20"/>
          <w:szCs w:val="20"/>
        </w:rPr>
      </w:pPr>
    </w:p>
    <w:p w14:paraId="36B14D7D" w14:textId="77777777" w:rsidR="00597420" w:rsidRDefault="00597420" w:rsidP="00F25331">
      <w:pPr>
        <w:rPr>
          <w:rStyle w:val="Strong"/>
          <w:rFonts w:asciiTheme="majorBidi" w:hAnsiTheme="majorBidi" w:cstheme="majorBidi"/>
          <w:sz w:val="20"/>
          <w:szCs w:val="20"/>
        </w:rPr>
      </w:pPr>
    </w:p>
    <w:p w14:paraId="6FBEDECA" w14:textId="77777777" w:rsidR="00597420" w:rsidRDefault="00597420" w:rsidP="00F25331">
      <w:pPr>
        <w:rPr>
          <w:rStyle w:val="Strong"/>
          <w:rFonts w:asciiTheme="majorBidi" w:hAnsiTheme="majorBidi" w:cstheme="majorBidi"/>
          <w:sz w:val="20"/>
          <w:szCs w:val="20"/>
        </w:rPr>
      </w:pPr>
    </w:p>
    <w:p w14:paraId="2E2C5334" w14:textId="77777777" w:rsidR="00597420" w:rsidRDefault="00597420" w:rsidP="00F25331">
      <w:pPr>
        <w:rPr>
          <w:rStyle w:val="Strong"/>
          <w:rFonts w:asciiTheme="majorBidi" w:hAnsiTheme="majorBidi" w:cstheme="majorBidi"/>
          <w:sz w:val="20"/>
          <w:szCs w:val="20"/>
        </w:rPr>
      </w:pPr>
    </w:p>
    <w:p w14:paraId="6887BCF1" w14:textId="77777777" w:rsidR="00597420" w:rsidRDefault="00597420" w:rsidP="00F25331">
      <w:pPr>
        <w:rPr>
          <w:rStyle w:val="Strong"/>
          <w:rFonts w:asciiTheme="majorBidi" w:hAnsiTheme="majorBidi" w:cstheme="majorBidi"/>
          <w:sz w:val="20"/>
          <w:szCs w:val="20"/>
        </w:rPr>
      </w:pPr>
    </w:p>
    <w:p w14:paraId="4E63D430" w14:textId="77777777" w:rsidR="00597420" w:rsidRDefault="00597420" w:rsidP="00F25331">
      <w:pPr>
        <w:rPr>
          <w:rStyle w:val="Strong"/>
          <w:rFonts w:asciiTheme="majorBidi" w:hAnsiTheme="majorBidi" w:cstheme="majorBidi"/>
          <w:sz w:val="20"/>
          <w:szCs w:val="20"/>
        </w:rPr>
      </w:pPr>
    </w:p>
    <w:p w14:paraId="570966E9" w14:textId="77777777" w:rsidR="00597420" w:rsidRDefault="00597420" w:rsidP="00F25331">
      <w:pPr>
        <w:rPr>
          <w:rStyle w:val="Strong"/>
          <w:rFonts w:asciiTheme="majorBidi" w:hAnsiTheme="majorBidi" w:cstheme="majorBidi"/>
          <w:sz w:val="20"/>
          <w:szCs w:val="20"/>
        </w:rPr>
      </w:pPr>
    </w:p>
    <w:p w14:paraId="7745C26B" w14:textId="77777777" w:rsidR="00597420" w:rsidRDefault="00597420" w:rsidP="00F25331">
      <w:pPr>
        <w:rPr>
          <w:rStyle w:val="Strong"/>
          <w:rFonts w:asciiTheme="majorBidi" w:hAnsiTheme="majorBidi" w:cstheme="majorBidi"/>
          <w:sz w:val="20"/>
          <w:szCs w:val="20"/>
        </w:rPr>
      </w:pPr>
    </w:p>
    <w:p w14:paraId="253F60B0" w14:textId="77777777" w:rsidR="00597420" w:rsidRDefault="00597420" w:rsidP="00F25331">
      <w:pPr>
        <w:rPr>
          <w:rStyle w:val="Strong"/>
          <w:rFonts w:asciiTheme="majorBidi" w:hAnsiTheme="majorBidi" w:cstheme="majorBidi"/>
          <w:sz w:val="20"/>
          <w:szCs w:val="20"/>
        </w:rPr>
      </w:pPr>
    </w:p>
    <w:p w14:paraId="733ADC32" w14:textId="77777777" w:rsidR="00597420" w:rsidRDefault="00597420" w:rsidP="00F25331">
      <w:pPr>
        <w:rPr>
          <w:rStyle w:val="Strong"/>
          <w:rFonts w:asciiTheme="majorBidi" w:hAnsiTheme="majorBidi" w:cstheme="majorBidi"/>
          <w:sz w:val="20"/>
          <w:szCs w:val="20"/>
        </w:rPr>
      </w:pPr>
    </w:p>
    <w:p w14:paraId="0C035F6C" w14:textId="77777777" w:rsidR="00597420" w:rsidRDefault="00597420" w:rsidP="00F25331">
      <w:pPr>
        <w:rPr>
          <w:rStyle w:val="Strong"/>
          <w:rFonts w:asciiTheme="majorBidi" w:hAnsiTheme="majorBidi" w:cstheme="majorBidi"/>
          <w:sz w:val="20"/>
          <w:szCs w:val="20"/>
        </w:rPr>
      </w:pPr>
    </w:p>
    <w:p w14:paraId="0A906D94" w14:textId="77777777" w:rsidR="00597420" w:rsidRPr="00597420" w:rsidRDefault="00597420" w:rsidP="00F25331">
      <w:pPr>
        <w:rPr>
          <w:rStyle w:val="Strong"/>
          <w:rFonts w:asciiTheme="majorBidi" w:hAnsiTheme="majorBidi" w:cstheme="majorBidi"/>
          <w:sz w:val="20"/>
          <w:szCs w:val="20"/>
        </w:rPr>
      </w:pPr>
    </w:p>
    <w:p w14:paraId="410BB606" w14:textId="7F77CD49" w:rsidR="00A64F57" w:rsidRPr="00597420" w:rsidRDefault="00A64F57" w:rsidP="00F25331">
      <w:pPr>
        <w:rPr>
          <w:rStyle w:val="Strong"/>
          <w:rFonts w:asciiTheme="majorBidi" w:hAnsiTheme="majorBidi" w:cstheme="majorBidi"/>
          <w:sz w:val="20"/>
          <w:szCs w:val="20"/>
        </w:rPr>
      </w:pPr>
      <w:r w:rsidRPr="00597420">
        <w:rPr>
          <w:rStyle w:val="Strong"/>
          <w:rFonts w:asciiTheme="majorBidi" w:hAnsiTheme="majorBidi" w:cstheme="majorBidi"/>
          <w:sz w:val="20"/>
          <w:szCs w:val="20"/>
        </w:rPr>
        <w:lastRenderedPageBreak/>
        <w:t>Fig S</w:t>
      </w:r>
      <w:r w:rsidR="00C71D40" w:rsidRPr="00597420">
        <w:rPr>
          <w:rStyle w:val="Strong"/>
          <w:rFonts w:asciiTheme="majorBidi" w:hAnsiTheme="majorBidi" w:cstheme="majorBidi"/>
          <w:sz w:val="20"/>
          <w:szCs w:val="20"/>
        </w:rPr>
        <w:t>2</w:t>
      </w:r>
      <w:r w:rsidRPr="00597420">
        <w:rPr>
          <w:rStyle w:val="Strong"/>
          <w:rFonts w:asciiTheme="majorBidi" w:hAnsiTheme="majorBidi" w:cstheme="majorBidi"/>
          <w:sz w:val="20"/>
          <w:szCs w:val="20"/>
        </w:rPr>
        <w:t>.</w:t>
      </w:r>
    </w:p>
    <w:p w14:paraId="6C8A9AD9" w14:textId="5D182F3D" w:rsidR="00A64F57" w:rsidRPr="00597420" w:rsidRDefault="00A64F57" w:rsidP="00F25331">
      <w:pPr>
        <w:rPr>
          <w:rFonts w:asciiTheme="majorBidi" w:hAnsiTheme="majorBidi" w:cstheme="majorBidi"/>
          <w:sz w:val="20"/>
          <w:szCs w:val="20"/>
        </w:rPr>
      </w:pPr>
      <w:r w:rsidRPr="00597420">
        <w:rPr>
          <w:rFonts w:asciiTheme="majorBidi" w:hAnsiTheme="majorBidi" w:cstheme="majorBidi"/>
          <w:noProof/>
          <w:sz w:val="20"/>
          <w:szCs w:val="20"/>
        </w:rPr>
        <w:drawing>
          <wp:inline distT="0" distB="0" distL="0" distR="0" wp14:anchorId="6E9C4194" wp14:editId="61382701">
            <wp:extent cx="6096635" cy="2464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28116"/>
                    <a:stretch/>
                  </pic:blipFill>
                  <pic:spPr bwMode="auto">
                    <a:xfrm>
                      <a:off x="0" y="0"/>
                      <a:ext cx="6096635" cy="2464905"/>
                    </a:xfrm>
                    <a:prstGeom prst="rect">
                      <a:avLst/>
                    </a:prstGeom>
                    <a:noFill/>
                    <a:ln>
                      <a:noFill/>
                    </a:ln>
                    <a:extLst>
                      <a:ext uri="{53640926-AAD7-44D8-BBD7-CCE9431645EC}">
                        <a14:shadowObscured xmlns:a14="http://schemas.microsoft.com/office/drawing/2010/main"/>
                      </a:ext>
                    </a:extLst>
                  </pic:spPr>
                </pic:pic>
              </a:graphicData>
            </a:graphic>
          </wp:inline>
        </w:drawing>
      </w:r>
    </w:p>
    <w:p w14:paraId="15A8331A" w14:textId="02215578" w:rsidR="00A64F57" w:rsidRPr="00597420" w:rsidRDefault="00A64F57" w:rsidP="00A64F57">
      <w:pPr>
        <w:rPr>
          <w:rStyle w:val="Strong"/>
          <w:rFonts w:asciiTheme="majorBidi" w:hAnsiTheme="majorBidi" w:cstheme="majorBidi"/>
          <w:sz w:val="20"/>
          <w:szCs w:val="20"/>
        </w:rPr>
      </w:pPr>
      <w:r w:rsidRPr="00597420">
        <w:rPr>
          <w:rStyle w:val="Strong"/>
          <w:rFonts w:asciiTheme="majorBidi" w:hAnsiTheme="majorBidi" w:cstheme="majorBidi"/>
          <w:sz w:val="20"/>
          <w:szCs w:val="20"/>
        </w:rPr>
        <w:t>Supplementa</w:t>
      </w:r>
      <w:r w:rsidR="00C71D40" w:rsidRPr="00597420">
        <w:rPr>
          <w:rStyle w:val="Strong"/>
          <w:rFonts w:asciiTheme="majorBidi" w:hAnsiTheme="majorBidi" w:cstheme="majorBidi"/>
          <w:sz w:val="20"/>
          <w:szCs w:val="20"/>
        </w:rPr>
        <w:t>l</w:t>
      </w:r>
      <w:r w:rsidRPr="00597420">
        <w:rPr>
          <w:rStyle w:val="Strong"/>
          <w:rFonts w:asciiTheme="majorBidi" w:hAnsiTheme="majorBidi" w:cstheme="majorBidi"/>
          <w:sz w:val="20"/>
          <w:szCs w:val="20"/>
        </w:rPr>
        <w:t xml:space="preserve"> Fig S</w:t>
      </w:r>
      <w:r w:rsidR="00C71D40" w:rsidRPr="00597420">
        <w:rPr>
          <w:rStyle w:val="Strong"/>
          <w:rFonts w:asciiTheme="majorBidi" w:hAnsiTheme="majorBidi" w:cstheme="majorBidi"/>
          <w:sz w:val="20"/>
          <w:szCs w:val="20"/>
        </w:rPr>
        <w:t>2</w:t>
      </w:r>
      <w:r w:rsidRPr="00597420">
        <w:rPr>
          <w:rStyle w:val="Strong"/>
          <w:rFonts w:asciiTheme="majorBidi" w:hAnsiTheme="majorBidi" w:cstheme="majorBidi"/>
          <w:sz w:val="20"/>
          <w:szCs w:val="20"/>
        </w:rPr>
        <w:t xml:space="preserve">. Active and inactive lever responding during methamphetamine and food self-administration after MG pretreatment. </w:t>
      </w:r>
    </w:p>
    <w:p w14:paraId="4D1E4EAA" w14:textId="3522DDEA" w:rsidR="00A64F57" w:rsidRPr="00597420" w:rsidRDefault="00A64F57" w:rsidP="00A64F57">
      <w:pPr>
        <w:rPr>
          <w:rFonts w:asciiTheme="majorBidi" w:hAnsiTheme="majorBidi" w:cstheme="majorBidi"/>
          <w:sz w:val="20"/>
          <w:szCs w:val="20"/>
        </w:rPr>
      </w:pPr>
      <w:r w:rsidRPr="00597420">
        <w:rPr>
          <w:rFonts w:asciiTheme="majorBidi" w:hAnsiTheme="majorBidi" w:cstheme="majorBidi"/>
          <w:sz w:val="20"/>
          <w:szCs w:val="20"/>
        </w:rPr>
        <w:t>(A) Active lever presses were significantly higher than inactive lever presses across all doses. MG (10–56 mg/kg, i.p.) reduced active lever presses in a dose-dependent manner, with no significant changes in inactive lever responding. (B) Active lever presses remained significantly higher than inactive lever presses across all doses during food-maintained sessions, indicating that MG did not alter non–drug-related operant behavior.</w:t>
      </w:r>
    </w:p>
    <w:p w14:paraId="4CE4469F" w14:textId="50D20E21" w:rsidR="00A64F57" w:rsidRPr="00597420" w:rsidRDefault="00A64F57" w:rsidP="00A64F57">
      <w:pPr>
        <w:rPr>
          <w:rFonts w:asciiTheme="majorBidi" w:hAnsiTheme="majorBidi" w:cstheme="majorBidi"/>
          <w:sz w:val="20"/>
          <w:szCs w:val="20"/>
        </w:rPr>
      </w:pPr>
      <w:r w:rsidRPr="00597420">
        <w:rPr>
          <w:rFonts w:asciiTheme="majorBidi" w:hAnsiTheme="majorBidi" w:cstheme="majorBidi"/>
          <w:sz w:val="20"/>
          <w:szCs w:val="20"/>
        </w:rPr>
        <w:t>Data are expressed as mean ± SEM. *p &lt; .05, **p &lt; .01, ***p &lt; .001, ****p &lt; .0001 vs. vehicle. (n = 4/sex)</w:t>
      </w:r>
    </w:p>
    <w:p w14:paraId="4AF05BCA" w14:textId="77777777" w:rsidR="00E94165" w:rsidRPr="00597420" w:rsidRDefault="00E94165" w:rsidP="00A64F57">
      <w:pPr>
        <w:rPr>
          <w:rFonts w:asciiTheme="majorBidi" w:hAnsiTheme="majorBidi" w:cstheme="majorBidi"/>
          <w:sz w:val="20"/>
          <w:szCs w:val="20"/>
        </w:rPr>
      </w:pPr>
    </w:p>
    <w:p w14:paraId="12426FB9" w14:textId="19C4C755" w:rsidR="00E94165" w:rsidRPr="00597420" w:rsidRDefault="00E94165">
      <w:pPr>
        <w:rPr>
          <w:rFonts w:asciiTheme="majorBidi" w:hAnsiTheme="majorBidi" w:cstheme="majorBidi"/>
          <w:sz w:val="20"/>
          <w:szCs w:val="20"/>
          <w:highlight w:val="yellow"/>
        </w:rPr>
      </w:pPr>
      <w:r w:rsidRPr="00597420">
        <w:rPr>
          <w:rFonts w:asciiTheme="majorBidi" w:hAnsiTheme="majorBidi" w:cstheme="majorBidi"/>
          <w:sz w:val="20"/>
          <w:szCs w:val="20"/>
          <w:highlight w:val="yellow"/>
        </w:rPr>
        <w:br w:type="page"/>
      </w:r>
    </w:p>
    <w:p w14:paraId="34E4E96C" w14:textId="47CADB85" w:rsidR="00E94165" w:rsidRPr="00597420" w:rsidRDefault="00E94165" w:rsidP="00E94165">
      <w:pPr>
        <w:rPr>
          <w:rFonts w:asciiTheme="majorBidi" w:hAnsiTheme="majorBidi" w:cstheme="majorBidi"/>
          <w:b/>
          <w:bCs/>
          <w:sz w:val="20"/>
          <w:szCs w:val="20"/>
        </w:rPr>
      </w:pPr>
      <w:r w:rsidRPr="00597420">
        <w:rPr>
          <w:rFonts w:asciiTheme="majorBidi" w:hAnsiTheme="majorBidi" w:cstheme="majorBidi"/>
          <w:b/>
          <w:bCs/>
          <w:sz w:val="20"/>
          <w:szCs w:val="20"/>
        </w:rPr>
        <w:lastRenderedPageBreak/>
        <w:t>Fig S</w:t>
      </w:r>
      <w:r w:rsidR="00897152" w:rsidRPr="00597420">
        <w:rPr>
          <w:rFonts w:asciiTheme="majorBidi" w:hAnsiTheme="majorBidi" w:cstheme="majorBidi"/>
          <w:b/>
          <w:bCs/>
          <w:sz w:val="20"/>
          <w:szCs w:val="20"/>
        </w:rPr>
        <w:t>3</w:t>
      </w:r>
      <w:r w:rsidRPr="00597420">
        <w:rPr>
          <w:rFonts w:asciiTheme="majorBidi" w:hAnsiTheme="majorBidi" w:cstheme="majorBidi"/>
          <w:b/>
          <w:bCs/>
          <w:sz w:val="20"/>
          <w:szCs w:val="20"/>
        </w:rPr>
        <w:t>.</w:t>
      </w:r>
    </w:p>
    <w:p w14:paraId="4CDBA322" w14:textId="77777777" w:rsidR="00E94165" w:rsidRPr="00597420" w:rsidRDefault="00E94165" w:rsidP="00E94165">
      <w:pPr>
        <w:rPr>
          <w:rFonts w:asciiTheme="majorBidi" w:hAnsiTheme="majorBidi" w:cstheme="majorBidi"/>
          <w:sz w:val="20"/>
          <w:szCs w:val="20"/>
        </w:rPr>
      </w:pPr>
      <w:r w:rsidRPr="00597420">
        <w:rPr>
          <w:rFonts w:asciiTheme="majorBidi" w:hAnsiTheme="majorBidi" w:cstheme="majorBidi"/>
          <w:noProof/>
          <w:sz w:val="20"/>
          <w:szCs w:val="20"/>
        </w:rPr>
        <w:drawing>
          <wp:inline distT="0" distB="0" distL="0" distR="0" wp14:anchorId="7299BC5D" wp14:editId="0EDC3D57">
            <wp:extent cx="5943600" cy="3015615"/>
            <wp:effectExtent l="0" t="0" r="0" b="0"/>
            <wp:docPr id="97251589" name="Picture 2" descr="A graph showing the number of days and 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1589" name="Picture 2" descr="A graph showing the number of days and d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15615"/>
                    </a:xfrm>
                    <a:prstGeom prst="rect">
                      <a:avLst/>
                    </a:prstGeom>
                    <a:noFill/>
                    <a:ln>
                      <a:noFill/>
                    </a:ln>
                  </pic:spPr>
                </pic:pic>
              </a:graphicData>
            </a:graphic>
          </wp:inline>
        </w:drawing>
      </w:r>
    </w:p>
    <w:p w14:paraId="210E3375" w14:textId="77777777" w:rsidR="00E94165" w:rsidRPr="00597420" w:rsidRDefault="00E94165" w:rsidP="00E94165">
      <w:pPr>
        <w:rPr>
          <w:rFonts w:asciiTheme="majorBidi" w:hAnsiTheme="majorBidi" w:cstheme="majorBidi"/>
          <w:sz w:val="20"/>
          <w:szCs w:val="20"/>
        </w:rPr>
      </w:pPr>
    </w:p>
    <w:p w14:paraId="38D8DCC1" w14:textId="03012DE1" w:rsidR="00E94165" w:rsidRPr="00597420" w:rsidRDefault="00E94165" w:rsidP="00E94165">
      <w:pPr>
        <w:rPr>
          <w:rFonts w:asciiTheme="majorBidi" w:hAnsiTheme="majorBidi" w:cstheme="majorBidi"/>
          <w:sz w:val="20"/>
          <w:szCs w:val="20"/>
        </w:rPr>
      </w:pPr>
      <w:r w:rsidRPr="00597420">
        <w:rPr>
          <w:rFonts w:asciiTheme="majorBidi" w:hAnsiTheme="majorBidi" w:cstheme="majorBidi"/>
          <w:b/>
          <w:bCs/>
          <w:sz w:val="20"/>
          <w:szCs w:val="20"/>
        </w:rPr>
        <w:t>Supplementa</w:t>
      </w:r>
      <w:r w:rsidR="00897152" w:rsidRPr="00597420">
        <w:rPr>
          <w:rFonts w:asciiTheme="majorBidi" w:hAnsiTheme="majorBidi" w:cstheme="majorBidi"/>
          <w:b/>
          <w:bCs/>
          <w:sz w:val="20"/>
          <w:szCs w:val="20"/>
        </w:rPr>
        <w:t>l</w:t>
      </w:r>
      <w:r w:rsidRPr="00597420">
        <w:rPr>
          <w:rFonts w:asciiTheme="majorBidi" w:hAnsiTheme="majorBidi" w:cstheme="majorBidi"/>
          <w:b/>
          <w:bCs/>
          <w:sz w:val="20"/>
          <w:szCs w:val="20"/>
        </w:rPr>
        <w:t xml:space="preserve"> Fig</w:t>
      </w:r>
      <w:r w:rsidR="00597420">
        <w:rPr>
          <w:rFonts w:asciiTheme="majorBidi" w:hAnsiTheme="majorBidi" w:cstheme="majorBidi"/>
          <w:b/>
          <w:bCs/>
          <w:sz w:val="20"/>
          <w:szCs w:val="20"/>
        </w:rPr>
        <w:t xml:space="preserve"> </w:t>
      </w:r>
      <w:r w:rsidRPr="00597420">
        <w:rPr>
          <w:rFonts w:asciiTheme="majorBidi" w:hAnsiTheme="majorBidi" w:cstheme="majorBidi"/>
          <w:b/>
          <w:bCs/>
          <w:sz w:val="20"/>
          <w:szCs w:val="20"/>
        </w:rPr>
        <w:t>S</w:t>
      </w:r>
      <w:r w:rsidR="00897152" w:rsidRPr="00597420">
        <w:rPr>
          <w:rFonts w:asciiTheme="majorBidi" w:hAnsiTheme="majorBidi" w:cstheme="majorBidi"/>
          <w:b/>
          <w:bCs/>
          <w:sz w:val="20"/>
          <w:szCs w:val="20"/>
        </w:rPr>
        <w:t>3</w:t>
      </w:r>
      <w:r w:rsidRPr="00597420">
        <w:rPr>
          <w:rFonts w:asciiTheme="majorBidi" w:hAnsiTheme="majorBidi" w:cstheme="majorBidi"/>
          <w:b/>
          <w:bCs/>
          <w:sz w:val="20"/>
          <w:szCs w:val="20"/>
        </w:rPr>
        <w:t>. Progressive ratio (PR) responding for methamphetamine.</w:t>
      </w:r>
      <w:r w:rsidRPr="00597420">
        <w:rPr>
          <w:rFonts w:asciiTheme="majorBidi" w:hAnsiTheme="majorBidi" w:cstheme="majorBidi"/>
          <w:sz w:val="20"/>
          <w:szCs w:val="20"/>
        </w:rPr>
        <w:br/>
        <w:t>Mean (± SEM) active and inactive lever presses across PR sessions (0.032 mg/kg/infusion; n = 8). Two-way repeated-measures ANOVA revealed significant main effects of Lever [F(1, 14) = 14.97, p = 0.0017] and Session [F(1.695, 23.73) = 11.23, p = 0.0006], as well as a significant Lever × Session interaction [F(14, 196) = 10.79, p &lt; 0.0001]. Post-hoc comparisons indicated that active-lever responding became significantly greater than inactive-lever responding beginning on</w:t>
      </w:r>
      <w:r w:rsidRPr="00597420">
        <w:rPr>
          <w:rFonts w:asciiTheme="majorBidi" w:hAnsiTheme="majorBidi" w:cstheme="majorBidi"/>
          <w:b/>
          <w:bCs/>
          <w:sz w:val="20"/>
          <w:szCs w:val="20"/>
        </w:rPr>
        <w:t xml:space="preserve"> </w:t>
      </w:r>
      <w:r w:rsidRPr="00597420">
        <w:rPr>
          <w:rFonts w:asciiTheme="majorBidi" w:hAnsiTheme="majorBidi" w:cstheme="majorBidi"/>
          <w:sz w:val="20"/>
          <w:szCs w:val="20"/>
        </w:rPr>
        <w:t>Day 10 (p = 0.035</w:t>
      </w:r>
      <w:r w:rsidRPr="00597420">
        <w:rPr>
          <w:rFonts w:asciiTheme="majorBidi" w:hAnsiTheme="majorBidi" w:cstheme="majorBidi"/>
          <w:b/>
          <w:bCs/>
          <w:sz w:val="20"/>
          <w:szCs w:val="20"/>
        </w:rPr>
        <w:t>)</w:t>
      </w:r>
      <w:r w:rsidRPr="00597420">
        <w:rPr>
          <w:rFonts w:asciiTheme="majorBidi" w:hAnsiTheme="majorBidi" w:cstheme="majorBidi"/>
          <w:sz w:val="20"/>
          <w:szCs w:val="20"/>
        </w:rPr>
        <w:t xml:space="preserve"> and remained elevated through Day 15 (p = 0.007). These results confirm stable motivation to obtain methamphetamine under the progressive-ratio schedule prior to MG testing.</w:t>
      </w:r>
    </w:p>
    <w:p w14:paraId="2D1FB80F" w14:textId="77777777" w:rsidR="00E94165" w:rsidRPr="00597420" w:rsidRDefault="00E94165" w:rsidP="00A64F57">
      <w:pPr>
        <w:rPr>
          <w:rFonts w:asciiTheme="majorBidi" w:hAnsiTheme="majorBidi" w:cstheme="majorBidi"/>
          <w:sz w:val="20"/>
          <w:szCs w:val="20"/>
        </w:rPr>
      </w:pPr>
    </w:p>
    <w:sectPr w:rsidR="00E94165" w:rsidRPr="005974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F4A1" w14:textId="77777777" w:rsidR="001F7921" w:rsidRDefault="001F7921" w:rsidP="00C70C56">
      <w:pPr>
        <w:spacing w:after="0" w:line="240" w:lineRule="auto"/>
      </w:pPr>
      <w:r>
        <w:separator/>
      </w:r>
    </w:p>
  </w:endnote>
  <w:endnote w:type="continuationSeparator" w:id="0">
    <w:p w14:paraId="12D9EF69" w14:textId="77777777" w:rsidR="001F7921" w:rsidRDefault="001F7921" w:rsidP="00C7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3336" w14:textId="77777777" w:rsidR="001F7921" w:rsidRDefault="001F7921" w:rsidP="00C70C56">
      <w:pPr>
        <w:spacing w:after="0" w:line="240" w:lineRule="auto"/>
      </w:pPr>
      <w:r>
        <w:separator/>
      </w:r>
    </w:p>
  </w:footnote>
  <w:footnote w:type="continuationSeparator" w:id="0">
    <w:p w14:paraId="3FD720BC" w14:textId="77777777" w:rsidR="001F7921" w:rsidRDefault="001F7921" w:rsidP="00C70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41"/>
    <w:rsid w:val="00055F7F"/>
    <w:rsid w:val="000D40A2"/>
    <w:rsid w:val="000D4729"/>
    <w:rsid w:val="000E72BB"/>
    <w:rsid w:val="001D08AA"/>
    <w:rsid w:val="001F7921"/>
    <w:rsid w:val="002D1034"/>
    <w:rsid w:val="00354660"/>
    <w:rsid w:val="00360968"/>
    <w:rsid w:val="00373AEA"/>
    <w:rsid w:val="00457989"/>
    <w:rsid w:val="004B0D2D"/>
    <w:rsid w:val="00526E96"/>
    <w:rsid w:val="00597420"/>
    <w:rsid w:val="006330F8"/>
    <w:rsid w:val="00656589"/>
    <w:rsid w:val="006661C5"/>
    <w:rsid w:val="006C49ED"/>
    <w:rsid w:val="007159A2"/>
    <w:rsid w:val="00724212"/>
    <w:rsid w:val="00731745"/>
    <w:rsid w:val="0073210D"/>
    <w:rsid w:val="00733332"/>
    <w:rsid w:val="00745941"/>
    <w:rsid w:val="0078627F"/>
    <w:rsid w:val="007944E5"/>
    <w:rsid w:val="007E51D2"/>
    <w:rsid w:val="00856C56"/>
    <w:rsid w:val="00897152"/>
    <w:rsid w:val="008D5D28"/>
    <w:rsid w:val="009828C8"/>
    <w:rsid w:val="009C597E"/>
    <w:rsid w:val="00A46BA3"/>
    <w:rsid w:val="00A512A2"/>
    <w:rsid w:val="00A64F57"/>
    <w:rsid w:val="00AA7A8E"/>
    <w:rsid w:val="00BA3003"/>
    <w:rsid w:val="00BA3430"/>
    <w:rsid w:val="00C17ED6"/>
    <w:rsid w:val="00C226CD"/>
    <w:rsid w:val="00C70C56"/>
    <w:rsid w:val="00C71D40"/>
    <w:rsid w:val="00C960A2"/>
    <w:rsid w:val="00CA73FE"/>
    <w:rsid w:val="00CD708C"/>
    <w:rsid w:val="00DA4D54"/>
    <w:rsid w:val="00DD69CB"/>
    <w:rsid w:val="00DF1C41"/>
    <w:rsid w:val="00E341B8"/>
    <w:rsid w:val="00E92105"/>
    <w:rsid w:val="00E94165"/>
    <w:rsid w:val="00F11341"/>
    <w:rsid w:val="00F25331"/>
    <w:rsid w:val="00F7244C"/>
    <w:rsid w:val="00F83C64"/>
    <w:rsid w:val="00FA5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4C9A"/>
  <w15:chartTrackingRefBased/>
  <w15:docId w15:val="{0D72E5ED-7F7B-484C-BBA2-51198580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C41"/>
    <w:rPr>
      <w:rFonts w:eastAsiaTheme="majorEastAsia" w:cstheme="majorBidi"/>
      <w:color w:val="272727" w:themeColor="text1" w:themeTint="D8"/>
    </w:rPr>
  </w:style>
  <w:style w:type="paragraph" w:styleId="Title">
    <w:name w:val="Title"/>
    <w:basedOn w:val="Normal"/>
    <w:next w:val="Normal"/>
    <w:link w:val="TitleChar"/>
    <w:uiPriority w:val="10"/>
    <w:qFormat/>
    <w:rsid w:val="00DF1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C41"/>
    <w:pPr>
      <w:spacing w:before="160"/>
      <w:jc w:val="center"/>
    </w:pPr>
    <w:rPr>
      <w:i/>
      <w:iCs/>
      <w:color w:val="404040" w:themeColor="text1" w:themeTint="BF"/>
    </w:rPr>
  </w:style>
  <w:style w:type="character" w:customStyle="1" w:styleId="QuoteChar">
    <w:name w:val="Quote Char"/>
    <w:basedOn w:val="DefaultParagraphFont"/>
    <w:link w:val="Quote"/>
    <w:uiPriority w:val="29"/>
    <w:rsid w:val="00DF1C41"/>
    <w:rPr>
      <w:i/>
      <w:iCs/>
      <w:color w:val="404040" w:themeColor="text1" w:themeTint="BF"/>
    </w:rPr>
  </w:style>
  <w:style w:type="paragraph" w:styleId="ListParagraph">
    <w:name w:val="List Paragraph"/>
    <w:basedOn w:val="Normal"/>
    <w:uiPriority w:val="34"/>
    <w:qFormat/>
    <w:rsid w:val="00DF1C41"/>
    <w:pPr>
      <w:ind w:left="720"/>
      <w:contextualSpacing/>
    </w:pPr>
  </w:style>
  <w:style w:type="character" w:styleId="IntenseEmphasis">
    <w:name w:val="Intense Emphasis"/>
    <w:basedOn w:val="DefaultParagraphFont"/>
    <w:uiPriority w:val="21"/>
    <w:qFormat/>
    <w:rsid w:val="00DF1C41"/>
    <w:rPr>
      <w:i/>
      <w:iCs/>
      <w:color w:val="0F4761" w:themeColor="accent1" w:themeShade="BF"/>
    </w:rPr>
  </w:style>
  <w:style w:type="paragraph" w:styleId="IntenseQuote">
    <w:name w:val="Intense Quote"/>
    <w:basedOn w:val="Normal"/>
    <w:next w:val="Normal"/>
    <w:link w:val="IntenseQuoteChar"/>
    <w:uiPriority w:val="30"/>
    <w:qFormat/>
    <w:rsid w:val="00DF1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C41"/>
    <w:rPr>
      <w:i/>
      <w:iCs/>
      <w:color w:val="0F4761" w:themeColor="accent1" w:themeShade="BF"/>
    </w:rPr>
  </w:style>
  <w:style w:type="character" w:styleId="IntenseReference">
    <w:name w:val="Intense Reference"/>
    <w:basedOn w:val="DefaultParagraphFont"/>
    <w:uiPriority w:val="32"/>
    <w:qFormat/>
    <w:rsid w:val="00DF1C41"/>
    <w:rPr>
      <w:b/>
      <w:bCs/>
      <w:smallCaps/>
      <w:color w:val="0F4761" w:themeColor="accent1" w:themeShade="BF"/>
      <w:spacing w:val="5"/>
    </w:rPr>
  </w:style>
  <w:style w:type="paragraph" w:styleId="Header">
    <w:name w:val="header"/>
    <w:basedOn w:val="Normal"/>
    <w:link w:val="HeaderChar"/>
    <w:uiPriority w:val="99"/>
    <w:unhideWhenUsed/>
    <w:rsid w:val="00C7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C56"/>
  </w:style>
  <w:style w:type="paragraph" w:styleId="Footer">
    <w:name w:val="footer"/>
    <w:basedOn w:val="Normal"/>
    <w:link w:val="FooterChar"/>
    <w:uiPriority w:val="99"/>
    <w:unhideWhenUsed/>
    <w:rsid w:val="00C7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C56"/>
  </w:style>
  <w:style w:type="character" w:styleId="Strong">
    <w:name w:val="Strong"/>
    <w:basedOn w:val="DefaultParagraphFont"/>
    <w:uiPriority w:val="22"/>
    <w:qFormat/>
    <w:rsid w:val="00F25331"/>
    <w:rPr>
      <w:b/>
      <w:bCs/>
    </w:rPr>
  </w:style>
  <w:style w:type="paragraph" w:styleId="Revision">
    <w:name w:val="Revision"/>
    <w:hidden/>
    <w:uiPriority w:val="99"/>
    <w:semiHidden/>
    <w:rsid w:val="007E5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3909</Words>
  <Characters>22673</Characters>
  <Application>Microsoft Office Word</Application>
  <DocSecurity>0</DocSecurity>
  <Lines>359</Lines>
  <Paragraphs>86</Paragraphs>
  <ScaleCrop>false</ScaleCrop>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Wilkerson</dc:creator>
  <cp:keywords/>
  <dc:description/>
  <cp:lastModifiedBy>Jenny Wilkerson</cp:lastModifiedBy>
  <cp:revision>24</cp:revision>
  <dcterms:created xsi:type="dcterms:W3CDTF">2025-10-28T02:27:00Z</dcterms:created>
  <dcterms:modified xsi:type="dcterms:W3CDTF">2026-01-25T02:44:00Z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id="CfXRW4HQ"/&gt;&lt;style id="http://www.zotero.org/styles/psychopharmacology" hasBibliography="1" bibliographyStyleHasBeenSet="0"/&gt;&lt;prefs&gt;&lt;pref name="fieldType" value="Field"/&gt;&lt;/prefs&gt;&lt;/data&gt;</vt:lpwstr>
  </property>
</Properties>
</file>