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11A3F" w14:textId="77777777" w:rsidR="00040F6A" w:rsidRPr="003220D4" w:rsidRDefault="00040F6A" w:rsidP="00040F6A">
      <w:pPr>
        <w:spacing w:beforeLines="50" w:before="156" w:afterLines="50" w:after="156" w:line="480" w:lineRule="auto"/>
        <w:rPr>
          <w:sz w:val="36"/>
          <w:szCs w:val="36"/>
          <w:lang w:eastAsia="zh-CN"/>
        </w:rPr>
      </w:pPr>
      <w:r w:rsidRPr="003220D4">
        <w:rPr>
          <w:sz w:val="36"/>
          <w:szCs w:val="36"/>
        </w:rPr>
        <w:t>Supplementary Materials for</w:t>
      </w:r>
    </w:p>
    <w:p w14:paraId="4798DE25" w14:textId="77777777" w:rsidR="00040F6A" w:rsidRPr="003220D4" w:rsidRDefault="00040F6A" w:rsidP="00040F6A">
      <w:pPr>
        <w:adjustRightInd w:val="0"/>
        <w:snapToGrid w:val="0"/>
        <w:spacing w:beforeLines="50" w:before="156" w:afterLines="50" w:after="156" w:line="480" w:lineRule="auto"/>
        <w:rPr>
          <w:b/>
          <w:sz w:val="28"/>
          <w:szCs w:val="28"/>
          <w:lang w:eastAsia="zh-CN"/>
        </w:rPr>
      </w:pPr>
      <w:bookmarkStart w:id="0" w:name="_Hlk216366084"/>
      <w:r w:rsidRPr="003220D4">
        <w:rPr>
          <w:b/>
          <w:sz w:val="28"/>
          <w:szCs w:val="28"/>
        </w:rPr>
        <w:t xml:space="preserve">Disrupting the physical interaction between serotonin transporter and soluble guanylate cyclase produces a fast–acting antidepressant activity </w:t>
      </w:r>
      <w:bookmarkEnd w:id="0"/>
    </w:p>
    <w:p w14:paraId="4E8F0390" w14:textId="77777777" w:rsidR="00040F6A" w:rsidRPr="003220D4" w:rsidRDefault="00040F6A" w:rsidP="00040F6A">
      <w:pPr>
        <w:spacing w:beforeLines="50" w:before="156" w:afterLines="50" w:after="156" w:line="480" w:lineRule="auto"/>
        <w:rPr>
          <w:i/>
          <w:iCs/>
          <w:szCs w:val="24"/>
          <w:lang w:eastAsia="zh-CN"/>
        </w:rPr>
      </w:pPr>
      <w:r w:rsidRPr="003220D4">
        <w:rPr>
          <w:szCs w:val="24"/>
        </w:rPr>
        <w:t xml:space="preserve">Xingyu Huang </w:t>
      </w:r>
      <w:r w:rsidRPr="003220D4">
        <w:rPr>
          <w:i/>
          <w:szCs w:val="24"/>
          <w:lang w:eastAsia="zh-CN"/>
        </w:rPr>
        <w:t>et</w:t>
      </w:r>
      <w:r w:rsidRPr="003220D4">
        <w:rPr>
          <w:i/>
          <w:szCs w:val="24"/>
        </w:rPr>
        <w:t xml:space="preserve"> al</w:t>
      </w:r>
      <w:r w:rsidRPr="003220D4">
        <w:rPr>
          <w:szCs w:val="24"/>
        </w:rPr>
        <w:t>.</w:t>
      </w:r>
    </w:p>
    <w:p w14:paraId="5F888826" w14:textId="77777777" w:rsidR="00040F6A" w:rsidRPr="003220D4" w:rsidRDefault="00040F6A" w:rsidP="00040F6A">
      <w:pPr>
        <w:spacing w:beforeLines="50" w:before="156" w:afterLines="50" w:after="156" w:line="480" w:lineRule="auto"/>
        <w:rPr>
          <w:sz w:val="20"/>
        </w:rPr>
      </w:pPr>
      <w:r w:rsidRPr="003220D4">
        <w:rPr>
          <w:sz w:val="20"/>
        </w:rPr>
        <w:t xml:space="preserve">*Corresponding author. Email: </w:t>
      </w:r>
      <w:hyperlink r:id="rId6" w:history="1">
        <w:r w:rsidRPr="003220D4">
          <w:rPr>
            <w:rStyle w:val="af2"/>
            <w:sz w:val="20"/>
          </w:rPr>
          <w:t>yuanwei.zhang@gzhu.edu.cn</w:t>
        </w:r>
      </w:hyperlink>
    </w:p>
    <w:p w14:paraId="13DBF5AB" w14:textId="77777777" w:rsidR="00040F6A" w:rsidRDefault="00040F6A" w:rsidP="00040F6A">
      <w:pPr>
        <w:pStyle w:val="PubInfo"/>
        <w:spacing w:beforeLines="50" w:before="156" w:afterLines="50" w:after="156" w:line="480" w:lineRule="auto"/>
        <w:jc w:val="left"/>
        <w:rPr>
          <w:lang w:eastAsia="zh-CN"/>
        </w:rPr>
      </w:pPr>
    </w:p>
    <w:p w14:paraId="786C6F1E" w14:textId="77777777" w:rsidR="00040F6A" w:rsidRPr="003220D4" w:rsidRDefault="00040F6A" w:rsidP="00040F6A">
      <w:pPr>
        <w:spacing w:beforeLines="50" w:before="156" w:afterLines="50" w:after="156" w:line="480" w:lineRule="auto"/>
        <w:rPr>
          <w:b/>
          <w:lang w:eastAsia="zh-CN"/>
        </w:rPr>
      </w:pPr>
    </w:p>
    <w:p w14:paraId="72EFD578" w14:textId="77777777" w:rsidR="00040F6A" w:rsidRPr="003220D4" w:rsidRDefault="00040F6A" w:rsidP="00040F6A">
      <w:pPr>
        <w:spacing w:beforeLines="50" w:before="156" w:afterLines="50" w:after="156" w:line="480" w:lineRule="auto"/>
        <w:rPr>
          <w:b/>
          <w:lang w:eastAsia="zh-CN"/>
        </w:rPr>
      </w:pPr>
      <w:r w:rsidRPr="003220D4">
        <w:rPr>
          <w:b/>
        </w:rPr>
        <w:t>This PDF file includes:</w:t>
      </w:r>
    </w:p>
    <w:p w14:paraId="75DD5B4B" w14:textId="77777777" w:rsidR="00040F6A" w:rsidRPr="003220D4" w:rsidRDefault="00040F6A" w:rsidP="00040F6A">
      <w:pPr>
        <w:spacing w:beforeLines="50" w:before="156" w:afterLines="50" w:after="156" w:line="480" w:lineRule="auto"/>
        <w:ind w:left="720"/>
      </w:pPr>
      <w:r w:rsidRPr="003220D4">
        <w:t>Supplementary Materials and Methods</w:t>
      </w:r>
    </w:p>
    <w:p w14:paraId="48045271" w14:textId="77777777" w:rsidR="00040F6A" w:rsidRDefault="00040F6A" w:rsidP="00040F6A">
      <w:pPr>
        <w:spacing w:beforeLines="50" w:before="156" w:afterLines="50" w:after="156" w:line="480" w:lineRule="auto"/>
        <w:ind w:left="720"/>
      </w:pPr>
      <w:r w:rsidRPr="003220D4">
        <w:t>Figs. S1 to S8</w:t>
      </w:r>
      <w:bookmarkStart w:id="1" w:name="Tables"/>
      <w:bookmarkStart w:id="2" w:name="MaterialsMethods"/>
      <w:bookmarkEnd w:id="1"/>
      <w:bookmarkEnd w:id="2"/>
    </w:p>
    <w:p w14:paraId="68DB9F2D" w14:textId="77777777" w:rsidR="00040F6A" w:rsidRDefault="00040F6A" w:rsidP="00040F6A">
      <w:pPr>
        <w:spacing w:beforeLines="50" w:before="156" w:afterLines="50" w:after="156" w:line="480" w:lineRule="auto"/>
        <w:rPr>
          <w:lang w:eastAsia="zh-CN"/>
        </w:rPr>
      </w:pPr>
    </w:p>
    <w:p w14:paraId="4C76714A" w14:textId="77777777" w:rsidR="00040F6A" w:rsidRDefault="00040F6A" w:rsidP="00040F6A">
      <w:pPr>
        <w:spacing w:beforeLines="50" w:before="156" w:afterLines="50" w:after="156" w:line="480" w:lineRule="auto"/>
        <w:rPr>
          <w:lang w:eastAsia="zh-CN"/>
        </w:rPr>
      </w:pPr>
    </w:p>
    <w:p w14:paraId="76E50BF5" w14:textId="77777777" w:rsidR="00040F6A" w:rsidRDefault="00040F6A" w:rsidP="00040F6A">
      <w:pPr>
        <w:spacing w:beforeLines="50" w:before="156" w:afterLines="50" w:after="156" w:line="480" w:lineRule="auto"/>
        <w:rPr>
          <w:lang w:eastAsia="zh-CN"/>
        </w:rPr>
      </w:pPr>
    </w:p>
    <w:p w14:paraId="4C089B4E" w14:textId="77777777" w:rsidR="00040F6A" w:rsidRDefault="00040F6A" w:rsidP="00040F6A">
      <w:pPr>
        <w:spacing w:beforeLines="50" w:before="156" w:afterLines="50" w:after="156" w:line="480" w:lineRule="auto"/>
        <w:rPr>
          <w:lang w:eastAsia="zh-CN"/>
        </w:rPr>
      </w:pPr>
    </w:p>
    <w:p w14:paraId="533C78D7" w14:textId="77777777" w:rsidR="00040F6A" w:rsidRDefault="00040F6A" w:rsidP="00040F6A">
      <w:pPr>
        <w:spacing w:beforeLines="50" w:before="156" w:afterLines="50" w:after="156" w:line="480" w:lineRule="auto"/>
        <w:rPr>
          <w:lang w:eastAsia="zh-CN"/>
        </w:rPr>
      </w:pPr>
    </w:p>
    <w:p w14:paraId="013AEF5C" w14:textId="77777777" w:rsidR="00040F6A" w:rsidRDefault="00040F6A" w:rsidP="00040F6A">
      <w:pPr>
        <w:spacing w:beforeLines="50" w:before="156" w:afterLines="50" w:after="156" w:line="480" w:lineRule="auto"/>
        <w:rPr>
          <w:lang w:eastAsia="zh-CN"/>
        </w:rPr>
      </w:pPr>
    </w:p>
    <w:p w14:paraId="4CFD3EBD" w14:textId="77777777" w:rsidR="00040F6A" w:rsidRPr="003220D4" w:rsidRDefault="00040F6A" w:rsidP="00040F6A">
      <w:pPr>
        <w:spacing w:beforeLines="50" w:before="156" w:afterLines="50" w:after="156" w:line="480" w:lineRule="auto"/>
        <w:rPr>
          <w:lang w:eastAsia="zh-CN"/>
        </w:rPr>
      </w:pPr>
    </w:p>
    <w:p w14:paraId="7E6808D3" w14:textId="77777777" w:rsidR="00040F6A" w:rsidRPr="003220D4" w:rsidRDefault="00040F6A" w:rsidP="00040F6A">
      <w:pPr>
        <w:adjustRightInd w:val="0"/>
        <w:snapToGrid w:val="0"/>
        <w:spacing w:beforeLines="50" w:before="156" w:afterLines="50" w:after="156" w:line="480" w:lineRule="auto"/>
        <w:rPr>
          <w:b/>
          <w:sz w:val="28"/>
          <w:szCs w:val="28"/>
        </w:rPr>
      </w:pPr>
      <w:r w:rsidRPr="003220D4">
        <w:rPr>
          <w:b/>
          <w:sz w:val="28"/>
          <w:szCs w:val="28"/>
        </w:rPr>
        <w:lastRenderedPageBreak/>
        <w:t>Supplementary Materials and Methods</w:t>
      </w:r>
    </w:p>
    <w:p w14:paraId="782793E4" w14:textId="77777777" w:rsidR="00040F6A" w:rsidRPr="003220D4" w:rsidRDefault="00040F6A" w:rsidP="00040F6A">
      <w:pPr>
        <w:adjustRightInd w:val="0"/>
        <w:snapToGrid w:val="0"/>
        <w:spacing w:beforeLines="50" w:before="156" w:afterLines="50" w:after="156" w:line="480" w:lineRule="auto"/>
        <w:rPr>
          <w:b/>
          <w:bCs/>
          <w:iCs/>
          <w:szCs w:val="24"/>
        </w:rPr>
      </w:pPr>
      <w:r w:rsidRPr="003220D4">
        <w:rPr>
          <w:b/>
          <w:bCs/>
          <w:iCs/>
          <w:szCs w:val="24"/>
        </w:rPr>
        <w:t>Cell culture and transfection</w:t>
      </w:r>
    </w:p>
    <w:p w14:paraId="21618658" w14:textId="77777777" w:rsidR="00040F6A" w:rsidRPr="003220D4" w:rsidRDefault="00040F6A" w:rsidP="00040F6A">
      <w:pPr>
        <w:adjustRightInd w:val="0"/>
        <w:snapToGrid w:val="0"/>
        <w:spacing w:beforeLines="50" w:before="156" w:afterLines="50" w:after="156" w:line="480" w:lineRule="auto"/>
        <w:rPr>
          <w:szCs w:val="24"/>
        </w:rPr>
      </w:pPr>
      <w:r w:rsidRPr="003220D4">
        <w:rPr>
          <w:szCs w:val="24"/>
        </w:rPr>
        <w:t>RBL–2H3 cells (ATCC) were cultured with minimum essential medium supplemented with 15% fetal bovine serum, 100 units/mL penicillin, and 100 µg/mL streptomycin at 37 ℃ in a humidified 5% CO</w:t>
      </w:r>
      <w:r w:rsidRPr="003220D4">
        <w:rPr>
          <w:szCs w:val="24"/>
          <w:vertAlign w:val="subscript"/>
        </w:rPr>
        <w:t>2</w:t>
      </w:r>
      <w:r w:rsidRPr="003220D4">
        <w:rPr>
          <w:szCs w:val="24"/>
        </w:rPr>
        <w:t xml:space="preserve"> incubator. HeLa cells were cultured in Dulbecco’s modified Eagle’s medium supplemented with 10% fetal bovine serum, 100 units/mL penicillin, and 100 µg/mL streptomycin at 37 ℃ in a humidified 5% CO</w:t>
      </w:r>
      <w:r w:rsidRPr="003220D4">
        <w:rPr>
          <w:szCs w:val="24"/>
          <w:vertAlign w:val="subscript"/>
        </w:rPr>
        <w:t>2</w:t>
      </w:r>
      <w:r w:rsidRPr="003220D4">
        <w:rPr>
          <w:szCs w:val="24"/>
        </w:rPr>
        <w:t xml:space="preserve"> incubator. Cells grown at ~70% confluence in a 6–cm culture dish were transfected with SERT, </w:t>
      </w:r>
      <w:proofErr w:type="spellStart"/>
      <w:r w:rsidRPr="003220D4">
        <w:rPr>
          <w:szCs w:val="24"/>
        </w:rPr>
        <w:t>sGC</w:t>
      </w:r>
      <w:proofErr w:type="spellEnd"/>
      <w:r w:rsidRPr="003220D4">
        <w:rPr>
          <w:szCs w:val="24"/>
        </w:rPr>
        <w:t xml:space="preserve">, or SEC24C cDNA by lipofectamine 2000. HeLa stable cell line for C–terminally Flag–tagged SERT was generated as described previously (71). The stable cells were maintained in DMEM supplemented with 10% fetal bovine serum, 100 units/mL penicillin, 100 </w:t>
      </w:r>
      <w:proofErr w:type="spellStart"/>
      <w:r w:rsidRPr="003220D4">
        <w:rPr>
          <w:szCs w:val="24"/>
        </w:rPr>
        <w:t>μg</w:t>
      </w:r>
      <w:proofErr w:type="spellEnd"/>
      <w:r w:rsidRPr="003220D4">
        <w:rPr>
          <w:szCs w:val="24"/>
        </w:rPr>
        <w:t xml:space="preserve">/mL streptomycin, and 12 </w:t>
      </w:r>
      <w:proofErr w:type="spellStart"/>
      <w:r w:rsidRPr="003220D4">
        <w:rPr>
          <w:szCs w:val="24"/>
        </w:rPr>
        <w:t>μg</w:t>
      </w:r>
      <w:proofErr w:type="spellEnd"/>
      <w:r w:rsidRPr="003220D4">
        <w:rPr>
          <w:szCs w:val="24"/>
        </w:rPr>
        <w:t xml:space="preserve">/mL </w:t>
      </w:r>
      <w:proofErr w:type="spellStart"/>
      <w:r w:rsidRPr="003220D4">
        <w:rPr>
          <w:szCs w:val="24"/>
        </w:rPr>
        <w:t>blasticidin</w:t>
      </w:r>
      <w:proofErr w:type="spellEnd"/>
      <w:r w:rsidRPr="003220D4">
        <w:rPr>
          <w:szCs w:val="24"/>
        </w:rPr>
        <w:t xml:space="preserve"> S at 37 </w:t>
      </w:r>
      <w:r w:rsidRPr="003220D4">
        <w:rPr>
          <w:rFonts w:eastAsia="等线"/>
          <w:szCs w:val="24"/>
        </w:rPr>
        <w:t>°</w:t>
      </w:r>
      <w:r w:rsidRPr="003220D4">
        <w:rPr>
          <w:szCs w:val="24"/>
        </w:rPr>
        <w:t>C in a humidified 5% CO</w:t>
      </w:r>
      <w:r w:rsidRPr="003220D4">
        <w:rPr>
          <w:szCs w:val="24"/>
          <w:vertAlign w:val="subscript"/>
        </w:rPr>
        <w:t>2</w:t>
      </w:r>
      <w:r w:rsidRPr="003220D4">
        <w:rPr>
          <w:szCs w:val="24"/>
        </w:rPr>
        <w:t xml:space="preserve"> incubator.</w:t>
      </w:r>
    </w:p>
    <w:p w14:paraId="356BA2D4" w14:textId="77777777" w:rsidR="00040F6A" w:rsidRPr="00040F6A" w:rsidRDefault="00040F6A" w:rsidP="00040F6A">
      <w:pPr>
        <w:adjustRightInd w:val="0"/>
        <w:snapToGrid w:val="0"/>
        <w:spacing w:beforeLines="50" w:before="156" w:afterLines="50" w:after="156" w:line="480" w:lineRule="auto"/>
        <w:rPr>
          <w:b/>
          <w:bCs/>
          <w:iCs/>
          <w:szCs w:val="24"/>
        </w:rPr>
      </w:pPr>
      <w:r w:rsidRPr="00040F6A">
        <w:rPr>
          <w:b/>
          <w:bCs/>
          <w:iCs/>
          <w:szCs w:val="24"/>
        </w:rPr>
        <w:t>RT–PCR and qPCR</w:t>
      </w:r>
    </w:p>
    <w:p w14:paraId="7D527614" w14:textId="77777777" w:rsidR="00040F6A" w:rsidRPr="003220D4" w:rsidRDefault="00040F6A" w:rsidP="00040F6A">
      <w:pPr>
        <w:adjustRightInd w:val="0"/>
        <w:snapToGrid w:val="0"/>
        <w:spacing w:beforeLines="50" w:before="156" w:afterLines="50" w:after="156" w:line="480" w:lineRule="auto"/>
        <w:rPr>
          <w:szCs w:val="24"/>
        </w:rPr>
      </w:pPr>
      <w:r w:rsidRPr="003220D4">
        <w:rPr>
          <w:szCs w:val="24"/>
        </w:rPr>
        <w:t xml:space="preserve">Total RNA from RBL–2H3 cells or C57BL/6 mouse midbrain were extracted using </w:t>
      </w:r>
      <w:proofErr w:type="spellStart"/>
      <w:r w:rsidRPr="003220D4">
        <w:rPr>
          <w:szCs w:val="24"/>
        </w:rPr>
        <w:t>FastPure</w:t>
      </w:r>
      <w:proofErr w:type="spellEnd"/>
      <w:r w:rsidRPr="003220D4">
        <w:rPr>
          <w:szCs w:val="24"/>
        </w:rPr>
        <w:t xml:space="preserve"> Cell/Tissue Total RNA Isolation Kit (</w:t>
      </w:r>
      <w:proofErr w:type="spellStart"/>
      <w:r w:rsidRPr="003220D4">
        <w:rPr>
          <w:szCs w:val="24"/>
        </w:rPr>
        <w:t>Vazyme</w:t>
      </w:r>
      <w:proofErr w:type="spellEnd"/>
      <w:r w:rsidRPr="003220D4">
        <w:rPr>
          <w:szCs w:val="24"/>
        </w:rPr>
        <w:t xml:space="preserve">) according to the manufacturer's protocol. One microgram of total RNA was subjected to reverse transcription followed by PCR using the </w:t>
      </w:r>
      <w:proofErr w:type="spellStart"/>
      <w:r w:rsidRPr="003220D4">
        <w:rPr>
          <w:szCs w:val="24"/>
        </w:rPr>
        <w:t>HiScript</w:t>
      </w:r>
      <w:proofErr w:type="spellEnd"/>
      <w:r w:rsidRPr="003220D4">
        <w:rPr>
          <w:szCs w:val="24"/>
        </w:rPr>
        <w:t xml:space="preserve"> II One Step RT–PCR Kit (</w:t>
      </w:r>
      <w:proofErr w:type="spellStart"/>
      <w:r w:rsidRPr="003220D4">
        <w:rPr>
          <w:szCs w:val="24"/>
        </w:rPr>
        <w:t>Vazyme</w:t>
      </w:r>
      <w:proofErr w:type="spellEnd"/>
      <w:r w:rsidRPr="003220D4">
        <w:rPr>
          <w:szCs w:val="24"/>
        </w:rPr>
        <w:t>) or qPCR using SYBR Green Pro Taq HS (Accurate Biology)</w:t>
      </w:r>
      <w:r w:rsidRPr="003220D4">
        <w:t xml:space="preserve"> </w:t>
      </w:r>
      <w:r w:rsidRPr="003220D4">
        <w:rPr>
          <w:szCs w:val="24"/>
        </w:rPr>
        <w:t xml:space="preserve">on </w:t>
      </w:r>
      <w:proofErr w:type="spellStart"/>
      <w:r w:rsidRPr="003220D4">
        <w:rPr>
          <w:szCs w:val="24"/>
        </w:rPr>
        <w:t>QuantSrudio</w:t>
      </w:r>
      <w:proofErr w:type="spellEnd"/>
      <w:r w:rsidRPr="003220D4">
        <w:rPr>
          <w:szCs w:val="24"/>
        </w:rPr>
        <w:t xml:space="preserve"> 3 (</w:t>
      </w:r>
      <w:proofErr w:type="spellStart"/>
      <w:r w:rsidRPr="003220D4">
        <w:rPr>
          <w:szCs w:val="24"/>
        </w:rPr>
        <w:t>ThermoFisher</w:t>
      </w:r>
      <w:proofErr w:type="spellEnd"/>
      <w:r w:rsidRPr="003220D4">
        <w:rPr>
          <w:szCs w:val="24"/>
        </w:rPr>
        <w:t xml:space="preserve">). The oligonucleotide primers for PCR or qPCR are forward, </w:t>
      </w:r>
      <w:proofErr w:type="spellStart"/>
      <w:r w:rsidRPr="003220D4">
        <w:rPr>
          <w:szCs w:val="24"/>
        </w:rPr>
        <w:t>atgttctgcaggaagttcaaagatc</w:t>
      </w:r>
      <w:proofErr w:type="spellEnd"/>
      <w:r w:rsidRPr="003220D4">
        <w:rPr>
          <w:szCs w:val="24"/>
        </w:rPr>
        <w:t xml:space="preserve">, reverse, </w:t>
      </w:r>
      <w:proofErr w:type="spellStart"/>
      <w:r w:rsidRPr="003220D4">
        <w:rPr>
          <w:szCs w:val="24"/>
        </w:rPr>
        <w:t>tcacggtccagcatgaagtggaatg</w:t>
      </w:r>
      <w:proofErr w:type="spellEnd"/>
      <w:r w:rsidRPr="003220D4">
        <w:rPr>
          <w:szCs w:val="24"/>
        </w:rPr>
        <w:t xml:space="preserve"> for </w:t>
      </w:r>
      <w:proofErr w:type="spellStart"/>
      <w:r w:rsidRPr="003220D4">
        <w:rPr>
          <w:szCs w:val="24"/>
        </w:rPr>
        <w:t>sGC</w:t>
      </w:r>
      <w:proofErr w:type="spellEnd"/>
      <w:r w:rsidRPr="003220D4">
        <w:rPr>
          <w:szCs w:val="24"/>
        </w:rPr>
        <w:t xml:space="preserve">α1; forward, </w:t>
      </w:r>
      <w:proofErr w:type="spellStart"/>
      <w:r w:rsidRPr="003220D4">
        <w:rPr>
          <w:szCs w:val="24"/>
        </w:rPr>
        <w:t>tgcatgcacccttatctccgcagtc</w:t>
      </w:r>
      <w:proofErr w:type="spellEnd"/>
      <w:r w:rsidRPr="003220D4">
        <w:rPr>
          <w:szCs w:val="24"/>
        </w:rPr>
        <w:t xml:space="preserve">, reverse, </w:t>
      </w:r>
      <w:proofErr w:type="spellStart"/>
      <w:r w:rsidRPr="003220D4">
        <w:rPr>
          <w:szCs w:val="24"/>
        </w:rPr>
        <w:t>ttccaacaatgcatcgaagccattg</w:t>
      </w:r>
      <w:proofErr w:type="spellEnd"/>
      <w:r w:rsidRPr="003220D4">
        <w:rPr>
          <w:szCs w:val="24"/>
        </w:rPr>
        <w:t xml:space="preserve"> for </w:t>
      </w:r>
      <w:proofErr w:type="spellStart"/>
      <w:r w:rsidRPr="003220D4">
        <w:rPr>
          <w:szCs w:val="24"/>
        </w:rPr>
        <w:t>sGC</w:t>
      </w:r>
      <w:proofErr w:type="spellEnd"/>
      <w:r w:rsidRPr="003220D4">
        <w:rPr>
          <w:szCs w:val="24"/>
        </w:rPr>
        <w:t xml:space="preserve">α2; forward, </w:t>
      </w:r>
      <w:proofErr w:type="spellStart"/>
      <w:r w:rsidRPr="003220D4">
        <w:rPr>
          <w:szCs w:val="24"/>
        </w:rPr>
        <w:t>catggcactgagatagacatgaagg</w:t>
      </w:r>
      <w:proofErr w:type="spellEnd"/>
      <w:r w:rsidRPr="003220D4">
        <w:rPr>
          <w:szCs w:val="24"/>
        </w:rPr>
        <w:t xml:space="preserve">, reverse, </w:t>
      </w:r>
      <w:proofErr w:type="spellStart"/>
      <w:r w:rsidRPr="003220D4">
        <w:rPr>
          <w:szCs w:val="24"/>
        </w:rPr>
        <w:t>cactgaagaggatggtcacattgtc</w:t>
      </w:r>
      <w:proofErr w:type="spellEnd"/>
      <w:r w:rsidRPr="003220D4">
        <w:rPr>
          <w:szCs w:val="24"/>
        </w:rPr>
        <w:t xml:space="preserve"> for </w:t>
      </w:r>
      <w:proofErr w:type="spellStart"/>
      <w:r w:rsidRPr="003220D4">
        <w:rPr>
          <w:szCs w:val="24"/>
        </w:rPr>
        <w:t>sGC</w:t>
      </w:r>
      <w:proofErr w:type="spellEnd"/>
      <w:r w:rsidRPr="003220D4">
        <w:rPr>
          <w:szCs w:val="24"/>
        </w:rPr>
        <w:t xml:space="preserve">β1; forward, </w:t>
      </w:r>
      <w:proofErr w:type="spellStart"/>
      <w:r w:rsidRPr="003220D4">
        <w:rPr>
          <w:szCs w:val="24"/>
        </w:rPr>
        <w:lastRenderedPageBreak/>
        <w:t>tcgaagaggaggtgttctgtgatgc</w:t>
      </w:r>
      <w:proofErr w:type="spellEnd"/>
      <w:r w:rsidRPr="003220D4">
        <w:rPr>
          <w:szCs w:val="24"/>
        </w:rPr>
        <w:t xml:space="preserve">, reverse, </w:t>
      </w:r>
      <w:proofErr w:type="spellStart"/>
      <w:r w:rsidRPr="003220D4">
        <w:rPr>
          <w:szCs w:val="24"/>
        </w:rPr>
        <w:t>acctgctaagactggtccagtgtgg</w:t>
      </w:r>
      <w:proofErr w:type="spellEnd"/>
      <w:r w:rsidRPr="003220D4">
        <w:rPr>
          <w:szCs w:val="24"/>
        </w:rPr>
        <w:t xml:space="preserve"> for </w:t>
      </w:r>
      <w:proofErr w:type="spellStart"/>
      <w:r w:rsidRPr="003220D4">
        <w:rPr>
          <w:szCs w:val="24"/>
        </w:rPr>
        <w:t>sGC</w:t>
      </w:r>
      <w:proofErr w:type="spellEnd"/>
      <w:r w:rsidRPr="003220D4">
        <w:rPr>
          <w:szCs w:val="24"/>
        </w:rPr>
        <w:t>β2.</w:t>
      </w:r>
      <w:r w:rsidRPr="003220D4">
        <w:t xml:space="preserve"> </w:t>
      </w:r>
      <w:r w:rsidRPr="003220D4">
        <w:rPr>
          <w:szCs w:val="24"/>
        </w:rPr>
        <w:t xml:space="preserve">Gene expression was normalized to β–actin gene as a reference.  </w:t>
      </w:r>
    </w:p>
    <w:p w14:paraId="5F88E004" w14:textId="77777777" w:rsidR="00040F6A" w:rsidRPr="00040F6A" w:rsidRDefault="00040F6A" w:rsidP="00040F6A">
      <w:pPr>
        <w:adjustRightInd w:val="0"/>
        <w:snapToGrid w:val="0"/>
        <w:spacing w:beforeLines="50" w:before="156" w:afterLines="50" w:after="156" w:line="480" w:lineRule="auto"/>
        <w:rPr>
          <w:b/>
          <w:bCs/>
          <w:iCs/>
          <w:szCs w:val="24"/>
        </w:rPr>
      </w:pPr>
      <w:r w:rsidRPr="00040F6A">
        <w:rPr>
          <w:b/>
          <w:bCs/>
          <w:iCs/>
          <w:szCs w:val="24"/>
        </w:rPr>
        <w:t xml:space="preserve">Molecular Docking </w:t>
      </w:r>
    </w:p>
    <w:p w14:paraId="2106D1F2" w14:textId="77777777" w:rsidR="00040F6A" w:rsidRPr="003220D4" w:rsidRDefault="00040F6A" w:rsidP="00040F6A">
      <w:pPr>
        <w:adjustRightInd w:val="0"/>
        <w:snapToGrid w:val="0"/>
        <w:spacing w:beforeLines="50" w:before="156" w:afterLines="50" w:after="156" w:line="480" w:lineRule="auto"/>
        <w:rPr>
          <w:szCs w:val="24"/>
        </w:rPr>
      </w:pPr>
      <w:r w:rsidRPr="003220D4">
        <w:rPr>
          <w:szCs w:val="24"/>
        </w:rPr>
        <w:t xml:space="preserve">The high–resolution structures of SERT (PDB ID, 6DZW) in an outward–open conformation (76) and heterodimeric </w:t>
      </w:r>
      <w:proofErr w:type="spellStart"/>
      <w:r w:rsidRPr="003220D4">
        <w:rPr>
          <w:szCs w:val="24"/>
        </w:rPr>
        <w:t>sGC</w:t>
      </w:r>
      <w:proofErr w:type="spellEnd"/>
      <w:r w:rsidRPr="003220D4">
        <w:rPr>
          <w:szCs w:val="24"/>
        </w:rPr>
        <w:t>α1/β1 (7D9S) (77) were employed for molecular docking using a standard protocol in ZDOCK v3.0.2 (78). Both structures were prepared by removing solvent molecules, followed by optimizing the hydrogen bonding network, conformation of bonds, and energy constraints. In order to ensure the authenticity of connection, we retained 5–HT, HEME, Na</w:t>
      </w:r>
      <w:r w:rsidRPr="003220D4">
        <w:rPr>
          <w:szCs w:val="24"/>
          <w:vertAlign w:val="superscript"/>
        </w:rPr>
        <w:t>+</w:t>
      </w:r>
      <w:r w:rsidRPr="003220D4">
        <w:rPr>
          <w:szCs w:val="24"/>
        </w:rPr>
        <w:t xml:space="preserve"> and Mg</w:t>
      </w:r>
      <w:r w:rsidRPr="003220D4">
        <w:rPr>
          <w:szCs w:val="24"/>
          <w:vertAlign w:val="superscript"/>
        </w:rPr>
        <w:t>2+</w:t>
      </w:r>
      <w:r w:rsidRPr="003220D4">
        <w:rPr>
          <w:szCs w:val="24"/>
        </w:rPr>
        <w:t xml:space="preserve"> during the docking process. Docking was performed using SERT–IL4 motif as an </w:t>
      </w:r>
      <w:bookmarkStart w:id="3" w:name="_Hlk216444579"/>
      <w:r w:rsidRPr="003220D4">
        <w:rPr>
          <w:szCs w:val="24"/>
        </w:rPr>
        <w:t>anchoring</w:t>
      </w:r>
      <w:r w:rsidRPr="003220D4">
        <w:rPr>
          <w:szCs w:val="24"/>
          <w:lang w:eastAsia="zh-CN"/>
        </w:rPr>
        <w:t xml:space="preserve"> </w:t>
      </w:r>
      <w:r w:rsidRPr="003220D4">
        <w:rPr>
          <w:szCs w:val="24"/>
        </w:rPr>
        <w:t>point</w:t>
      </w:r>
      <w:bookmarkEnd w:id="3"/>
      <w:r w:rsidRPr="003220D4">
        <w:rPr>
          <w:szCs w:val="24"/>
        </w:rPr>
        <w:t xml:space="preserve">. Spatial blocking was applied to the N‑terminus of SERT and the catalytic domains of </w:t>
      </w:r>
      <w:proofErr w:type="spellStart"/>
      <w:r w:rsidRPr="003220D4">
        <w:rPr>
          <w:szCs w:val="24"/>
        </w:rPr>
        <w:t>sGC</w:t>
      </w:r>
      <w:proofErr w:type="spellEnd"/>
      <w:r w:rsidRPr="003220D4">
        <w:rPr>
          <w:szCs w:val="24"/>
        </w:rPr>
        <w:t xml:space="preserve">α1/β1 subunits. Additionally, </w:t>
      </w:r>
      <w:r w:rsidRPr="003220D4">
        <w:t xml:space="preserve">docking poses that result in steric clashes between </w:t>
      </w:r>
      <w:proofErr w:type="spellStart"/>
      <w:r w:rsidRPr="003220D4">
        <w:t>sGC</w:t>
      </w:r>
      <w:proofErr w:type="spellEnd"/>
      <w:r w:rsidRPr="003220D4">
        <w:t xml:space="preserve"> and the plasma membrane were systematically excluded</w:t>
      </w:r>
      <w:r w:rsidRPr="003220D4">
        <w:rPr>
          <w:szCs w:val="24"/>
        </w:rPr>
        <w:t xml:space="preserve">. One pose with the best score was selected and exported into </w:t>
      </w:r>
      <w:proofErr w:type="spellStart"/>
      <w:r w:rsidRPr="003220D4">
        <w:rPr>
          <w:szCs w:val="24"/>
        </w:rPr>
        <w:t>PyMOL</w:t>
      </w:r>
      <w:proofErr w:type="spellEnd"/>
      <w:r w:rsidRPr="003220D4">
        <w:rPr>
          <w:szCs w:val="24"/>
        </w:rPr>
        <w:t xml:space="preserve"> v3.1 (</w:t>
      </w:r>
      <w:r w:rsidRPr="003220D4">
        <w:rPr>
          <w:rFonts w:eastAsia="等线"/>
          <w:kern w:val="2"/>
          <w:szCs w:val="24"/>
          <w:lang w:eastAsia="zh-CN"/>
        </w:rPr>
        <w:t>Schrödinger Inc.)</w:t>
      </w:r>
      <w:r w:rsidRPr="003220D4">
        <w:rPr>
          <w:szCs w:val="24"/>
        </w:rPr>
        <w:t xml:space="preserve"> for visualization. </w:t>
      </w:r>
    </w:p>
    <w:p w14:paraId="1DB0F840" w14:textId="77777777" w:rsidR="00040F6A" w:rsidRPr="003220D4" w:rsidRDefault="00040F6A" w:rsidP="00040F6A">
      <w:pPr>
        <w:adjustRightInd w:val="0"/>
        <w:snapToGrid w:val="0"/>
        <w:spacing w:beforeLines="50" w:before="156" w:afterLines="50" w:after="156" w:line="480" w:lineRule="auto"/>
      </w:pPr>
    </w:p>
    <w:p w14:paraId="29305FBB" w14:textId="77777777" w:rsidR="00040F6A" w:rsidRPr="003220D4" w:rsidRDefault="00040F6A" w:rsidP="00040F6A">
      <w:pPr>
        <w:adjustRightInd w:val="0"/>
        <w:snapToGrid w:val="0"/>
        <w:spacing w:beforeLines="50" w:before="156" w:afterLines="50" w:after="156" w:line="480" w:lineRule="auto"/>
      </w:pPr>
    </w:p>
    <w:p w14:paraId="3FD5506A" w14:textId="77777777" w:rsidR="00040F6A" w:rsidRPr="003220D4" w:rsidRDefault="00040F6A" w:rsidP="00040F6A">
      <w:pPr>
        <w:adjustRightInd w:val="0"/>
        <w:snapToGrid w:val="0"/>
        <w:spacing w:beforeLines="50" w:before="156" w:afterLines="50" w:after="156" w:line="480" w:lineRule="auto"/>
      </w:pPr>
    </w:p>
    <w:p w14:paraId="757AD749" w14:textId="77777777" w:rsidR="00040F6A" w:rsidRPr="003220D4" w:rsidRDefault="00040F6A" w:rsidP="00040F6A">
      <w:pPr>
        <w:adjustRightInd w:val="0"/>
        <w:snapToGrid w:val="0"/>
        <w:spacing w:beforeLines="50" w:before="156" w:afterLines="50" w:after="156" w:line="480" w:lineRule="auto"/>
      </w:pPr>
    </w:p>
    <w:p w14:paraId="04A1F120" w14:textId="77777777" w:rsidR="00040F6A" w:rsidRPr="003220D4" w:rsidRDefault="00040F6A" w:rsidP="00040F6A">
      <w:pPr>
        <w:spacing w:beforeLines="50" w:before="156" w:afterLines="50" w:after="156" w:line="480" w:lineRule="auto"/>
      </w:pPr>
      <w:r w:rsidRPr="003220D4">
        <w:rPr>
          <w:noProof/>
        </w:rPr>
        <w:lastRenderedPageBreak/>
        <w:drawing>
          <wp:inline distT="0" distB="0" distL="0" distR="0" wp14:anchorId="052FB57D" wp14:editId="1252227A">
            <wp:extent cx="5943600" cy="2633980"/>
            <wp:effectExtent l="0" t="0" r="0" b="0"/>
            <wp:docPr id="9114770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633980"/>
                    </a:xfrm>
                    <a:prstGeom prst="rect">
                      <a:avLst/>
                    </a:prstGeom>
                    <a:noFill/>
                    <a:ln>
                      <a:noFill/>
                    </a:ln>
                  </pic:spPr>
                </pic:pic>
              </a:graphicData>
            </a:graphic>
          </wp:inline>
        </w:drawing>
      </w:r>
    </w:p>
    <w:p w14:paraId="53AC17CA" w14:textId="77777777" w:rsidR="00040F6A" w:rsidRPr="00040F6A" w:rsidRDefault="00040F6A" w:rsidP="00040F6A">
      <w:pPr>
        <w:adjustRightInd w:val="0"/>
        <w:snapToGrid w:val="0"/>
        <w:spacing w:beforeLines="50" w:before="156" w:afterLines="50" w:after="156" w:line="480" w:lineRule="auto"/>
        <w:rPr>
          <w:sz w:val="21"/>
          <w:szCs w:val="21"/>
          <w:lang w:eastAsia="zh-CN"/>
        </w:rPr>
      </w:pPr>
      <w:r w:rsidRPr="00D61D37">
        <w:rPr>
          <w:b/>
          <w:bCs/>
          <w:sz w:val="21"/>
          <w:szCs w:val="21"/>
          <w:lang w:eastAsia="zh-CN"/>
        </w:rPr>
        <w:t xml:space="preserve">Fig. S1. The expression of </w:t>
      </w:r>
      <w:proofErr w:type="spellStart"/>
      <w:r w:rsidRPr="00D61D37">
        <w:rPr>
          <w:b/>
          <w:bCs/>
          <w:sz w:val="21"/>
          <w:szCs w:val="21"/>
          <w:lang w:eastAsia="zh-CN"/>
        </w:rPr>
        <w:t>sGC</w:t>
      </w:r>
      <w:proofErr w:type="spellEnd"/>
      <w:r w:rsidRPr="00D61D37">
        <w:rPr>
          <w:b/>
          <w:bCs/>
          <w:sz w:val="21"/>
          <w:szCs w:val="21"/>
          <w:lang w:eastAsia="zh-CN"/>
        </w:rPr>
        <w:t xml:space="preserve"> and its interaction with SERT. (A)</w:t>
      </w:r>
      <w:r w:rsidRPr="00D61D37">
        <w:rPr>
          <w:sz w:val="21"/>
          <w:szCs w:val="21"/>
        </w:rPr>
        <w:t xml:space="preserve"> Amplification plots of </w:t>
      </w:r>
      <w:proofErr w:type="spellStart"/>
      <w:r w:rsidRPr="00D61D37">
        <w:rPr>
          <w:sz w:val="21"/>
          <w:szCs w:val="21"/>
        </w:rPr>
        <w:t>sGC</w:t>
      </w:r>
      <w:proofErr w:type="spellEnd"/>
      <w:r w:rsidRPr="00D61D37">
        <w:rPr>
          <w:sz w:val="21"/>
          <w:szCs w:val="21"/>
        </w:rPr>
        <w:t>α1 (</w:t>
      </w:r>
      <w:r w:rsidRPr="00D61D37">
        <w:rPr>
          <w:i/>
          <w:sz w:val="21"/>
          <w:szCs w:val="21"/>
        </w:rPr>
        <w:t>red</w:t>
      </w:r>
      <w:r w:rsidRPr="00D61D37">
        <w:rPr>
          <w:sz w:val="21"/>
          <w:szCs w:val="21"/>
        </w:rPr>
        <w:t xml:space="preserve">) and </w:t>
      </w:r>
      <w:proofErr w:type="spellStart"/>
      <w:r w:rsidRPr="00D61D37">
        <w:rPr>
          <w:sz w:val="21"/>
          <w:szCs w:val="21"/>
        </w:rPr>
        <w:t>sGC</w:t>
      </w:r>
      <w:proofErr w:type="spellEnd"/>
      <w:r w:rsidRPr="00D61D37">
        <w:rPr>
          <w:sz w:val="21"/>
          <w:szCs w:val="21"/>
        </w:rPr>
        <w:t>α2 genes (</w:t>
      </w:r>
      <w:r w:rsidRPr="00D61D37">
        <w:rPr>
          <w:i/>
          <w:sz w:val="21"/>
          <w:szCs w:val="21"/>
        </w:rPr>
        <w:t>blue</w:t>
      </w:r>
      <w:r w:rsidRPr="00D61D37">
        <w:rPr>
          <w:sz w:val="21"/>
          <w:szCs w:val="21"/>
        </w:rPr>
        <w:t xml:space="preserve">). The amplification curve shows a representative experiment. Gene expressions of </w:t>
      </w:r>
      <w:proofErr w:type="spellStart"/>
      <w:r w:rsidRPr="00D61D37">
        <w:rPr>
          <w:sz w:val="21"/>
          <w:szCs w:val="21"/>
        </w:rPr>
        <w:t>sGC</w:t>
      </w:r>
      <w:proofErr w:type="spellEnd"/>
      <w:r w:rsidRPr="00D61D37">
        <w:rPr>
          <w:sz w:val="21"/>
          <w:szCs w:val="21"/>
        </w:rPr>
        <w:t xml:space="preserve">α1 and </w:t>
      </w:r>
      <w:proofErr w:type="spellStart"/>
      <w:r w:rsidRPr="00D61D37">
        <w:rPr>
          <w:sz w:val="21"/>
          <w:szCs w:val="21"/>
        </w:rPr>
        <w:t>sGC</w:t>
      </w:r>
      <w:proofErr w:type="spellEnd"/>
      <w:r w:rsidRPr="00D61D37">
        <w:rPr>
          <w:sz w:val="21"/>
          <w:szCs w:val="21"/>
        </w:rPr>
        <w:t>α2 were quantified as expressed by a relative fluorescence of gene products of qPCR. The experiments were repeated twice with similar results. Error bars represent mean ± SEM (</w:t>
      </w:r>
      <w:r w:rsidRPr="00D61D37">
        <w:rPr>
          <w:i/>
          <w:sz w:val="21"/>
          <w:szCs w:val="21"/>
        </w:rPr>
        <w:t>n</w:t>
      </w:r>
      <w:r w:rsidRPr="00D61D37">
        <w:rPr>
          <w:sz w:val="21"/>
          <w:szCs w:val="21"/>
        </w:rPr>
        <w:t xml:space="preserve"> = 3). **</w:t>
      </w:r>
      <w:r w:rsidRPr="00D61D37">
        <w:rPr>
          <w:i/>
          <w:sz w:val="21"/>
          <w:szCs w:val="21"/>
        </w:rPr>
        <w:t>p</w:t>
      </w:r>
      <w:r w:rsidRPr="00D61D37">
        <w:rPr>
          <w:sz w:val="21"/>
          <w:szCs w:val="21"/>
        </w:rPr>
        <w:t xml:space="preserve"> &lt; 0.01, compared to </w:t>
      </w:r>
      <w:proofErr w:type="spellStart"/>
      <w:r w:rsidRPr="00D61D37">
        <w:rPr>
          <w:sz w:val="21"/>
          <w:szCs w:val="21"/>
        </w:rPr>
        <w:t>sGC</w:t>
      </w:r>
      <w:proofErr w:type="spellEnd"/>
      <w:r w:rsidRPr="00D61D37">
        <w:rPr>
          <w:sz w:val="21"/>
          <w:szCs w:val="21"/>
        </w:rPr>
        <w:t>α1.</w:t>
      </w:r>
      <w:r w:rsidRPr="00D61D37">
        <w:rPr>
          <w:sz w:val="21"/>
          <w:szCs w:val="21"/>
          <w:lang w:eastAsia="zh-CN"/>
        </w:rPr>
        <w:t xml:space="preserve"> </w:t>
      </w:r>
      <w:r w:rsidRPr="00D61D37">
        <w:rPr>
          <w:b/>
          <w:bCs/>
          <w:sz w:val="21"/>
          <w:szCs w:val="21"/>
          <w:lang w:eastAsia="zh-CN"/>
        </w:rPr>
        <w:t>(B)</w:t>
      </w:r>
      <w:r w:rsidRPr="00D61D37">
        <w:rPr>
          <w:sz w:val="21"/>
          <w:szCs w:val="21"/>
        </w:rPr>
        <w:t xml:space="preserve"> Agarose gel analysis of qualitative RT–PCR on total RNA isolated from RBL–2H3 cells (</w:t>
      </w:r>
      <w:r w:rsidRPr="00D61D37">
        <w:rPr>
          <w:i/>
          <w:sz w:val="21"/>
          <w:szCs w:val="21"/>
        </w:rPr>
        <w:t>upper</w:t>
      </w:r>
      <w:r w:rsidRPr="00D61D37">
        <w:rPr>
          <w:sz w:val="21"/>
          <w:szCs w:val="21"/>
        </w:rPr>
        <w:t>) and mouse midbrain (</w:t>
      </w:r>
      <w:r w:rsidRPr="00D61D37">
        <w:rPr>
          <w:i/>
          <w:sz w:val="21"/>
          <w:szCs w:val="21"/>
        </w:rPr>
        <w:t>lower</w:t>
      </w:r>
      <w:r w:rsidRPr="00D61D37">
        <w:rPr>
          <w:sz w:val="21"/>
          <w:szCs w:val="21"/>
        </w:rPr>
        <w:t>). b.p., base pairs; M, DNA markers.</w:t>
      </w:r>
      <w:r w:rsidRPr="00D61D37">
        <w:rPr>
          <w:sz w:val="21"/>
          <w:szCs w:val="21"/>
          <w:lang w:eastAsia="zh-CN"/>
        </w:rPr>
        <w:t xml:space="preserve"> </w:t>
      </w:r>
      <w:r w:rsidRPr="00D61D37">
        <w:rPr>
          <w:b/>
          <w:bCs/>
          <w:sz w:val="21"/>
          <w:szCs w:val="21"/>
          <w:lang w:eastAsia="zh-CN"/>
        </w:rPr>
        <w:t xml:space="preserve">(C) </w:t>
      </w:r>
      <w:r w:rsidRPr="00D61D37">
        <w:rPr>
          <w:sz w:val="21"/>
          <w:szCs w:val="21"/>
        </w:rPr>
        <w:t>Co–immunoprecipitation of protein complexes from RBL–2H3 cell extracts with IgG (</w:t>
      </w:r>
      <w:r w:rsidRPr="00D61D37">
        <w:rPr>
          <w:i/>
          <w:sz w:val="21"/>
          <w:szCs w:val="21"/>
        </w:rPr>
        <w:t>leftmost</w:t>
      </w:r>
      <w:r w:rsidRPr="00D61D37">
        <w:rPr>
          <w:sz w:val="21"/>
          <w:szCs w:val="21"/>
        </w:rPr>
        <w:t>), anti–</w:t>
      </w:r>
      <w:proofErr w:type="spellStart"/>
      <w:r w:rsidRPr="00D61D37">
        <w:rPr>
          <w:sz w:val="21"/>
          <w:szCs w:val="21"/>
        </w:rPr>
        <w:t>sGC</w:t>
      </w:r>
      <w:proofErr w:type="spellEnd"/>
      <w:r w:rsidRPr="00D61D37">
        <w:rPr>
          <w:sz w:val="21"/>
          <w:szCs w:val="21"/>
        </w:rPr>
        <w:t>α1 (</w:t>
      </w:r>
      <w:r w:rsidRPr="00D61D37">
        <w:rPr>
          <w:i/>
          <w:sz w:val="21"/>
          <w:szCs w:val="21"/>
        </w:rPr>
        <w:t>middle</w:t>
      </w:r>
      <w:r w:rsidRPr="00D61D37">
        <w:rPr>
          <w:sz w:val="21"/>
          <w:szCs w:val="21"/>
        </w:rPr>
        <w:t>) or anti–</w:t>
      </w:r>
      <w:proofErr w:type="spellStart"/>
      <w:r w:rsidRPr="00D61D37">
        <w:rPr>
          <w:sz w:val="21"/>
          <w:szCs w:val="21"/>
        </w:rPr>
        <w:t>sGC</w:t>
      </w:r>
      <w:proofErr w:type="spellEnd"/>
      <w:r w:rsidRPr="00D61D37">
        <w:rPr>
          <w:sz w:val="21"/>
          <w:szCs w:val="21"/>
        </w:rPr>
        <w:t>β1 antibody (</w:t>
      </w:r>
      <w:r w:rsidRPr="00D61D37">
        <w:rPr>
          <w:i/>
          <w:sz w:val="21"/>
          <w:szCs w:val="21"/>
        </w:rPr>
        <w:t>rightmost</w:t>
      </w:r>
      <w:r w:rsidRPr="00D61D37">
        <w:rPr>
          <w:sz w:val="21"/>
          <w:szCs w:val="21"/>
        </w:rPr>
        <w:t>), followed by immunoblot analysis using anti–SERT antibody.</w:t>
      </w:r>
      <w:r w:rsidRPr="00D61D37">
        <w:rPr>
          <w:b/>
          <w:bCs/>
          <w:sz w:val="21"/>
          <w:szCs w:val="21"/>
          <w:lang w:eastAsia="zh-CN"/>
        </w:rPr>
        <w:t xml:space="preserve"> (D) </w:t>
      </w:r>
      <w:r w:rsidRPr="00D61D37">
        <w:rPr>
          <w:sz w:val="21"/>
          <w:szCs w:val="21"/>
        </w:rPr>
        <w:t>Subcellular distribution of the SERT–</w:t>
      </w:r>
      <w:proofErr w:type="spellStart"/>
      <w:r w:rsidRPr="00D61D37">
        <w:rPr>
          <w:sz w:val="21"/>
          <w:szCs w:val="21"/>
        </w:rPr>
        <w:t>sGC</w:t>
      </w:r>
      <w:proofErr w:type="spellEnd"/>
      <w:r w:rsidRPr="00D61D37">
        <w:rPr>
          <w:sz w:val="21"/>
          <w:szCs w:val="21"/>
        </w:rPr>
        <w:t xml:space="preserve">β1 association. Proteins in the subcellular membrane (SM) or plasma membrane (PM) were separated by </w:t>
      </w:r>
      <w:proofErr w:type="spellStart"/>
      <w:r w:rsidRPr="00D61D37">
        <w:rPr>
          <w:sz w:val="21"/>
          <w:szCs w:val="21"/>
        </w:rPr>
        <w:t>biotinylation</w:t>
      </w:r>
      <w:proofErr w:type="spellEnd"/>
      <w:r w:rsidRPr="00D61D37">
        <w:rPr>
          <w:sz w:val="21"/>
          <w:szCs w:val="21"/>
        </w:rPr>
        <w:t xml:space="preserve"> of RBL–2H3 cells using a plasma membrane–impermeant reagent </w:t>
      </w:r>
      <w:proofErr w:type="spellStart"/>
      <w:r w:rsidRPr="00D61D37">
        <w:rPr>
          <w:sz w:val="21"/>
          <w:szCs w:val="21"/>
        </w:rPr>
        <w:t>sulfo</w:t>
      </w:r>
      <w:proofErr w:type="spellEnd"/>
      <w:r w:rsidRPr="00D61D37">
        <w:rPr>
          <w:sz w:val="21"/>
          <w:szCs w:val="21"/>
        </w:rPr>
        <w:t>–NHS–SS–biotin. Immunoprecipitation of membrane protein complexes was performed with anti–</w:t>
      </w:r>
      <w:proofErr w:type="spellStart"/>
      <w:r w:rsidRPr="00D61D37">
        <w:rPr>
          <w:sz w:val="21"/>
          <w:szCs w:val="21"/>
        </w:rPr>
        <w:t>sGC</w:t>
      </w:r>
      <w:proofErr w:type="spellEnd"/>
      <w:r w:rsidRPr="00D61D37">
        <w:rPr>
          <w:sz w:val="21"/>
          <w:szCs w:val="21"/>
        </w:rPr>
        <w:t>β1, followed by immunoblot analysis using anti–SERT antibody, respectively. Data are representatives of three independent experiments.</w:t>
      </w:r>
    </w:p>
    <w:p w14:paraId="4927C63B" w14:textId="77777777" w:rsidR="00040F6A" w:rsidRPr="003220D4" w:rsidRDefault="00040F6A" w:rsidP="00040F6A">
      <w:pPr>
        <w:pStyle w:val="SMcaption"/>
        <w:spacing w:beforeLines="50" w:before="156" w:afterLines="50" w:after="156" w:line="480" w:lineRule="auto"/>
        <w:rPr>
          <w:lang w:eastAsia="zh-CN"/>
        </w:rPr>
      </w:pPr>
    </w:p>
    <w:p w14:paraId="15ECA7BE" w14:textId="77777777" w:rsidR="00040F6A" w:rsidRPr="003220D4" w:rsidRDefault="00040F6A" w:rsidP="00040F6A">
      <w:pPr>
        <w:pStyle w:val="SMcaption"/>
        <w:spacing w:beforeLines="50" w:before="156" w:afterLines="50" w:after="156" w:line="480" w:lineRule="auto"/>
      </w:pPr>
    </w:p>
    <w:p w14:paraId="32EBE37D" w14:textId="77777777" w:rsidR="00040F6A" w:rsidRPr="003220D4" w:rsidRDefault="00040F6A" w:rsidP="00040F6A">
      <w:pPr>
        <w:pStyle w:val="SMcaption"/>
        <w:spacing w:beforeLines="50" w:before="156" w:afterLines="50" w:after="156" w:line="480" w:lineRule="auto"/>
      </w:pPr>
    </w:p>
    <w:p w14:paraId="4DD15C82" w14:textId="77777777" w:rsidR="00040F6A" w:rsidRPr="003220D4" w:rsidRDefault="00040F6A" w:rsidP="00040F6A">
      <w:pPr>
        <w:pStyle w:val="SMcaption"/>
        <w:spacing w:beforeLines="50" w:before="156" w:afterLines="50" w:after="156" w:line="480" w:lineRule="auto"/>
      </w:pPr>
      <w:r w:rsidRPr="003220D4">
        <w:rPr>
          <w:noProof/>
        </w:rPr>
        <w:lastRenderedPageBreak/>
        <w:drawing>
          <wp:inline distT="0" distB="0" distL="0" distR="0" wp14:anchorId="74016048" wp14:editId="73D7B2AC">
            <wp:extent cx="5943600" cy="6713220"/>
            <wp:effectExtent l="0" t="0" r="0" b="0"/>
            <wp:docPr id="9025079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6713220"/>
                    </a:xfrm>
                    <a:prstGeom prst="rect">
                      <a:avLst/>
                    </a:prstGeom>
                    <a:noFill/>
                    <a:ln>
                      <a:noFill/>
                    </a:ln>
                  </pic:spPr>
                </pic:pic>
              </a:graphicData>
            </a:graphic>
          </wp:inline>
        </w:drawing>
      </w:r>
    </w:p>
    <w:p w14:paraId="73D6CFC0" w14:textId="77777777" w:rsidR="00040F6A" w:rsidRPr="00040F6A" w:rsidRDefault="00040F6A" w:rsidP="00040F6A">
      <w:pPr>
        <w:spacing w:beforeLines="50" w:before="156" w:afterLines="50" w:after="156" w:line="480" w:lineRule="auto"/>
        <w:rPr>
          <w:sz w:val="21"/>
          <w:szCs w:val="21"/>
        </w:rPr>
      </w:pPr>
      <w:r w:rsidRPr="00040F6A">
        <w:rPr>
          <w:b/>
          <w:sz w:val="21"/>
          <w:szCs w:val="21"/>
        </w:rPr>
        <w:t xml:space="preserve">Fig. S2. Double immunocytochemistry labeling of </w:t>
      </w:r>
      <w:proofErr w:type="spellStart"/>
      <w:r w:rsidRPr="00040F6A">
        <w:rPr>
          <w:b/>
          <w:sz w:val="21"/>
          <w:szCs w:val="21"/>
        </w:rPr>
        <w:t>sGC</w:t>
      </w:r>
      <w:proofErr w:type="spellEnd"/>
      <w:r w:rsidRPr="00040F6A">
        <w:rPr>
          <w:b/>
          <w:sz w:val="21"/>
          <w:szCs w:val="21"/>
        </w:rPr>
        <w:t xml:space="preserve">β1, calnexin, and SERT. </w:t>
      </w:r>
      <w:r w:rsidRPr="00040F6A">
        <w:rPr>
          <w:sz w:val="21"/>
          <w:szCs w:val="21"/>
        </w:rPr>
        <w:t xml:space="preserve">HeLa or HeLa–SERT stable cells transiently transfected with a plasmid encoding </w:t>
      </w:r>
      <w:proofErr w:type="spellStart"/>
      <w:r w:rsidRPr="00040F6A">
        <w:rPr>
          <w:sz w:val="21"/>
          <w:szCs w:val="21"/>
        </w:rPr>
        <w:t>sGC</w:t>
      </w:r>
      <w:proofErr w:type="spellEnd"/>
      <w:r w:rsidRPr="00040F6A">
        <w:rPr>
          <w:sz w:val="21"/>
          <w:szCs w:val="21"/>
        </w:rPr>
        <w:t>β1</w:t>
      </w:r>
      <w:r w:rsidRPr="00040F6A">
        <w:rPr>
          <w:b/>
          <w:sz w:val="21"/>
          <w:szCs w:val="21"/>
        </w:rPr>
        <w:t xml:space="preserve"> </w:t>
      </w:r>
      <w:r w:rsidRPr="00040F6A">
        <w:rPr>
          <w:sz w:val="21"/>
          <w:szCs w:val="21"/>
        </w:rPr>
        <w:t xml:space="preserve">were fixed, permeabilized, stained, and imaged by confocal microscopy. Scale bars represent 10 </w:t>
      </w:r>
      <w:proofErr w:type="spellStart"/>
      <w:r w:rsidRPr="00040F6A">
        <w:rPr>
          <w:sz w:val="21"/>
          <w:szCs w:val="21"/>
        </w:rPr>
        <w:t>μm</w:t>
      </w:r>
      <w:proofErr w:type="spellEnd"/>
      <w:r w:rsidRPr="00040F6A">
        <w:rPr>
          <w:sz w:val="21"/>
          <w:szCs w:val="21"/>
        </w:rPr>
        <w:t xml:space="preserve">. Data are representatives of three independent experiments. </w:t>
      </w:r>
    </w:p>
    <w:p w14:paraId="53AA706A" w14:textId="77777777" w:rsidR="00040F6A" w:rsidRPr="003220D4" w:rsidRDefault="00040F6A" w:rsidP="00040F6A">
      <w:pPr>
        <w:pStyle w:val="SMcaption"/>
        <w:spacing w:beforeLines="50" w:before="156" w:afterLines="50" w:after="156" w:line="480" w:lineRule="auto"/>
        <w:rPr>
          <w:lang w:eastAsia="zh-CN"/>
        </w:rPr>
      </w:pPr>
    </w:p>
    <w:p w14:paraId="4CA77CAE" w14:textId="77777777" w:rsidR="00040F6A" w:rsidRPr="003220D4" w:rsidRDefault="00040F6A" w:rsidP="00040F6A">
      <w:pPr>
        <w:pStyle w:val="SMcaption"/>
        <w:spacing w:beforeLines="50" w:before="156" w:afterLines="50" w:after="156" w:line="480" w:lineRule="auto"/>
      </w:pPr>
      <w:r w:rsidRPr="003220D4">
        <w:rPr>
          <w:noProof/>
        </w:rPr>
        <w:lastRenderedPageBreak/>
        <w:drawing>
          <wp:inline distT="0" distB="0" distL="0" distR="0" wp14:anchorId="34EE6EE4" wp14:editId="3A20E4CA">
            <wp:extent cx="5943600" cy="2259330"/>
            <wp:effectExtent l="0" t="0" r="0" b="7620"/>
            <wp:docPr id="11503635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259330"/>
                    </a:xfrm>
                    <a:prstGeom prst="rect">
                      <a:avLst/>
                    </a:prstGeom>
                    <a:noFill/>
                    <a:ln>
                      <a:noFill/>
                    </a:ln>
                  </pic:spPr>
                </pic:pic>
              </a:graphicData>
            </a:graphic>
          </wp:inline>
        </w:drawing>
      </w:r>
    </w:p>
    <w:p w14:paraId="506707CF" w14:textId="77777777" w:rsidR="00040F6A" w:rsidRPr="00040F6A" w:rsidRDefault="00040F6A" w:rsidP="00040F6A">
      <w:pPr>
        <w:spacing w:beforeLines="50" w:before="156" w:afterLines="50" w:after="156" w:line="480" w:lineRule="auto"/>
        <w:rPr>
          <w:sz w:val="21"/>
          <w:szCs w:val="21"/>
        </w:rPr>
      </w:pPr>
      <w:r w:rsidRPr="00040F6A">
        <w:rPr>
          <w:b/>
          <w:sz w:val="21"/>
          <w:szCs w:val="21"/>
        </w:rPr>
        <w:t xml:space="preserve">Fig. S3. </w:t>
      </w:r>
      <w:proofErr w:type="spellStart"/>
      <w:r w:rsidRPr="00040F6A">
        <w:rPr>
          <w:b/>
          <w:sz w:val="21"/>
          <w:szCs w:val="21"/>
        </w:rPr>
        <w:t>sGC</w:t>
      </w:r>
      <w:proofErr w:type="spellEnd"/>
      <w:r w:rsidRPr="00040F6A">
        <w:rPr>
          <w:b/>
          <w:sz w:val="21"/>
          <w:szCs w:val="21"/>
        </w:rPr>
        <w:t>α1 specifically associates with SERT–IL4.</w:t>
      </w:r>
      <w:r w:rsidRPr="00040F6A">
        <w:rPr>
          <w:sz w:val="21"/>
          <w:szCs w:val="21"/>
        </w:rPr>
        <w:t xml:space="preserve"> Immunoblot analysis of elutes from glutathione affinity beads after incubation with GST–fused SERT internal fragments and </w:t>
      </w:r>
      <w:proofErr w:type="spellStart"/>
      <w:r w:rsidRPr="00040F6A">
        <w:rPr>
          <w:sz w:val="21"/>
          <w:szCs w:val="21"/>
        </w:rPr>
        <w:t>sGC</w:t>
      </w:r>
      <w:proofErr w:type="spellEnd"/>
      <w:r w:rsidRPr="00040F6A">
        <w:rPr>
          <w:sz w:val="21"/>
          <w:szCs w:val="21"/>
        </w:rPr>
        <w:t>α1 was performed using anti–</w:t>
      </w:r>
      <w:proofErr w:type="spellStart"/>
      <w:r w:rsidRPr="00040F6A">
        <w:rPr>
          <w:sz w:val="21"/>
          <w:szCs w:val="21"/>
        </w:rPr>
        <w:t>sGC</w:t>
      </w:r>
      <w:proofErr w:type="spellEnd"/>
      <w:r w:rsidRPr="00040F6A">
        <w:rPr>
          <w:sz w:val="21"/>
          <w:szCs w:val="21"/>
        </w:rPr>
        <w:t>α1 (</w:t>
      </w:r>
      <w:r w:rsidRPr="00040F6A">
        <w:rPr>
          <w:i/>
          <w:sz w:val="21"/>
          <w:szCs w:val="21"/>
        </w:rPr>
        <w:t>upper</w:t>
      </w:r>
      <w:r w:rsidRPr="00040F6A">
        <w:rPr>
          <w:sz w:val="21"/>
          <w:szCs w:val="21"/>
        </w:rPr>
        <w:t>) or anti–GST antibody (</w:t>
      </w:r>
      <w:r w:rsidRPr="00040F6A">
        <w:rPr>
          <w:i/>
          <w:sz w:val="21"/>
          <w:szCs w:val="21"/>
        </w:rPr>
        <w:t>lower</w:t>
      </w:r>
      <w:r w:rsidRPr="00040F6A">
        <w:rPr>
          <w:sz w:val="21"/>
          <w:szCs w:val="21"/>
        </w:rPr>
        <w:t xml:space="preserve">). Ctrl, control with </w:t>
      </w:r>
      <w:r w:rsidRPr="00040F6A">
        <w:rPr>
          <w:i/>
          <w:sz w:val="21"/>
          <w:szCs w:val="21"/>
        </w:rPr>
        <w:t xml:space="preserve">E. coli </w:t>
      </w:r>
      <w:r w:rsidRPr="00040F6A">
        <w:rPr>
          <w:sz w:val="21"/>
          <w:szCs w:val="21"/>
        </w:rPr>
        <w:t xml:space="preserve">cells without transformation. Blots were representatives of three independent experiments. </w:t>
      </w:r>
    </w:p>
    <w:p w14:paraId="1BA37FEB" w14:textId="77777777" w:rsidR="00040F6A" w:rsidRPr="003220D4" w:rsidRDefault="00040F6A" w:rsidP="00040F6A">
      <w:pPr>
        <w:pStyle w:val="SMcaption"/>
        <w:spacing w:beforeLines="50" w:before="156" w:afterLines="50" w:after="156" w:line="480" w:lineRule="auto"/>
      </w:pPr>
    </w:p>
    <w:p w14:paraId="6A6F2D8A" w14:textId="77777777" w:rsidR="00040F6A" w:rsidRPr="003220D4" w:rsidRDefault="00040F6A" w:rsidP="00040F6A">
      <w:pPr>
        <w:pStyle w:val="SMcaption"/>
        <w:spacing w:beforeLines="50" w:before="156" w:afterLines="50" w:after="156" w:line="480" w:lineRule="auto"/>
      </w:pPr>
    </w:p>
    <w:p w14:paraId="4632F8CD" w14:textId="77777777" w:rsidR="00040F6A" w:rsidRPr="003220D4" w:rsidRDefault="00040F6A" w:rsidP="00040F6A">
      <w:pPr>
        <w:pStyle w:val="SMcaption"/>
        <w:spacing w:beforeLines="50" w:before="156" w:afterLines="50" w:after="156" w:line="480" w:lineRule="auto"/>
      </w:pPr>
    </w:p>
    <w:p w14:paraId="2C7F9901" w14:textId="77777777" w:rsidR="00040F6A" w:rsidRPr="003220D4" w:rsidRDefault="00040F6A" w:rsidP="00040F6A">
      <w:pPr>
        <w:pStyle w:val="SMcaption"/>
        <w:spacing w:beforeLines="50" w:before="156" w:afterLines="50" w:after="156" w:line="480" w:lineRule="auto"/>
      </w:pPr>
    </w:p>
    <w:p w14:paraId="361D8E9C" w14:textId="77777777" w:rsidR="00040F6A" w:rsidRPr="003220D4" w:rsidRDefault="00040F6A" w:rsidP="00040F6A">
      <w:pPr>
        <w:pStyle w:val="SMcaption"/>
        <w:spacing w:beforeLines="50" w:before="156" w:afterLines="50" w:after="156" w:line="480" w:lineRule="auto"/>
      </w:pPr>
    </w:p>
    <w:p w14:paraId="26F4C8F2" w14:textId="77777777" w:rsidR="00040F6A" w:rsidRPr="003220D4" w:rsidRDefault="00040F6A" w:rsidP="00040F6A">
      <w:pPr>
        <w:pStyle w:val="SMcaption"/>
        <w:spacing w:beforeLines="50" w:before="156" w:afterLines="50" w:after="156" w:line="480" w:lineRule="auto"/>
      </w:pPr>
    </w:p>
    <w:p w14:paraId="17CDB054" w14:textId="77777777" w:rsidR="00040F6A" w:rsidRPr="003220D4" w:rsidRDefault="00040F6A" w:rsidP="00040F6A">
      <w:pPr>
        <w:pStyle w:val="SMcaption"/>
        <w:spacing w:beforeLines="50" w:before="156" w:afterLines="50" w:after="156" w:line="480" w:lineRule="auto"/>
      </w:pPr>
    </w:p>
    <w:p w14:paraId="48F233C6" w14:textId="77777777" w:rsidR="00040F6A" w:rsidRPr="003220D4" w:rsidRDefault="00040F6A" w:rsidP="00040F6A">
      <w:pPr>
        <w:pStyle w:val="SMcaption"/>
        <w:spacing w:beforeLines="50" w:before="156" w:afterLines="50" w:after="156" w:line="480" w:lineRule="auto"/>
      </w:pPr>
    </w:p>
    <w:p w14:paraId="0EB901AF" w14:textId="77777777" w:rsidR="00040F6A" w:rsidRPr="003220D4" w:rsidRDefault="00040F6A" w:rsidP="00040F6A">
      <w:pPr>
        <w:pStyle w:val="SMcaption"/>
        <w:spacing w:beforeLines="50" w:before="156" w:afterLines="50" w:after="156" w:line="480" w:lineRule="auto"/>
      </w:pPr>
    </w:p>
    <w:p w14:paraId="17AABA6A" w14:textId="09D47215" w:rsidR="00040F6A" w:rsidRPr="003220D4" w:rsidRDefault="00040F6A" w:rsidP="00040F6A">
      <w:pPr>
        <w:pStyle w:val="SMcaption"/>
        <w:spacing w:beforeLines="50" w:before="156" w:afterLines="50" w:after="156" w:line="480" w:lineRule="auto"/>
        <w:rPr>
          <w:lang w:eastAsia="zh-CN"/>
        </w:rPr>
      </w:pPr>
      <w:r>
        <w:rPr>
          <w:noProof/>
        </w:rPr>
        <w:lastRenderedPageBreak/>
        <w:drawing>
          <wp:inline distT="0" distB="0" distL="0" distR="0" wp14:anchorId="7044FDED" wp14:editId="0502810B">
            <wp:extent cx="5274310" cy="3597910"/>
            <wp:effectExtent l="0" t="0" r="2540" b="2540"/>
            <wp:docPr id="2062376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597910"/>
                    </a:xfrm>
                    <a:prstGeom prst="rect">
                      <a:avLst/>
                    </a:prstGeom>
                    <a:noFill/>
                    <a:ln>
                      <a:noFill/>
                    </a:ln>
                  </pic:spPr>
                </pic:pic>
              </a:graphicData>
            </a:graphic>
          </wp:inline>
        </w:drawing>
      </w:r>
    </w:p>
    <w:p w14:paraId="0BBE2C1C" w14:textId="77777777" w:rsidR="00040F6A" w:rsidRPr="00040F6A" w:rsidRDefault="00040F6A" w:rsidP="00040F6A">
      <w:pPr>
        <w:pStyle w:val="SMcaption"/>
        <w:spacing w:beforeLines="50" w:before="156" w:afterLines="50" w:after="156" w:line="480" w:lineRule="auto"/>
        <w:rPr>
          <w:noProof/>
          <w:sz w:val="21"/>
          <w:szCs w:val="21"/>
        </w:rPr>
      </w:pPr>
      <w:r w:rsidRPr="00040F6A">
        <w:rPr>
          <w:b/>
          <w:sz w:val="21"/>
          <w:szCs w:val="21"/>
        </w:rPr>
        <w:t xml:space="preserve">Fig. S4. Effects of </w:t>
      </w:r>
      <w:proofErr w:type="spellStart"/>
      <w:r w:rsidRPr="00040F6A">
        <w:rPr>
          <w:b/>
          <w:sz w:val="21"/>
          <w:szCs w:val="21"/>
        </w:rPr>
        <w:t>sGC</w:t>
      </w:r>
      <w:proofErr w:type="spellEnd"/>
      <w:r w:rsidRPr="00040F6A">
        <w:rPr>
          <w:b/>
          <w:sz w:val="21"/>
          <w:szCs w:val="21"/>
        </w:rPr>
        <w:t xml:space="preserve">β1 co–expression on kinetic parameters of SERT WT, H456A and W458A mutants. </w:t>
      </w:r>
      <w:r w:rsidRPr="00040F6A">
        <w:rPr>
          <w:sz w:val="21"/>
          <w:szCs w:val="21"/>
        </w:rPr>
        <w:t xml:space="preserve">HeLa cells were transiently co–transfected with a plasmid encoding SERT WT, H456A, or W458A and an empty vector or a plasmid encoding </w:t>
      </w:r>
      <w:proofErr w:type="spellStart"/>
      <w:r w:rsidRPr="00040F6A">
        <w:rPr>
          <w:sz w:val="21"/>
          <w:szCs w:val="21"/>
        </w:rPr>
        <w:t>sGC</w:t>
      </w:r>
      <w:proofErr w:type="spellEnd"/>
      <w:r w:rsidRPr="00040F6A">
        <w:rPr>
          <w:sz w:val="21"/>
          <w:szCs w:val="21"/>
        </w:rPr>
        <w:t xml:space="preserve">β1 </w:t>
      </w:r>
      <w:r w:rsidRPr="00040F6A">
        <w:rPr>
          <w:b/>
          <w:sz w:val="21"/>
          <w:szCs w:val="21"/>
        </w:rPr>
        <w:t>(A, B, C)</w:t>
      </w:r>
      <w:r w:rsidRPr="00040F6A">
        <w:rPr>
          <w:sz w:val="21"/>
          <w:szCs w:val="21"/>
        </w:rPr>
        <w:t xml:space="preserve"> and grown to full conference in 96–well plates. Transport assay was performed by incubating the cells with a range of 5–HT concentrations (0–5 </w:t>
      </w:r>
      <w:proofErr w:type="spellStart"/>
      <w:r w:rsidRPr="00040F6A">
        <w:rPr>
          <w:sz w:val="21"/>
          <w:szCs w:val="21"/>
        </w:rPr>
        <w:t>μM</w:t>
      </w:r>
      <w:proofErr w:type="spellEnd"/>
      <w:r w:rsidRPr="00040F6A">
        <w:rPr>
          <w:sz w:val="21"/>
          <w:szCs w:val="21"/>
        </w:rPr>
        <w:t xml:space="preserve">) at 22 </w:t>
      </w:r>
      <w:r w:rsidRPr="00040F6A">
        <w:rPr>
          <w:rFonts w:eastAsia="等线"/>
          <w:sz w:val="21"/>
          <w:szCs w:val="21"/>
        </w:rPr>
        <w:t>°</w:t>
      </w:r>
      <w:r w:rsidRPr="00040F6A">
        <w:rPr>
          <w:sz w:val="21"/>
          <w:szCs w:val="21"/>
        </w:rPr>
        <w:t xml:space="preserve">C for 10 min and accumulated 5–HT in the cells was measured by a scintillation counter. The graphs show representative experiments with triplicate measurements. The </w:t>
      </w:r>
      <w:r w:rsidRPr="00040F6A">
        <w:rPr>
          <w:i/>
          <w:sz w:val="21"/>
          <w:szCs w:val="21"/>
        </w:rPr>
        <w:t>K</w:t>
      </w:r>
      <w:r w:rsidRPr="00040F6A">
        <w:rPr>
          <w:i/>
          <w:sz w:val="21"/>
          <w:szCs w:val="21"/>
          <w:vertAlign w:val="subscript"/>
        </w:rPr>
        <w:t>m</w:t>
      </w:r>
      <w:r w:rsidRPr="00040F6A">
        <w:rPr>
          <w:sz w:val="21"/>
          <w:szCs w:val="21"/>
        </w:rPr>
        <w:t xml:space="preserve"> and </w:t>
      </w:r>
      <w:r w:rsidRPr="00040F6A">
        <w:rPr>
          <w:i/>
          <w:sz w:val="21"/>
          <w:szCs w:val="21"/>
        </w:rPr>
        <w:t>V</w:t>
      </w:r>
      <w:r w:rsidRPr="00040F6A">
        <w:rPr>
          <w:i/>
          <w:sz w:val="21"/>
          <w:szCs w:val="21"/>
          <w:vertAlign w:val="subscript"/>
        </w:rPr>
        <w:t>max</w:t>
      </w:r>
      <w:r w:rsidRPr="00040F6A">
        <w:rPr>
          <w:sz w:val="21"/>
          <w:szCs w:val="21"/>
        </w:rPr>
        <w:t xml:space="preserve"> values in </w:t>
      </w:r>
      <w:r w:rsidRPr="00040F6A">
        <w:rPr>
          <w:b/>
          <w:sz w:val="21"/>
          <w:szCs w:val="21"/>
        </w:rPr>
        <w:t>(D)</w:t>
      </w:r>
      <w:r w:rsidRPr="00040F6A">
        <w:rPr>
          <w:sz w:val="21"/>
          <w:szCs w:val="21"/>
        </w:rPr>
        <w:t xml:space="preserve"> represent mean ± SEM (</w:t>
      </w:r>
      <w:r w:rsidRPr="00040F6A">
        <w:rPr>
          <w:i/>
          <w:sz w:val="21"/>
          <w:szCs w:val="21"/>
        </w:rPr>
        <w:t>n</w:t>
      </w:r>
      <w:r w:rsidRPr="00040F6A">
        <w:rPr>
          <w:sz w:val="21"/>
          <w:szCs w:val="21"/>
        </w:rPr>
        <w:t xml:space="preserve"> = 3). **</w:t>
      </w:r>
      <w:r w:rsidRPr="00040F6A">
        <w:rPr>
          <w:i/>
          <w:sz w:val="21"/>
          <w:szCs w:val="21"/>
        </w:rPr>
        <w:t>p</w:t>
      </w:r>
      <w:r w:rsidRPr="00040F6A">
        <w:rPr>
          <w:sz w:val="21"/>
          <w:szCs w:val="21"/>
        </w:rPr>
        <w:t xml:space="preserve"> &lt; 0.01, compared to the </w:t>
      </w:r>
      <w:r w:rsidRPr="00040F6A">
        <w:rPr>
          <w:i/>
          <w:sz w:val="21"/>
          <w:szCs w:val="21"/>
        </w:rPr>
        <w:t>V</w:t>
      </w:r>
      <w:r w:rsidRPr="00040F6A">
        <w:rPr>
          <w:i/>
          <w:sz w:val="21"/>
          <w:szCs w:val="21"/>
          <w:vertAlign w:val="subscript"/>
        </w:rPr>
        <w:t>max</w:t>
      </w:r>
      <w:r w:rsidRPr="00040F6A">
        <w:rPr>
          <w:sz w:val="21"/>
          <w:szCs w:val="21"/>
        </w:rPr>
        <w:t xml:space="preserve"> value for SERT WT without co–expression with </w:t>
      </w:r>
      <w:proofErr w:type="spellStart"/>
      <w:r w:rsidRPr="00040F6A">
        <w:rPr>
          <w:sz w:val="21"/>
          <w:szCs w:val="21"/>
        </w:rPr>
        <w:t>sGC</w:t>
      </w:r>
      <w:proofErr w:type="spellEnd"/>
      <w:r w:rsidRPr="00040F6A">
        <w:rPr>
          <w:sz w:val="21"/>
          <w:szCs w:val="21"/>
        </w:rPr>
        <w:t xml:space="preserve">β1. </w:t>
      </w:r>
    </w:p>
    <w:p w14:paraId="19AED91C" w14:textId="77777777" w:rsidR="00040F6A" w:rsidRPr="003220D4" w:rsidRDefault="00040F6A" w:rsidP="00040F6A">
      <w:pPr>
        <w:pStyle w:val="SMcaption"/>
        <w:spacing w:beforeLines="50" w:before="156" w:afterLines="50" w:after="156" w:line="480" w:lineRule="auto"/>
      </w:pPr>
    </w:p>
    <w:p w14:paraId="63CBBDB8" w14:textId="77777777" w:rsidR="00040F6A" w:rsidRPr="003220D4" w:rsidRDefault="00040F6A" w:rsidP="00040F6A">
      <w:pPr>
        <w:pStyle w:val="SMcaption"/>
        <w:spacing w:beforeLines="50" w:before="156" w:afterLines="50" w:after="156" w:line="480" w:lineRule="auto"/>
      </w:pPr>
    </w:p>
    <w:p w14:paraId="1A3A1EAD" w14:textId="77777777" w:rsidR="00040F6A" w:rsidRPr="003220D4" w:rsidRDefault="00040F6A" w:rsidP="00040F6A">
      <w:pPr>
        <w:pStyle w:val="SMcaption"/>
        <w:spacing w:beforeLines="50" w:before="156" w:afterLines="50" w:after="156" w:line="480" w:lineRule="auto"/>
      </w:pPr>
    </w:p>
    <w:p w14:paraId="6A3FBCE5" w14:textId="4ED3AAD6" w:rsidR="00040F6A" w:rsidRPr="003220D4" w:rsidRDefault="00040F6A" w:rsidP="00040F6A">
      <w:pPr>
        <w:pStyle w:val="SMcaption"/>
        <w:spacing w:beforeLines="50" w:before="156" w:afterLines="50" w:after="156" w:line="480" w:lineRule="auto"/>
        <w:rPr>
          <w:lang w:eastAsia="zh-CN"/>
        </w:rPr>
      </w:pPr>
      <w:r>
        <w:rPr>
          <w:noProof/>
        </w:rPr>
        <w:lastRenderedPageBreak/>
        <w:drawing>
          <wp:inline distT="0" distB="0" distL="0" distR="0" wp14:anchorId="2154C128" wp14:editId="25FD646D">
            <wp:extent cx="3686175" cy="4552950"/>
            <wp:effectExtent l="0" t="0" r="9525" b="0"/>
            <wp:docPr id="14374240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6175" cy="4552950"/>
                    </a:xfrm>
                    <a:prstGeom prst="rect">
                      <a:avLst/>
                    </a:prstGeom>
                    <a:noFill/>
                    <a:ln>
                      <a:noFill/>
                    </a:ln>
                  </pic:spPr>
                </pic:pic>
              </a:graphicData>
            </a:graphic>
          </wp:inline>
        </w:drawing>
      </w:r>
    </w:p>
    <w:p w14:paraId="2A3E9959" w14:textId="77777777" w:rsidR="00040F6A" w:rsidRPr="00040F6A" w:rsidRDefault="00040F6A" w:rsidP="00040F6A">
      <w:pPr>
        <w:spacing w:beforeLines="50" w:before="156" w:afterLines="50" w:after="156" w:line="480" w:lineRule="auto"/>
        <w:rPr>
          <w:sz w:val="21"/>
          <w:szCs w:val="21"/>
        </w:rPr>
      </w:pPr>
      <w:r w:rsidRPr="00040F6A">
        <w:rPr>
          <w:b/>
          <w:sz w:val="21"/>
          <w:szCs w:val="21"/>
        </w:rPr>
        <w:t xml:space="preserve">Fig. S5. Effect of Tat–IL4 displacement on 5–HT uptake. </w:t>
      </w:r>
      <w:r w:rsidRPr="00040F6A">
        <w:rPr>
          <w:sz w:val="21"/>
          <w:szCs w:val="21"/>
        </w:rPr>
        <w:t xml:space="preserve">HeLa–SERT stable cells were transiently transfected with or without a plasmid encoding </w:t>
      </w:r>
      <w:proofErr w:type="spellStart"/>
      <w:r w:rsidRPr="00040F6A">
        <w:rPr>
          <w:sz w:val="21"/>
          <w:szCs w:val="21"/>
        </w:rPr>
        <w:t>sGC</w:t>
      </w:r>
      <w:proofErr w:type="spellEnd"/>
      <w:r w:rsidRPr="00040F6A">
        <w:rPr>
          <w:sz w:val="21"/>
          <w:szCs w:val="21"/>
        </w:rPr>
        <w:t xml:space="preserve">β1 and incubated with 1 </w:t>
      </w:r>
      <w:proofErr w:type="spellStart"/>
      <w:r w:rsidRPr="00040F6A">
        <w:rPr>
          <w:sz w:val="21"/>
          <w:szCs w:val="21"/>
        </w:rPr>
        <w:t>μM</w:t>
      </w:r>
      <w:proofErr w:type="spellEnd"/>
      <w:r w:rsidRPr="00040F6A">
        <w:rPr>
          <w:sz w:val="21"/>
          <w:szCs w:val="21"/>
        </w:rPr>
        <w:t xml:space="preserve"> Tat–IL4 at 37 </w:t>
      </w:r>
      <w:r w:rsidRPr="00040F6A">
        <w:rPr>
          <w:rFonts w:eastAsia="等线"/>
          <w:sz w:val="21"/>
          <w:szCs w:val="21"/>
        </w:rPr>
        <w:t>°</w:t>
      </w:r>
      <w:r w:rsidRPr="00040F6A">
        <w:rPr>
          <w:sz w:val="21"/>
          <w:szCs w:val="21"/>
        </w:rPr>
        <w:t xml:space="preserve">C for 3 hours. Transport assay was initiated by adding 20 </w:t>
      </w:r>
      <w:proofErr w:type="spellStart"/>
      <w:r w:rsidRPr="00040F6A">
        <w:rPr>
          <w:sz w:val="21"/>
          <w:szCs w:val="21"/>
        </w:rPr>
        <w:t>nM</w:t>
      </w:r>
      <w:proofErr w:type="spellEnd"/>
      <w:r w:rsidRPr="00040F6A">
        <w:rPr>
          <w:sz w:val="21"/>
          <w:szCs w:val="21"/>
        </w:rPr>
        <w:t xml:space="preserve"> [</w:t>
      </w:r>
      <w:r w:rsidRPr="00040F6A">
        <w:rPr>
          <w:sz w:val="21"/>
          <w:szCs w:val="21"/>
          <w:vertAlign w:val="superscript"/>
        </w:rPr>
        <w:t>3</w:t>
      </w:r>
      <w:r w:rsidRPr="00040F6A">
        <w:rPr>
          <w:sz w:val="21"/>
          <w:szCs w:val="21"/>
        </w:rPr>
        <w:t xml:space="preserve">H]5–HT and incubating at 22 </w:t>
      </w:r>
      <w:r w:rsidRPr="00040F6A">
        <w:rPr>
          <w:rFonts w:eastAsia="宋体"/>
          <w:sz w:val="21"/>
          <w:szCs w:val="21"/>
        </w:rPr>
        <w:t>°</w:t>
      </w:r>
      <w:r w:rsidRPr="00040F6A">
        <w:rPr>
          <w:sz w:val="21"/>
          <w:szCs w:val="21"/>
        </w:rPr>
        <w:t xml:space="preserve">C for 10 min. Ctrl, control cells without </w:t>
      </w:r>
      <w:proofErr w:type="spellStart"/>
      <w:r w:rsidRPr="00040F6A">
        <w:rPr>
          <w:sz w:val="21"/>
          <w:szCs w:val="21"/>
        </w:rPr>
        <w:t>sGC</w:t>
      </w:r>
      <w:proofErr w:type="spellEnd"/>
      <w:r w:rsidRPr="00040F6A">
        <w:rPr>
          <w:sz w:val="21"/>
          <w:szCs w:val="21"/>
        </w:rPr>
        <w:t>β1 transfection. Error bars represent the mean ± SEM (</w:t>
      </w:r>
      <w:r w:rsidRPr="00040F6A">
        <w:rPr>
          <w:i/>
          <w:sz w:val="21"/>
          <w:szCs w:val="21"/>
        </w:rPr>
        <w:t xml:space="preserve">n </w:t>
      </w:r>
      <w:r w:rsidRPr="00040F6A">
        <w:rPr>
          <w:sz w:val="21"/>
          <w:szCs w:val="21"/>
        </w:rPr>
        <w:t>= 3). ***</w:t>
      </w:r>
      <w:r w:rsidRPr="00040F6A">
        <w:rPr>
          <w:i/>
          <w:sz w:val="21"/>
          <w:szCs w:val="21"/>
        </w:rPr>
        <w:t xml:space="preserve">p </w:t>
      </w:r>
      <w:r w:rsidRPr="00040F6A">
        <w:rPr>
          <w:sz w:val="21"/>
          <w:szCs w:val="21"/>
        </w:rPr>
        <w:t xml:space="preserve">&lt; 0.001. </w:t>
      </w:r>
    </w:p>
    <w:p w14:paraId="3E8DC459" w14:textId="77777777" w:rsidR="00040F6A" w:rsidRPr="003220D4" w:rsidRDefault="00040F6A" w:rsidP="00040F6A">
      <w:pPr>
        <w:pStyle w:val="SMcaption"/>
        <w:spacing w:beforeLines="50" w:before="156" w:afterLines="50" w:after="156" w:line="480" w:lineRule="auto"/>
      </w:pPr>
    </w:p>
    <w:p w14:paraId="5FB25C14" w14:textId="77777777" w:rsidR="00040F6A" w:rsidRPr="003220D4" w:rsidRDefault="00040F6A" w:rsidP="00040F6A">
      <w:pPr>
        <w:pStyle w:val="SMcaption"/>
        <w:spacing w:beforeLines="50" w:before="156" w:afterLines="50" w:after="156" w:line="480" w:lineRule="auto"/>
      </w:pPr>
    </w:p>
    <w:p w14:paraId="58834B9F" w14:textId="77777777" w:rsidR="00040F6A" w:rsidRPr="003220D4" w:rsidRDefault="00040F6A" w:rsidP="00040F6A">
      <w:pPr>
        <w:pStyle w:val="SMcaption"/>
        <w:spacing w:beforeLines="50" w:before="156" w:afterLines="50" w:after="156" w:line="480" w:lineRule="auto"/>
      </w:pPr>
    </w:p>
    <w:p w14:paraId="3FF9033B" w14:textId="77777777" w:rsidR="00040F6A" w:rsidRPr="003220D4" w:rsidRDefault="00040F6A" w:rsidP="00040F6A">
      <w:pPr>
        <w:pStyle w:val="SMcaption"/>
        <w:spacing w:beforeLines="50" w:before="156" w:afterLines="50" w:after="156" w:line="480" w:lineRule="auto"/>
      </w:pPr>
    </w:p>
    <w:p w14:paraId="17A9E07C" w14:textId="41F0992D" w:rsidR="00040F6A" w:rsidRPr="003220D4" w:rsidRDefault="00040F6A" w:rsidP="00040F6A">
      <w:pPr>
        <w:pStyle w:val="SMcaption"/>
        <w:spacing w:beforeLines="50" w:before="156" w:afterLines="50" w:after="156" w:line="480" w:lineRule="auto"/>
      </w:pPr>
      <w:r>
        <w:rPr>
          <w:noProof/>
        </w:rPr>
        <w:lastRenderedPageBreak/>
        <w:drawing>
          <wp:inline distT="0" distB="0" distL="0" distR="0" wp14:anchorId="621C80B4" wp14:editId="234B9770">
            <wp:extent cx="5274310" cy="2337435"/>
            <wp:effectExtent l="0" t="0" r="2540" b="5715"/>
            <wp:docPr id="12056376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337435"/>
                    </a:xfrm>
                    <a:prstGeom prst="rect">
                      <a:avLst/>
                    </a:prstGeom>
                    <a:noFill/>
                    <a:ln>
                      <a:noFill/>
                    </a:ln>
                  </pic:spPr>
                </pic:pic>
              </a:graphicData>
            </a:graphic>
          </wp:inline>
        </w:drawing>
      </w:r>
    </w:p>
    <w:p w14:paraId="155D5626" w14:textId="4DE376AC" w:rsidR="00040F6A" w:rsidRPr="00040F6A" w:rsidRDefault="00040F6A" w:rsidP="00040F6A">
      <w:pPr>
        <w:spacing w:beforeLines="50" w:before="156" w:afterLines="50" w:after="156" w:line="480" w:lineRule="auto"/>
        <w:rPr>
          <w:sz w:val="21"/>
          <w:szCs w:val="21"/>
        </w:rPr>
      </w:pPr>
      <w:r w:rsidRPr="00040F6A">
        <w:rPr>
          <w:b/>
          <w:sz w:val="21"/>
          <w:szCs w:val="21"/>
        </w:rPr>
        <w:t xml:space="preserve">Fig. S6. Effects of administration of a control peptide (Tat–8A) on animal behaviors. </w:t>
      </w:r>
      <w:r w:rsidRPr="00040F6A">
        <w:rPr>
          <w:sz w:val="21"/>
          <w:szCs w:val="21"/>
        </w:rPr>
        <w:t>Mice were exposed to a CUMS procedure for 4 weeks and their behaviors were evaluated by SST, FST, and TST 2 hours after a single injection of saline or Tat–8A, respectively. *</w:t>
      </w:r>
      <w:r w:rsidRPr="00040F6A">
        <w:rPr>
          <w:i/>
          <w:sz w:val="21"/>
          <w:szCs w:val="21"/>
        </w:rPr>
        <w:t>p</w:t>
      </w:r>
      <w:r w:rsidRPr="00040F6A">
        <w:rPr>
          <w:sz w:val="21"/>
          <w:szCs w:val="21"/>
        </w:rPr>
        <w:t xml:space="preserve"> &lt; 0.05; **</w:t>
      </w:r>
      <w:r w:rsidRPr="00040F6A">
        <w:rPr>
          <w:i/>
          <w:sz w:val="21"/>
          <w:szCs w:val="21"/>
        </w:rPr>
        <w:t>p</w:t>
      </w:r>
      <w:r w:rsidRPr="00040F6A">
        <w:rPr>
          <w:sz w:val="21"/>
          <w:szCs w:val="21"/>
        </w:rPr>
        <w:t xml:space="preserve"> &lt; 0.01; ns, not significant (</w:t>
      </w:r>
      <w:r w:rsidRPr="00040F6A">
        <w:rPr>
          <w:i/>
          <w:sz w:val="21"/>
          <w:szCs w:val="21"/>
        </w:rPr>
        <w:t>n</w:t>
      </w:r>
      <w:r w:rsidRPr="00040F6A">
        <w:rPr>
          <w:sz w:val="21"/>
          <w:szCs w:val="21"/>
        </w:rPr>
        <w:t xml:space="preserve"> =12).  </w:t>
      </w:r>
    </w:p>
    <w:p w14:paraId="7DFCB4A6" w14:textId="77777777" w:rsidR="00040F6A" w:rsidRPr="003220D4" w:rsidRDefault="00040F6A" w:rsidP="00040F6A">
      <w:pPr>
        <w:pStyle w:val="SMcaption"/>
        <w:spacing w:beforeLines="50" w:before="156" w:afterLines="50" w:after="156" w:line="480" w:lineRule="auto"/>
      </w:pPr>
    </w:p>
    <w:p w14:paraId="62AB3239" w14:textId="77777777" w:rsidR="00040F6A" w:rsidRPr="003220D4" w:rsidRDefault="00040F6A" w:rsidP="00040F6A">
      <w:pPr>
        <w:pStyle w:val="SMcaption"/>
        <w:spacing w:beforeLines="50" w:before="156" w:afterLines="50" w:after="156" w:line="480" w:lineRule="auto"/>
      </w:pPr>
    </w:p>
    <w:p w14:paraId="5CB2A087" w14:textId="77777777" w:rsidR="00040F6A" w:rsidRPr="003220D4" w:rsidRDefault="00040F6A" w:rsidP="00040F6A">
      <w:pPr>
        <w:pStyle w:val="SMcaption"/>
        <w:spacing w:beforeLines="50" w:before="156" w:afterLines="50" w:after="156" w:line="480" w:lineRule="auto"/>
      </w:pPr>
    </w:p>
    <w:p w14:paraId="4BC5437E" w14:textId="77777777" w:rsidR="00040F6A" w:rsidRDefault="00040F6A" w:rsidP="00040F6A">
      <w:pPr>
        <w:pStyle w:val="SMcaption"/>
        <w:spacing w:beforeLines="50" w:before="156" w:afterLines="50" w:after="156" w:line="480" w:lineRule="auto"/>
        <w:rPr>
          <w:lang w:eastAsia="zh-CN"/>
        </w:rPr>
      </w:pPr>
    </w:p>
    <w:p w14:paraId="67495D7C" w14:textId="77777777" w:rsidR="00040F6A" w:rsidRPr="003220D4" w:rsidRDefault="00040F6A" w:rsidP="00040F6A">
      <w:pPr>
        <w:pStyle w:val="SMcaption"/>
        <w:spacing w:beforeLines="50" w:before="156" w:afterLines="50" w:after="156" w:line="480" w:lineRule="auto"/>
        <w:rPr>
          <w:lang w:eastAsia="zh-CN"/>
        </w:rPr>
      </w:pPr>
    </w:p>
    <w:p w14:paraId="1F453070" w14:textId="77777777" w:rsidR="00040F6A" w:rsidRPr="003220D4" w:rsidRDefault="00040F6A" w:rsidP="00040F6A">
      <w:pPr>
        <w:pStyle w:val="SMcaption"/>
        <w:spacing w:beforeLines="50" w:before="156" w:afterLines="50" w:after="156" w:line="480" w:lineRule="auto"/>
      </w:pPr>
    </w:p>
    <w:p w14:paraId="3C5FF9F3" w14:textId="77777777" w:rsidR="00040F6A" w:rsidRPr="003220D4" w:rsidRDefault="00040F6A" w:rsidP="00040F6A">
      <w:pPr>
        <w:pStyle w:val="SMcaption"/>
        <w:spacing w:beforeLines="50" w:before="156" w:afterLines="50" w:after="156" w:line="480" w:lineRule="auto"/>
      </w:pPr>
    </w:p>
    <w:p w14:paraId="4904C122" w14:textId="77777777" w:rsidR="00040F6A" w:rsidRPr="003220D4" w:rsidRDefault="00040F6A" w:rsidP="00040F6A">
      <w:pPr>
        <w:pStyle w:val="SMcaption"/>
        <w:spacing w:beforeLines="50" w:before="156" w:afterLines="50" w:after="156" w:line="480" w:lineRule="auto"/>
      </w:pPr>
    </w:p>
    <w:p w14:paraId="567217BB" w14:textId="77777777" w:rsidR="00040F6A" w:rsidRPr="003220D4" w:rsidRDefault="00040F6A" w:rsidP="00040F6A">
      <w:pPr>
        <w:pStyle w:val="SMcaption"/>
        <w:spacing w:beforeLines="50" w:before="156" w:afterLines="50" w:after="156" w:line="480" w:lineRule="auto"/>
      </w:pPr>
    </w:p>
    <w:p w14:paraId="72054DBA" w14:textId="7A70B264" w:rsidR="00040F6A" w:rsidRPr="003220D4" w:rsidRDefault="00040F6A" w:rsidP="00040F6A">
      <w:pPr>
        <w:pStyle w:val="SMcaption"/>
        <w:spacing w:beforeLines="50" w:before="156" w:afterLines="50" w:after="156" w:line="480" w:lineRule="auto"/>
        <w:rPr>
          <w:noProof/>
        </w:rPr>
      </w:pPr>
      <w:r>
        <w:rPr>
          <w:noProof/>
        </w:rPr>
        <w:lastRenderedPageBreak/>
        <w:drawing>
          <wp:inline distT="0" distB="0" distL="0" distR="0" wp14:anchorId="54DF1A43" wp14:editId="412AD574">
            <wp:extent cx="5274310" cy="4210685"/>
            <wp:effectExtent l="0" t="0" r="2540" b="0"/>
            <wp:docPr id="9163465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4210685"/>
                    </a:xfrm>
                    <a:prstGeom prst="rect">
                      <a:avLst/>
                    </a:prstGeom>
                    <a:noFill/>
                    <a:ln>
                      <a:noFill/>
                    </a:ln>
                  </pic:spPr>
                </pic:pic>
              </a:graphicData>
            </a:graphic>
          </wp:inline>
        </w:drawing>
      </w:r>
    </w:p>
    <w:p w14:paraId="5083CEE2" w14:textId="77777777" w:rsidR="00040F6A" w:rsidRPr="00040F6A" w:rsidRDefault="00040F6A" w:rsidP="00040F6A">
      <w:pPr>
        <w:spacing w:beforeLines="50" w:before="156" w:afterLines="50" w:after="156" w:line="480" w:lineRule="auto"/>
        <w:rPr>
          <w:sz w:val="21"/>
          <w:szCs w:val="21"/>
        </w:rPr>
      </w:pPr>
      <w:r w:rsidRPr="00040F6A">
        <w:rPr>
          <w:b/>
          <w:sz w:val="21"/>
          <w:szCs w:val="21"/>
        </w:rPr>
        <w:t xml:space="preserve">Fig. S7. Superimposition of SERT structures in different conformational states. </w:t>
      </w:r>
      <w:r w:rsidRPr="00040F6A">
        <w:rPr>
          <w:sz w:val="21"/>
          <w:szCs w:val="21"/>
        </w:rPr>
        <w:t>Figure shows a</w:t>
      </w:r>
      <w:r w:rsidRPr="00040F6A">
        <w:rPr>
          <w:b/>
          <w:sz w:val="21"/>
          <w:szCs w:val="21"/>
        </w:rPr>
        <w:t xml:space="preserve"> </w:t>
      </w:r>
      <w:r w:rsidRPr="00040F6A">
        <w:rPr>
          <w:sz w:val="21"/>
          <w:szCs w:val="21"/>
        </w:rPr>
        <w:t xml:space="preserve">structural superimposition of several fragments of SERT, including TMs1a, 8, 9, and IL4 motif in outward–open (PDB, 6DZZ), occluded (5I6X), and inward–open (6DZW) conformations. The cyan arrow represents the movement of TM1a when SERT converts from an outward–open to an inward–open conformation.  </w:t>
      </w:r>
    </w:p>
    <w:p w14:paraId="6BA486BF" w14:textId="77777777" w:rsidR="00040F6A" w:rsidRPr="003220D4" w:rsidRDefault="00040F6A" w:rsidP="00040F6A">
      <w:pPr>
        <w:pStyle w:val="SMcaption"/>
        <w:spacing w:beforeLines="50" w:before="156" w:afterLines="50" w:after="156" w:line="480" w:lineRule="auto"/>
      </w:pPr>
    </w:p>
    <w:p w14:paraId="67FDE281" w14:textId="77777777" w:rsidR="00040F6A" w:rsidRPr="003220D4" w:rsidRDefault="00040F6A" w:rsidP="00040F6A">
      <w:pPr>
        <w:pStyle w:val="SMcaption"/>
        <w:spacing w:beforeLines="50" w:before="156" w:afterLines="50" w:after="156" w:line="480" w:lineRule="auto"/>
      </w:pPr>
    </w:p>
    <w:p w14:paraId="7C43CABC" w14:textId="77777777" w:rsidR="00040F6A" w:rsidRPr="003220D4" w:rsidRDefault="00040F6A" w:rsidP="00040F6A">
      <w:pPr>
        <w:pStyle w:val="SMcaption"/>
        <w:spacing w:beforeLines="50" w:before="156" w:afterLines="50" w:after="156" w:line="480" w:lineRule="auto"/>
      </w:pPr>
    </w:p>
    <w:p w14:paraId="4FC59B3D" w14:textId="77777777" w:rsidR="00040F6A" w:rsidRPr="003220D4" w:rsidRDefault="00040F6A" w:rsidP="00040F6A">
      <w:pPr>
        <w:pStyle w:val="SMcaption"/>
        <w:spacing w:beforeLines="50" w:before="156" w:afterLines="50" w:after="156" w:line="480" w:lineRule="auto"/>
      </w:pPr>
    </w:p>
    <w:p w14:paraId="370E7A21" w14:textId="77777777" w:rsidR="00040F6A" w:rsidRPr="003220D4" w:rsidRDefault="00040F6A" w:rsidP="00040F6A">
      <w:pPr>
        <w:pStyle w:val="SMcaption"/>
        <w:spacing w:beforeLines="50" w:before="156" w:afterLines="50" w:after="156" w:line="480" w:lineRule="auto"/>
        <w:rPr>
          <w:lang w:eastAsia="zh-CN"/>
        </w:rPr>
      </w:pPr>
    </w:p>
    <w:p w14:paraId="0693CFEA" w14:textId="6938805C" w:rsidR="00040F6A" w:rsidRPr="00040F6A" w:rsidRDefault="00040F6A" w:rsidP="00040F6A">
      <w:pPr>
        <w:pStyle w:val="SMcaption"/>
        <w:spacing w:beforeLines="50" w:before="156" w:afterLines="50" w:after="156" w:line="480" w:lineRule="auto"/>
        <w:rPr>
          <w:lang w:eastAsia="zh-CN"/>
        </w:rPr>
      </w:pPr>
      <w:r>
        <w:rPr>
          <w:noProof/>
        </w:rPr>
        <w:lastRenderedPageBreak/>
        <w:drawing>
          <wp:inline distT="0" distB="0" distL="0" distR="0" wp14:anchorId="7DC73B4A" wp14:editId="37A146ED">
            <wp:extent cx="5274310" cy="3201035"/>
            <wp:effectExtent l="0" t="0" r="2540" b="0"/>
            <wp:docPr id="10082532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201035"/>
                    </a:xfrm>
                    <a:prstGeom prst="rect">
                      <a:avLst/>
                    </a:prstGeom>
                    <a:noFill/>
                    <a:ln>
                      <a:noFill/>
                    </a:ln>
                  </pic:spPr>
                </pic:pic>
              </a:graphicData>
            </a:graphic>
          </wp:inline>
        </w:drawing>
      </w:r>
    </w:p>
    <w:p w14:paraId="6F9BF2FC" w14:textId="77777777" w:rsidR="00040F6A" w:rsidRPr="00040F6A" w:rsidRDefault="00040F6A" w:rsidP="00040F6A">
      <w:pPr>
        <w:pStyle w:val="SMcaption"/>
        <w:spacing w:beforeLines="50" w:before="156" w:afterLines="50" w:after="156" w:line="480" w:lineRule="auto"/>
        <w:rPr>
          <w:b/>
          <w:noProof/>
          <w:sz w:val="21"/>
          <w:szCs w:val="21"/>
        </w:rPr>
      </w:pPr>
      <w:r w:rsidRPr="00040F6A">
        <w:rPr>
          <w:b/>
          <w:sz w:val="21"/>
          <w:szCs w:val="21"/>
          <w:lang w:eastAsia="zh-CN"/>
        </w:rPr>
        <w:t>Fig. S8. Molecular docking of the IL4–mediated SERT–</w:t>
      </w:r>
      <w:proofErr w:type="spellStart"/>
      <w:r w:rsidRPr="00040F6A">
        <w:rPr>
          <w:b/>
          <w:sz w:val="21"/>
          <w:szCs w:val="21"/>
          <w:lang w:eastAsia="zh-CN"/>
        </w:rPr>
        <w:t>sGC</w:t>
      </w:r>
      <w:proofErr w:type="spellEnd"/>
      <w:r w:rsidRPr="00040F6A">
        <w:rPr>
          <w:b/>
          <w:sz w:val="21"/>
          <w:szCs w:val="21"/>
          <w:lang w:eastAsia="zh-CN"/>
        </w:rPr>
        <w:t xml:space="preserve"> association. </w:t>
      </w:r>
      <w:r w:rsidRPr="00040F6A">
        <w:rPr>
          <w:sz w:val="21"/>
          <w:szCs w:val="21"/>
          <w:lang w:eastAsia="zh-CN"/>
        </w:rPr>
        <w:t>Docking of the SERT–</w:t>
      </w:r>
      <w:proofErr w:type="spellStart"/>
      <w:r w:rsidRPr="00040F6A">
        <w:rPr>
          <w:sz w:val="21"/>
          <w:szCs w:val="21"/>
          <w:lang w:eastAsia="zh-CN"/>
        </w:rPr>
        <w:t>sGC</w:t>
      </w:r>
      <w:proofErr w:type="spellEnd"/>
      <w:r w:rsidRPr="00040F6A">
        <w:rPr>
          <w:sz w:val="21"/>
          <w:szCs w:val="21"/>
          <w:lang w:eastAsia="zh-CN"/>
        </w:rPr>
        <w:t xml:space="preserve"> association was performed using SERT–IL4 motif as an</w:t>
      </w:r>
      <w:r w:rsidRPr="00040F6A">
        <w:rPr>
          <w:sz w:val="21"/>
          <w:szCs w:val="21"/>
        </w:rPr>
        <w:t xml:space="preserve"> </w:t>
      </w:r>
      <w:r w:rsidRPr="00040F6A">
        <w:rPr>
          <w:sz w:val="21"/>
          <w:szCs w:val="21"/>
          <w:lang w:eastAsia="zh-CN"/>
        </w:rPr>
        <w:t xml:space="preserve">anchoring point. The residues in </w:t>
      </w:r>
      <w:proofErr w:type="spellStart"/>
      <w:r w:rsidRPr="00040F6A">
        <w:rPr>
          <w:sz w:val="21"/>
          <w:szCs w:val="21"/>
          <w:lang w:eastAsia="zh-CN"/>
        </w:rPr>
        <w:t>sGC</w:t>
      </w:r>
      <w:proofErr w:type="spellEnd"/>
      <w:r w:rsidRPr="00040F6A">
        <w:rPr>
          <w:sz w:val="21"/>
          <w:szCs w:val="21"/>
          <w:lang w:eastAsia="zh-CN"/>
        </w:rPr>
        <w:t xml:space="preserve"> contributing to the interface interactions with SERT–IL4 include </w:t>
      </w:r>
      <w:r w:rsidRPr="00040F6A">
        <w:rPr>
          <w:bCs/>
          <w:sz w:val="21"/>
          <w:szCs w:val="21"/>
          <w:lang w:eastAsia="zh-CN"/>
        </w:rPr>
        <w:t>K160,</w:t>
      </w:r>
      <w:r w:rsidRPr="00040F6A">
        <w:rPr>
          <w:sz w:val="21"/>
          <w:szCs w:val="21"/>
          <w:lang w:eastAsia="zh-CN"/>
        </w:rPr>
        <w:t xml:space="preserve"> </w:t>
      </w:r>
      <w:r w:rsidRPr="00040F6A">
        <w:rPr>
          <w:bCs/>
          <w:sz w:val="21"/>
          <w:szCs w:val="21"/>
          <w:lang w:eastAsia="zh-CN"/>
        </w:rPr>
        <w:t>D161 N164, and N192</w:t>
      </w:r>
      <w:r w:rsidRPr="00040F6A">
        <w:rPr>
          <w:b/>
          <w:bCs/>
          <w:sz w:val="21"/>
          <w:szCs w:val="21"/>
          <w:lang w:eastAsia="zh-CN"/>
        </w:rPr>
        <w:t xml:space="preserve"> </w:t>
      </w:r>
      <w:r w:rsidRPr="00040F6A">
        <w:rPr>
          <w:bCs/>
          <w:sz w:val="21"/>
          <w:szCs w:val="21"/>
          <w:lang w:eastAsia="zh-CN"/>
        </w:rPr>
        <w:t>in</w:t>
      </w:r>
      <w:r w:rsidRPr="00040F6A">
        <w:rPr>
          <w:sz w:val="21"/>
          <w:szCs w:val="21"/>
        </w:rPr>
        <w:t xml:space="preserve"> </w:t>
      </w:r>
      <w:proofErr w:type="spellStart"/>
      <w:r w:rsidRPr="00040F6A">
        <w:rPr>
          <w:sz w:val="21"/>
          <w:szCs w:val="21"/>
        </w:rPr>
        <w:t>sGC</w:t>
      </w:r>
      <w:proofErr w:type="spellEnd"/>
      <w:r w:rsidRPr="00040F6A">
        <w:rPr>
          <w:sz w:val="21"/>
          <w:szCs w:val="21"/>
        </w:rPr>
        <w:t>α1</w:t>
      </w:r>
      <w:bookmarkStart w:id="4" w:name="_Hlk210997433"/>
      <w:r w:rsidRPr="00040F6A">
        <w:rPr>
          <w:sz w:val="21"/>
          <w:szCs w:val="21"/>
        </w:rPr>
        <w:t xml:space="preserve"> </w:t>
      </w:r>
      <w:proofErr w:type="gramStart"/>
      <w:r w:rsidRPr="00040F6A">
        <w:rPr>
          <w:sz w:val="21"/>
          <w:szCs w:val="21"/>
        </w:rPr>
        <w:t>pseudo</w:t>
      </w:r>
      <w:bookmarkEnd w:id="4"/>
      <w:r w:rsidRPr="00040F6A">
        <w:rPr>
          <w:sz w:val="21"/>
          <w:szCs w:val="21"/>
        </w:rPr>
        <w:t xml:space="preserve"> H</w:t>
      </w:r>
      <w:proofErr w:type="gramEnd"/>
      <w:r w:rsidRPr="00040F6A">
        <w:rPr>
          <w:sz w:val="21"/>
          <w:szCs w:val="21"/>
        </w:rPr>
        <w:t xml:space="preserve">–NOX domain and </w:t>
      </w:r>
      <w:r w:rsidRPr="00040F6A">
        <w:rPr>
          <w:bCs/>
          <w:sz w:val="21"/>
          <w:szCs w:val="21"/>
          <w:lang w:eastAsia="zh-CN"/>
        </w:rPr>
        <w:t>Y211, C214, K215, Q231, C232, G233, N234, Y237, R238, Q244, and P245</w:t>
      </w:r>
      <w:r w:rsidRPr="00040F6A">
        <w:rPr>
          <w:sz w:val="21"/>
          <w:szCs w:val="21"/>
        </w:rPr>
        <w:t xml:space="preserve"> in </w:t>
      </w:r>
      <w:proofErr w:type="spellStart"/>
      <w:r w:rsidRPr="00040F6A">
        <w:rPr>
          <w:sz w:val="21"/>
          <w:szCs w:val="21"/>
        </w:rPr>
        <w:t>sGC</w:t>
      </w:r>
      <w:proofErr w:type="spellEnd"/>
      <w:r w:rsidRPr="00040F6A">
        <w:rPr>
          <w:sz w:val="21"/>
          <w:szCs w:val="21"/>
        </w:rPr>
        <w:t xml:space="preserve">β1 PAS domain in a </w:t>
      </w:r>
      <w:proofErr w:type="spellStart"/>
      <w:r w:rsidRPr="00040F6A">
        <w:rPr>
          <w:sz w:val="21"/>
          <w:szCs w:val="21"/>
        </w:rPr>
        <w:t>sGC</w:t>
      </w:r>
      <w:proofErr w:type="spellEnd"/>
      <w:r w:rsidRPr="00040F6A">
        <w:rPr>
          <w:sz w:val="21"/>
          <w:szCs w:val="21"/>
        </w:rPr>
        <w:t xml:space="preserve"> heterodimer, as indicated in a dotted edge square. </w:t>
      </w:r>
    </w:p>
    <w:p w14:paraId="4C692EAC" w14:textId="77777777" w:rsidR="00412F2D" w:rsidRDefault="00412F2D"/>
    <w:sectPr w:rsidR="00412F2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92698" w14:textId="77777777" w:rsidR="00613885" w:rsidRDefault="00613885" w:rsidP="00040F6A">
      <w:r>
        <w:separator/>
      </w:r>
    </w:p>
  </w:endnote>
  <w:endnote w:type="continuationSeparator" w:id="0">
    <w:p w14:paraId="2CE82B1B" w14:textId="77777777" w:rsidR="00613885" w:rsidRDefault="00613885" w:rsidP="00040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D9F71" w14:textId="77777777" w:rsidR="00613885" w:rsidRDefault="00613885" w:rsidP="00040F6A">
      <w:r>
        <w:separator/>
      </w:r>
    </w:p>
  </w:footnote>
  <w:footnote w:type="continuationSeparator" w:id="0">
    <w:p w14:paraId="38858A28" w14:textId="77777777" w:rsidR="00613885" w:rsidRDefault="00613885" w:rsidP="00040F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966"/>
    <w:rsid w:val="00040F6A"/>
    <w:rsid w:val="000E7BFF"/>
    <w:rsid w:val="002F2966"/>
    <w:rsid w:val="00412F2D"/>
    <w:rsid w:val="0055106F"/>
    <w:rsid w:val="00562B11"/>
    <w:rsid w:val="00613885"/>
    <w:rsid w:val="00BE69D8"/>
    <w:rsid w:val="00C6537F"/>
    <w:rsid w:val="00CE07BD"/>
    <w:rsid w:val="00D61D37"/>
    <w:rsid w:val="00DB65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60926"/>
  <w15:chartTrackingRefBased/>
  <w15:docId w15:val="{DC18A0E3-C577-4644-8E41-969A3195D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0F6A"/>
    <w:rPr>
      <w:rFonts w:ascii="Times New Roman" w:hAnsi="Times New Roman" w:cs="Times New Roman"/>
      <w:kern w:val="0"/>
      <w:sz w:val="24"/>
      <w:szCs w:val="20"/>
      <w:lang w:eastAsia="en-US"/>
    </w:rPr>
  </w:style>
  <w:style w:type="paragraph" w:styleId="1">
    <w:name w:val="heading 1"/>
    <w:basedOn w:val="a"/>
    <w:next w:val="a"/>
    <w:link w:val="10"/>
    <w:uiPriority w:val="9"/>
    <w:qFormat/>
    <w:rsid w:val="002F2966"/>
    <w:pPr>
      <w:keepNext/>
      <w:keepLines/>
      <w:widowControl w:val="0"/>
      <w:spacing w:before="480" w:after="80"/>
      <w:jc w:val="both"/>
      <w:outlineLvl w:val="0"/>
    </w:pPr>
    <w:rPr>
      <w:rFonts w:asciiTheme="majorHAnsi" w:eastAsiaTheme="majorEastAsia" w:hAnsiTheme="majorHAnsi" w:cstheme="majorBidi"/>
      <w:color w:val="2F5496" w:themeColor="accent1" w:themeShade="BF"/>
      <w:kern w:val="2"/>
      <w:sz w:val="48"/>
      <w:szCs w:val="48"/>
      <w:lang w:eastAsia="zh-CN"/>
    </w:rPr>
  </w:style>
  <w:style w:type="paragraph" w:styleId="2">
    <w:name w:val="heading 2"/>
    <w:basedOn w:val="a"/>
    <w:next w:val="a"/>
    <w:link w:val="20"/>
    <w:uiPriority w:val="9"/>
    <w:semiHidden/>
    <w:unhideWhenUsed/>
    <w:qFormat/>
    <w:rsid w:val="002F2966"/>
    <w:pPr>
      <w:keepNext/>
      <w:keepLines/>
      <w:widowControl w:val="0"/>
      <w:spacing w:before="160" w:after="80"/>
      <w:jc w:val="both"/>
      <w:outlineLvl w:val="1"/>
    </w:pPr>
    <w:rPr>
      <w:rFonts w:asciiTheme="majorHAnsi" w:eastAsiaTheme="majorEastAsia" w:hAnsiTheme="majorHAnsi" w:cstheme="majorBidi"/>
      <w:color w:val="2F5496" w:themeColor="accent1" w:themeShade="BF"/>
      <w:kern w:val="2"/>
      <w:sz w:val="40"/>
      <w:szCs w:val="40"/>
      <w:lang w:eastAsia="zh-CN"/>
    </w:rPr>
  </w:style>
  <w:style w:type="paragraph" w:styleId="3">
    <w:name w:val="heading 3"/>
    <w:basedOn w:val="a"/>
    <w:next w:val="a"/>
    <w:link w:val="30"/>
    <w:uiPriority w:val="9"/>
    <w:semiHidden/>
    <w:unhideWhenUsed/>
    <w:qFormat/>
    <w:rsid w:val="002F2966"/>
    <w:pPr>
      <w:keepNext/>
      <w:keepLines/>
      <w:widowControl w:val="0"/>
      <w:spacing w:before="160" w:after="80"/>
      <w:jc w:val="both"/>
      <w:outlineLvl w:val="2"/>
    </w:pPr>
    <w:rPr>
      <w:rFonts w:asciiTheme="majorHAnsi" w:eastAsiaTheme="majorEastAsia" w:hAnsiTheme="majorHAnsi" w:cstheme="majorBidi"/>
      <w:color w:val="2F5496" w:themeColor="accent1" w:themeShade="BF"/>
      <w:kern w:val="2"/>
      <w:sz w:val="32"/>
      <w:szCs w:val="32"/>
      <w:lang w:eastAsia="zh-CN"/>
    </w:rPr>
  </w:style>
  <w:style w:type="paragraph" w:styleId="4">
    <w:name w:val="heading 4"/>
    <w:basedOn w:val="a"/>
    <w:next w:val="a"/>
    <w:link w:val="40"/>
    <w:uiPriority w:val="9"/>
    <w:semiHidden/>
    <w:unhideWhenUsed/>
    <w:qFormat/>
    <w:rsid w:val="002F2966"/>
    <w:pPr>
      <w:keepNext/>
      <w:keepLines/>
      <w:widowControl w:val="0"/>
      <w:spacing w:before="80" w:after="40"/>
      <w:jc w:val="both"/>
      <w:outlineLvl w:val="3"/>
    </w:pPr>
    <w:rPr>
      <w:rFonts w:asciiTheme="minorHAnsi" w:hAnsiTheme="minorHAnsi" w:cstheme="majorBidi"/>
      <w:color w:val="2F5496" w:themeColor="accent1" w:themeShade="BF"/>
      <w:kern w:val="2"/>
      <w:sz w:val="28"/>
      <w:szCs w:val="28"/>
      <w:lang w:eastAsia="zh-CN"/>
    </w:rPr>
  </w:style>
  <w:style w:type="paragraph" w:styleId="5">
    <w:name w:val="heading 5"/>
    <w:basedOn w:val="a"/>
    <w:next w:val="a"/>
    <w:link w:val="50"/>
    <w:uiPriority w:val="9"/>
    <w:semiHidden/>
    <w:unhideWhenUsed/>
    <w:qFormat/>
    <w:rsid w:val="002F2966"/>
    <w:pPr>
      <w:keepNext/>
      <w:keepLines/>
      <w:widowControl w:val="0"/>
      <w:spacing w:before="80" w:after="40"/>
      <w:jc w:val="both"/>
      <w:outlineLvl w:val="4"/>
    </w:pPr>
    <w:rPr>
      <w:rFonts w:asciiTheme="minorHAnsi" w:hAnsiTheme="minorHAnsi" w:cstheme="majorBidi"/>
      <w:color w:val="2F5496" w:themeColor="accent1" w:themeShade="BF"/>
      <w:kern w:val="2"/>
      <w:szCs w:val="24"/>
      <w:lang w:eastAsia="zh-CN"/>
    </w:rPr>
  </w:style>
  <w:style w:type="paragraph" w:styleId="6">
    <w:name w:val="heading 6"/>
    <w:basedOn w:val="a"/>
    <w:next w:val="a"/>
    <w:link w:val="60"/>
    <w:uiPriority w:val="9"/>
    <w:semiHidden/>
    <w:unhideWhenUsed/>
    <w:qFormat/>
    <w:rsid w:val="002F2966"/>
    <w:pPr>
      <w:keepNext/>
      <w:keepLines/>
      <w:widowControl w:val="0"/>
      <w:spacing w:before="40"/>
      <w:jc w:val="both"/>
      <w:outlineLvl w:val="5"/>
    </w:pPr>
    <w:rPr>
      <w:rFonts w:asciiTheme="minorHAnsi" w:hAnsiTheme="minorHAnsi" w:cstheme="majorBidi"/>
      <w:b/>
      <w:bCs/>
      <w:color w:val="2F5496" w:themeColor="accent1" w:themeShade="BF"/>
      <w:kern w:val="2"/>
      <w:sz w:val="21"/>
      <w:szCs w:val="22"/>
      <w:lang w:eastAsia="zh-CN"/>
    </w:rPr>
  </w:style>
  <w:style w:type="paragraph" w:styleId="7">
    <w:name w:val="heading 7"/>
    <w:basedOn w:val="a"/>
    <w:next w:val="a"/>
    <w:link w:val="70"/>
    <w:uiPriority w:val="9"/>
    <w:semiHidden/>
    <w:unhideWhenUsed/>
    <w:qFormat/>
    <w:rsid w:val="002F2966"/>
    <w:pPr>
      <w:keepNext/>
      <w:keepLines/>
      <w:widowControl w:val="0"/>
      <w:spacing w:before="40"/>
      <w:jc w:val="both"/>
      <w:outlineLvl w:val="6"/>
    </w:pPr>
    <w:rPr>
      <w:rFonts w:asciiTheme="minorHAnsi" w:hAnsiTheme="minorHAnsi" w:cstheme="majorBidi"/>
      <w:b/>
      <w:bCs/>
      <w:color w:val="595959" w:themeColor="text1" w:themeTint="A6"/>
      <w:kern w:val="2"/>
      <w:sz w:val="21"/>
      <w:szCs w:val="22"/>
      <w:lang w:eastAsia="zh-CN"/>
    </w:rPr>
  </w:style>
  <w:style w:type="paragraph" w:styleId="8">
    <w:name w:val="heading 8"/>
    <w:basedOn w:val="a"/>
    <w:next w:val="a"/>
    <w:link w:val="80"/>
    <w:uiPriority w:val="9"/>
    <w:semiHidden/>
    <w:unhideWhenUsed/>
    <w:qFormat/>
    <w:rsid w:val="002F2966"/>
    <w:pPr>
      <w:keepNext/>
      <w:keepLines/>
      <w:widowControl w:val="0"/>
      <w:jc w:val="both"/>
      <w:outlineLvl w:val="7"/>
    </w:pPr>
    <w:rPr>
      <w:rFonts w:asciiTheme="minorHAnsi" w:hAnsiTheme="minorHAnsi" w:cstheme="majorBidi"/>
      <w:color w:val="595959" w:themeColor="text1" w:themeTint="A6"/>
      <w:kern w:val="2"/>
      <w:sz w:val="21"/>
      <w:szCs w:val="22"/>
      <w:lang w:eastAsia="zh-CN"/>
    </w:rPr>
  </w:style>
  <w:style w:type="paragraph" w:styleId="9">
    <w:name w:val="heading 9"/>
    <w:basedOn w:val="a"/>
    <w:next w:val="a"/>
    <w:link w:val="90"/>
    <w:uiPriority w:val="9"/>
    <w:semiHidden/>
    <w:unhideWhenUsed/>
    <w:qFormat/>
    <w:rsid w:val="002F2966"/>
    <w:pPr>
      <w:keepNext/>
      <w:keepLines/>
      <w:widowControl w:val="0"/>
      <w:jc w:val="both"/>
      <w:outlineLvl w:val="8"/>
    </w:pPr>
    <w:rPr>
      <w:rFonts w:asciiTheme="minorHAnsi" w:eastAsiaTheme="majorEastAsia" w:hAnsiTheme="minorHAnsi" w:cstheme="majorBidi"/>
      <w:color w:val="595959" w:themeColor="text1" w:themeTint="A6"/>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F2966"/>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2F2966"/>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2F2966"/>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2F2966"/>
    <w:rPr>
      <w:rFonts w:cstheme="majorBidi"/>
      <w:color w:val="2F5496" w:themeColor="accent1" w:themeShade="BF"/>
      <w:sz w:val="28"/>
      <w:szCs w:val="28"/>
    </w:rPr>
  </w:style>
  <w:style w:type="character" w:customStyle="1" w:styleId="50">
    <w:name w:val="标题 5 字符"/>
    <w:basedOn w:val="a0"/>
    <w:link w:val="5"/>
    <w:uiPriority w:val="9"/>
    <w:semiHidden/>
    <w:rsid w:val="002F2966"/>
    <w:rPr>
      <w:rFonts w:cstheme="majorBidi"/>
      <w:color w:val="2F5496" w:themeColor="accent1" w:themeShade="BF"/>
      <w:sz w:val="24"/>
      <w:szCs w:val="24"/>
    </w:rPr>
  </w:style>
  <w:style w:type="character" w:customStyle="1" w:styleId="60">
    <w:name w:val="标题 6 字符"/>
    <w:basedOn w:val="a0"/>
    <w:link w:val="6"/>
    <w:uiPriority w:val="9"/>
    <w:semiHidden/>
    <w:rsid w:val="002F2966"/>
    <w:rPr>
      <w:rFonts w:cstheme="majorBidi"/>
      <w:b/>
      <w:bCs/>
      <w:color w:val="2F5496" w:themeColor="accent1" w:themeShade="BF"/>
    </w:rPr>
  </w:style>
  <w:style w:type="character" w:customStyle="1" w:styleId="70">
    <w:name w:val="标题 7 字符"/>
    <w:basedOn w:val="a0"/>
    <w:link w:val="7"/>
    <w:uiPriority w:val="9"/>
    <w:semiHidden/>
    <w:rsid w:val="002F2966"/>
    <w:rPr>
      <w:rFonts w:cstheme="majorBidi"/>
      <w:b/>
      <w:bCs/>
      <w:color w:val="595959" w:themeColor="text1" w:themeTint="A6"/>
    </w:rPr>
  </w:style>
  <w:style w:type="character" w:customStyle="1" w:styleId="80">
    <w:name w:val="标题 8 字符"/>
    <w:basedOn w:val="a0"/>
    <w:link w:val="8"/>
    <w:uiPriority w:val="9"/>
    <w:semiHidden/>
    <w:rsid w:val="002F2966"/>
    <w:rPr>
      <w:rFonts w:cstheme="majorBidi"/>
      <w:color w:val="595959" w:themeColor="text1" w:themeTint="A6"/>
    </w:rPr>
  </w:style>
  <w:style w:type="character" w:customStyle="1" w:styleId="90">
    <w:name w:val="标题 9 字符"/>
    <w:basedOn w:val="a0"/>
    <w:link w:val="9"/>
    <w:uiPriority w:val="9"/>
    <w:semiHidden/>
    <w:rsid w:val="002F2966"/>
    <w:rPr>
      <w:rFonts w:eastAsiaTheme="majorEastAsia" w:cstheme="majorBidi"/>
      <w:color w:val="595959" w:themeColor="text1" w:themeTint="A6"/>
    </w:rPr>
  </w:style>
  <w:style w:type="paragraph" w:styleId="a3">
    <w:name w:val="Title"/>
    <w:basedOn w:val="a"/>
    <w:next w:val="a"/>
    <w:link w:val="a4"/>
    <w:uiPriority w:val="10"/>
    <w:qFormat/>
    <w:rsid w:val="002F2966"/>
    <w:pPr>
      <w:widowControl w:val="0"/>
      <w:spacing w:after="80"/>
      <w:contextualSpacing/>
      <w:jc w:val="center"/>
    </w:pPr>
    <w:rPr>
      <w:rFonts w:asciiTheme="majorHAnsi" w:eastAsiaTheme="majorEastAsia" w:hAnsiTheme="majorHAnsi" w:cstheme="majorBidi"/>
      <w:spacing w:val="-10"/>
      <w:kern w:val="28"/>
      <w:sz w:val="56"/>
      <w:szCs w:val="56"/>
      <w:lang w:eastAsia="zh-CN"/>
    </w:rPr>
  </w:style>
  <w:style w:type="character" w:customStyle="1" w:styleId="a4">
    <w:name w:val="标题 字符"/>
    <w:basedOn w:val="a0"/>
    <w:link w:val="a3"/>
    <w:uiPriority w:val="10"/>
    <w:rsid w:val="002F296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F2966"/>
    <w:pPr>
      <w:widowControl w:val="0"/>
      <w:numPr>
        <w:ilvl w:val="1"/>
      </w:numPr>
      <w:spacing w:after="160"/>
      <w:jc w:val="center"/>
    </w:pPr>
    <w:rPr>
      <w:rFonts w:asciiTheme="majorHAnsi" w:eastAsiaTheme="majorEastAsia" w:hAnsiTheme="majorHAnsi" w:cstheme="majorBidi"/>
      <w:color w:val="595959" w:themeColor="text1" w:themeTint="A6"/>
      <w:spacing w:val="15"/>
      <w:kern w:val="2"/>
      <w:sz w:val="28"/>
      <w:szCs w:val="28"/>
      <w:lang w:eastAsia="zh-CN"/>
    </w:rPr>
  </w:style>
  <w:style w:type="character" w:customStyle="1" w:styleId="a6">
    <w:name w:val="副标题 字符"/>
    <w:basedOn w:val="a0"/>
    <w:link w:val="a5"/>
    <w:uiPriority w:val="11"/>
    <w:rsid w:val="002F296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F2966"/>
    <w:pPr>
      <w:widowControl w:val="0"/>
      <w:spacing w:before="160" w:after="160"/>
      <w:jc w:val="center"/>
    </w:pPr>
    <w:rPr>
      <w:rFonts w:asciiTheme="minorHAnsi" w:hAnsiTheme="minorHAnsi" w:cstheme="minorBidi"/>
      <w:i/>
      <w:iCs/>
      <w:color w:val="404040" w:themeColor="text1" w:themeTint="BF"/>
      <w:kern w:val="2"/>
      <w:sz w:val="21"/>
      <w:szCs w:val="22"/>
      <w:lang w:eastAsia="zh-CN"/>
    </w:rPr>
  </w:style>
  <w:style w:type="character" w:customStyle="1" w:styleId="a8">
    <w:name w:val="引用 字符"/>
    <w:basedOn w:val="a0"/>
    <w:link w:val="a7"/>
    <w:uiPriority w:val="29"/>
    <w:rsid w:val="002F2966"/>
    <w:rPr>
      <w:i/>
      <w:iCs/>
      <w:color w:val="404040" w:themeColor="text1" w:themeTint="BF"/>
    </w:rPr>
  </w:style>
  <w:style w:type="paragraph" w:styleId="a9">
    <w:name w:val="List Paragraph"/>
    <w:basedOn w:val="a"/>
    <w:uiPriority w:val="34"/>
    <w:qFormat/>
    <w:rsid w:val="002F2966"/>
    <w:pPr>
      <w:widowControl w:val="0"/>
      <w:ind w:left="720"/>
      <w:contextualSpacing/>
      <w:jc w:val="both"/>
    </w:pPr>
    <w:rPr>
      <w:rFonts w:asciiTheme="minorHAnsi" w:hAnsiTheme="minorHAnsi" w:cstheme="minorBidi"/>
      <w:kern w:val="2"/>
      <w:sz w:val="21"/>
      <w:szCs w:val="22"/>
      <w:lang w:eastAsia="zh-CN"/>
    </w:rPr>
  </w:style>
  <w:style w:type="character" w:styleId="aa">
    <w:name w:val="Intense Emphasis"/>
    <w:basedOn w:val="a0"/>
    <w:uiPriority w:val="21"/>
    <w:qFormat/>
    <w:rsid w:val="002F2966"/>
    <w:rPr>
      <w:i/>
      <w:iCs/>
      <w:color w:val="2F5496" w:themeColor="accent1" w:themeShade="BF"/>
    </w:rPr>
  </w:style>
  <w:style w:type="paragraph" w:styleId="ab">
    <w:name w:val="Intense Quote"/>
    <w:basedOn w:val="a"/>
    <w:next w:val="a"/>
    <w:link w:val="ac"/>
    <w:uiPriority w:val="30"/>
    <w:qFormat/>
    <w:rsid w:val="002F2966"/>
    <w:pPr>
      <w:widowControl w:val="0"/>
      <w:pBdr>
        <w:top w:val="single" w:sz="4" w:space="10" w:color="2F5496" w:themeColor="accent1" w:themeShade="BF"/>
        <w:bottom w:val="single" w:sz="4" w:space="10" w:color="2F5496" w:themeColor="accent1" w:themeShade="BF"/>
      </w:pBdr>
      <w:spacing w:before="360" w:after="360"/>
      <w:ind w:left="864" w:right="864"/>
      <w:jc w:val="center"/>
    </w:pPr>
    <w:rPr>
      <w:rFonts w:asciiTheme="minorHAnsi" w:hAnsiTheme="minorHAnsi" w:cstheme="minorBidi"/>
      <w:i/>
      <w:iCs/>
      <w:color w:val="2F5496" w:themeColor="accent1" w:themeShade="BF"/>
      <w:kern w:val="2"/>
      <w:sz w:val="21"/>
      <w:szCs w:val="22"/>
      <w:lang w:eastAsia="zh-CN"/>
    </w:rPr>
  </w:style>
  <w:style w:type="character" w:customStyle="1" w:styleId="ac">
    <w:name w:val="明显引用 字符"/>
    <w:basedOn w:val="a0"/>
    <w:link w:val="ab"/>
    <w:uiPriority w:val="30"/>
    <w:rsid w:val="002F2966"/>
    <w:rPr>
      <w:i/>
      <w:iCs/>
      <w:color w:val="2F5496" w:themeColor="accent1" w:themeShade="BF"/>
    </w:rPr>
  </w:style>
  <w:style w:type="character" w:styleId="ad">
    <w:name w:val="Intense Reference"/>
    <w:basedOn w:val="a0"/>
    <w:uiPriority w:val="32"/>
    <w:qFormat/>
    <w:rsid w:val="002F2966"/>
    <w:rPr>
      <w:b/>
      <w:bCs/>
      <w:smallCaps/>
      <w:color w:val="2F5496" w:themeColor="accent1" w:themeShade="BF"/>
      <w:spacing w:val="5"/>
    </w:rPr>
  </w:style>
  <w:style w:type="paragraph" w:styleId="ae">
    <w:name w:val="header"/>
    <w:basedOn w:val="a"/>
    <w:link w:val="af"/>
    <w:uiPriority w:val="99"/>
    <w:unhideWhenUsed/>
    <w:rsid w:val="00040F6A"/>
    <w:pPr>
      <w:widowControl w:val="0"/>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af">
    <w:name w:val="页眉 字符"/>
    <w:basedOn w:val="a0"/>
    <w:link w:val="ae"/>
    <w:uiPriority w:val="99"/>
    <w:rsid w:val="00040F6A"/>
    <w:rPr>
      <w:sz w:val="18"/>
      <w:szCs w:val="18"/>
    </w:rPr>
  </w:style>
  <w:style w:type="paragraph" w:styleId="af0">
    <w:name w:val="footer"/>
    <w:basedOn w:val="a"/>
    <w:link w:val="af1"/>
    <w:uiPriority w:val="99"/>
    <w:unhideWhenUsed/>
    <w:rsid w:val="00040F6A"/>
    <w:pPr>
      <w:tabs>
        <w:tab w:val="center" w:pos="4153"/>
        <w:tab w:val="right" w:pos="8306"/>
      </w:tabs>
      <w:snapToGrid w:val="0"/>
    </w:pPr>
    <w:rPr>
      <w:sz w:val="18"/>
      <w:szCs w:val="18"/>
    </w:rPr>
  </w:style>
  <w:style w:type="character" w:customStyle="1" w:styleId="af1">
    <w:name w:val="页脚 字符"/>
    <w:basedOn w:val="a0"/>
    <w:link w:val="af0"/>
    <w:uiPriority w:val="99"/>
    <w:rsid w:val="00040F6A"/>
    <w:rPr>
      <w:sz w:val="18"/>
      <w:szCs w:val="18"/>
    </w:rPr>
  </w:style>
  <w:style w:type="character" w:styleId="af2">
    <w:name w:val="Hyperlink"/>
    <w:semiHidden/>
    <w:rsid w:val="00040F6A"/>
    <w:rPr>
      <w:color w:val="0000FF"/>
      <w:u w:val="single"/>
    </w:rPr>
  </w:style>
  <w:style w:type="paragraph" w:customStyle="1" w:styleId="PubInfo">
    <w:name w:val="PubInfo"/>
    <w:basedOn w:val="a"/>
    <w:qFormat/>
    <w:rsid w:val="00040F6A"/>
    <w:pPr>
      <w:suppressAutoHyphens/>
      <w:jc w:val="center"/>
    </w:pPr>
    <w:rPr>
      <w:sz w:val="20"/>
      <w:lang w:eastAsia="ar-SA"/>
    </w:rPr>
  </w:style>
  <w:style w:type="paragraph" w:customStyle="1" w:styleId="SMcaption">
    <w:name w:val="SM caption"/>
    <w:basedOn w:val="a"/>
    <w:qFormat/>
    <w:rsid w:val="00040F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yuanwei.zhang@gzhu.edu.cn" TargetMode="External"/><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1090</Words>
  <Characters>6218</Characters>
  <Application>Microsoft Office Word</Application>
  <DocSecurity>0</DocSecurity>
  <Lines>51</Lines>
  <Paragraphs>14</Paragraphs>
  <ScaleCrop>false</ScaleCrop>
  <Company/>
  <LinksUpToDate>false</LinksUpToDate>
  <CharactersWithSpaces>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Xingyu Huang</dc:creator>
  <cp:keywords/>
  <dc:description/>
  <cp:lastModifiedBy>Xingyu Huang</cp:lastModifiedBy>
  <cp:revision>4</cp:revision>
  <dcterms:created xsi:type="dcterms:W3CDTF">2026-01-16T07:32:00Z</dcterms:created>
  <dcterms:modified xsi:type="dcterms:W3CDTF">2026-01-16T13:29:00Z</dcterms:modified>
</cp:coreProperties>
</file>