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02374" w14:textId="448A5CE4" w:rsidR="00C808DC" w:rsidRPr="00C808DC" w:rsidRDefault="00C808DC" w:rsidP="00C808DC">
      <w:pPr>
        <w:tabs>
          <w:tab w:val="left" w:pos="450"/>
        </w:tabs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16608F">
        <w:rPr>
          <w:rFonts w:asciiTheme="majorBidi" w:hAnsiTheme="majorBidi" w:cstheme="majorBidi"/>
          <w:b/>
          <w:bCs/>
          <w:sz w:val="20"/>
          <w:szCs w:val="20"/>
        </w:rPr>
        <w:t>Table 1:</w:t>
      </w:r>
      <w:r w:rsidRPr="0016608F">
        <w:rPr>
          <w:rFonts w:asciiTheme="majorBidi" w:hAnsiTheme="majorBidi" w:cstheme="majorBidi"/>
          <w:sz w:val="20"/>
          <w:szCs w:val="20"/>
        </w:rPr>
        <w:t xml:space="preserve"> Overview of the ERA5 driving model.</w:t>
      </w:r>
    </w:p>
    <w:p w14:paraId="20341036" w14:textId="0010BEE8" w:rsidR="00C808DC" w:rsidRDefault="00C808DC">
      <w:r>
        <w:rPr>
          <w:noProof/>
        </w:rPr>
        <w:drawing>
          <wp:inline distT="0" distB="0" distL="0" distR="0" wp14:anchorId="1D7887A6" wp14:editId="33F8BC14">
            <wp:extent cx="3970655" cy="1109345"/>
            <wp:effectExtent l="0" t="0" r="0" b="0"/>
            <wp:docPr id="55523698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655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7DB77" w14:textId="77777777" w:rsidR="00C808DC" w:rsidRPr="0016608F" w:rsidRDefault="00C808DC" w:rsidP="00C808DC">
      <w:pPr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16608F">
        <w:rPr>
          <w:rFonts w:asciiTheme="majorBidi" w:hAnsiTheme="majorBidi" w:cstheme="majorBidi"/>
          <w:b/>
          <w:bCs/>
          <w:sz w:val="20"/>
          <w:szCs w:val="20"/>
        </w:rPr>
        <w:t>Table 2:</w:t>
      </w:r>
      <w:r w:rsidRPr="0016608F">
        <w:rPr>
          <w:rFonts w:asciiTheme="majorBidi" w:hAnsiTheme="majorBidi" w:cstheme="majorBidi"/>
          <w:sz w:val="20"/>
          <w:szCs w:val="20"/>
        </w:rPr>
        <w:t xml:space="preserve"> Atmospheric stability is based on the K-index value</w:t>
      </w:r>
      <w:r>
        <w:rPr>
          <w:rFonts w:asciiTheme="majorBidi" w:hAnsiTheme="majorBidi" w:cstheme="majorBidi"/>
          <w:sz w:val="20"/>
          <w:szCs w:val="20"/>
        </w:rPr>
        <w:t xml:space="preserve"> (</w:t>
      </w:r>
      <w:r w:rsidRPr="00CA6653">
        <w:rPr>
          <w:rFonts w:asciiTheme="majorBidi" w:hAnsiTheme="majorBidi" w:cstheme="majorBidi"/>
          <w:sz w:val="20"/>
          <w:szCs w:val="20"/>
          <w:lang w:bidi="ar-IQ"/>
        </w:rPr>
        <w:t>NWS</w:t>
      </w:r>
      <w:r>
        <w:rPr>
          <w:rFonts w:asciiTheme="majorBidi" w:hAnsiTheme="majorBidi" w:cstheme="majorBidi"/>
          <w:sz w:val="20"/>
          <w:szCs w:val="20"/>
          <w:lang w:bidi="ar-IQ"/>
        </w:rPr>
        <w:t xml:space="preserve">, </w:t>
      </w:r>
      <w:r w:rsidRPr="00597FC5">
        <w:rPr>
          <w:rFonts w:asciiTheme="majorBidi" w:hAnsiTheme="majorBidi" w:cstheme="majorBidi"/>
          <w:color w:val="0F9ED5" w:themeColor="accent4"/>
          <w:sz w:val="20"/>
          <w:szCs w:val="20"/>
          <w:u w:val="single"/>
          <w:lang w:bidi="ar-IQ"/>
        </w:rPr>
        <w:t>2022</w:t>
      </w:r>
      <w:r>
        <w:rPr>
          <w:rFonts w:asciiTheme="majorBidi" w:hAnsiTheme="majorBidi" w:cstheme="majorBidi"/>
          <w:sz w:val="20"/>
          <w:szCs w:val="20"/>
          <w:lang w:bidi="ar-IQ"/>
        </w:rPr>
        <w:t xml:space="preserve">; </w:t>
      </w:r>
      <w:r w:rsidRPr="00CA6653">
        <w:rPr>
          <w:rFonts w:asciiTheme="majorBidi" w:hAnsiTheme="majorBidi" w:cstheme="majorBidi"/>
          <w:sz w:val="20"/>
          <w:szCs w:val="20"/>
          <w:lang w:bidi="ar-IQ"/>
        </w:rPr>
        <w:t>Ye</w:t>
      </w:r>
      <w:r>
        <w:rPr>
          <w:rFonts w:asciiTheme="majorBidi" w:hAnsiTheme="majorBidi" w:cstheme="majorBidi"/>
          <w:sz w:val="20"/>
          <w:szCs w:val="20"/>
          <w:lang w:bidi="ar-IQ"/>
        </w:rPr>
        <w:t xml:space="preserve"> et al., </w:t>
      </w:r>
      <w:hyperlink r:id="rId5" w:anchor="ref-CR85" w:tooltip="Ye, B., Genio, A. D. D., &amp; Lo, K. K. W. (1998). CAPE variations in the current climate and in a climate change. Journal of Climate, 11(8), 1997–2015.                    https://doi.org/10.1175/1520-0442(1998)011&lt;1997:CVITHCC&gt;2.0.CO;2                           " w:history="1">
        <w:r w:rsidRPr="00331D4A">
          <w:rPr>
            <w:rStyle w:val="Hyperlink"/>
            <w:rFonts w:asciiTheme="majorBidi" w:hAnsiTheme="majorBidi"/>
            <w:color w:val="0070C0"/>
            <w:sz w:val="20"/>
            <w:szCs w:val="20"/>
            <w:lang w:bidi="ar-IQ"/>
          </w:rPr>
          <w:t>1998</w:t>
        </w:r>
      </w:hyperlink>
      <w:r>
        <w:rPr>
          <w:rFonts w:asciiTheme="majorBidi" w:hAnsiTheme="majorBidi" w:cstheme="majorBidi"/>
          <w:sz w:val="20"/>
          <w:szCs w:val="20"/>
          <w:lang w:bidi="ar-IQ"/>
        </w:rPr>
        <w:t>)</w:t>
      </w:r>
      <w:r w:rsidRPr="0016608F">
        <w:rPr>
          <w:rFonts w:asciiTheme="majorBidi" w:hAnsiTheme="majorBidi" w:cstheme="majorBidi"/>
          <w:sz w:val="20"/>
          <w:szCs w:val="20"/>
        </w:rPr>
        <w:t>.</w:t>
      </w:r>
    </w:p>
    <w:p w14:paraId="714B2CFC" w14:textId="77777777" w:rsidR="00C808DC" w:rsidRPr="00C4101F" w:rsidRDefault="00C808DC" w:rsidP="00C808DC">
      <w:pPr>
        <w:tabs>
          <w:tab w:val="left" w:pos="1596"/>
        </w:tabs>
        <w:jc w:val="center"/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6C09A7B2" wp14:editId="49734416">
            <wp:extent cx="4436745" cy="1143000"/>
            <wp:effectExtent l="0" t="0" r="1905" b="0"/>
            <wp:docPr id="9467074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74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622E9" w14:textId="77777777" w:rsidR="00C808DC" w:rsidRPr="0016608F" w:rsidRDefault="00C808DC" w:rsidP="00C808DC">
      <w:pPr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16608F">
        <w:rPr>
          <w:rFonts w:asciiTheme="majorBidi" w:hAnsiTheme="majorBidi" w:cstheme="majorBidi"/>
          <w:b/>
          <w:bCs/>
          <w:sz w:val="20"/>
          <w:szCs w:val="20"/>
        </w:rPr>
        <w:t>Table 3:</w:t>
      </w:r>
      <w:r w:rsidRPr="0016608F">
        <w:rPr>
          <w:rFonts w:asciiTheme="majorBidi" w:hAnsiTheme="majorBidi" w:cstheme="majorBidi"/>
          <w:sz w:val="20"/>
          <w:szCs w:val="20"/>
        </w:rPr>
        <w:t xml:space="preserve"> Atmospheric stability is based on the </w:t>
      </w:r>
      <w:r w:rsidRPr="0016608F">
        <w:rPr>
          <w:rFonts w:asciiTheme="majorBidi" w:hAnsiTheme="majorBidi" w:cstheme="majorBidi"/>
          <w:sz w:val="20"/>
          <w:szCs w:val="20"/>
          <w:lang w:bidi="ar-IQ"/>
        </w:rPr>
        <w:t>Totals Index</w:t>
      </w:r>
      <w:r w:rsidRPr="0016608F">
        <w:rPr>
          <w:rFonts w:asciiTheme="majorBidi" w:hAnsiTheme="majorBidi" w:cstheme="majorBidi"/>
          <w:sz w:val="20"/>
          <w:szCs w:val="20"/>
        </w:rPr>
        <w:t xml:space="preserve"> value </w:t>
      </w:r>
      <w:r>
        <w:rPr>
          <w:rFonts w:asciiTheme="majorBidi" w:hAnsiTheme="majorBidi" w:cstheme="majorBidi"/>
          <w:sz w:val="20"/>
          <w:szCs w:val="20"/>
        </w:rPr>
        <w:t>(</w:t>
      </w:r>
      <w:r w:rsidRPr="00CA6653">
        <w:rPr>
          <w:rFonts w:asciiTheme="majorBidi" w:hAnsiTheme="majorBidi" w:cstheme="majorBidi"/>
          <w:sz w:val="20"/>
          <w:szCs w:val="20"/>
          <w:lang w:bidi="ar-IQ"/>
        </w:rPr>
        <w:t>NWS</w:t>
      </w:r>
      <w:r>
        <w:rPr>
          <w:rFonts w:asciiTheme="majorBidi" w:hAnsiTheme="majorBidi" w:cstheme="majorBidi"/>
          <w:sz w:val="20"/>
          <w:szCs w:val="20"/>
          <w:lang w:bidi="ar-IQ"/>
        </w:rPr>
        <w:t xml:space="preserve">, </w:t>
      </w:r>
      <w:r w:rsidRPr="00597FC5">
        <w:rPr>
          <w:rFonts w:asciiTheme="majorBidi" w:hAnsiTheme="majorBidi" w:cstheme="majorBidi"/>
          <w:color w:val="0F9ED5" w:themeColor="accent4"/>
          <w:sz w:val="20"/>
          <w:szCs w:val="20"/>
          <w:u w:val="single"/>
          <w:lang w:bidi="ar-IQ"/>
        </w:rPr>
        <w:t>2022</w:t>
      </w:r>
      <w:r>
        <w:rPr>
          <w:rFonts w:asciiTheme="majorBidi" w:hAnsiTheme="majorBidi" w:cstheme="majorBidi"/>
          <w:sz w:val="20"/>
          <w:szCs w:val="20"/>
          <w:lang w:bidi="ar-IQ"/>
        </w:rPr>
        <w:t xml:space="preserve">; </w:t>
      </w:r>
      <w:r w:rsidRPr="007506A1">
        <w:rPr>
          <w:rFonts w:asciiTheme="majorBidi" w:hAnsiTheme="majorBidi" w:cstheme="majorBidi"/>
          <w:sz w:val="20"/>
          <w:szCs w:val="20"/>
          <w:lang w:bidi="ar-IQ"/>
        </w:rPr>
        <w:t xml:space="preserve">Ye et al., </w:t>
      </w:r>
      <w:hyperlink r:id="rId7" w:anchor="ref-CR85" w:tooltip="Ye, B., Genio, A. D. D., &amp; Lo, K. K. W. (1998). CAPE variations in the current climate and in a climate change. Journal of Climate, 11(8), 1997–2015.                    https://doi.org/10.1175/1520-0442(1998)011&lt;1997:CVITHCC&gt;2.0.CO;2                           " w:history="1">
        <w:r w:rsidRPr="007506A1">
          <w:rPr>
            <w:rStyle w:val="Hyperlink"/>
            <w:rFonts w:asciiTheme="majorBidi" w:hAnsiTheme="majorBidi"/>
            <w:color w:val="0070C0"/>
            <w:sz w:val="20"/>
            <w:szCs w:val="20"/>
            <w:lang w:bidi="ar-IQ"/>
          </w:rPr>
          <w:t>1998</w:t>
        </w:r>
      </w:hyperlink>
      <w:r>
        <w:rPr>
          <w:rFonts w:asciiTheme="majorBidi" w:hAnsiTheme="majorBidi" w:cstheme="majorBidi"/>
          <w:sz w:val="20"/>
          <w:szCs w:val="20"/>
          <w:lang w:bidi="ar-IQ"/>
        </w:rPr>
        <w:t>)</w:t>
      </w:r>
      <w:r w:rsidRPr="0016608F">
        <w:rPr>
          <w:rFonts w:asciiTheme="majorBidi" w:hAnsiTheme="majorBidi" w:cstheme="majorBidi"/>
          <w:sz w:val="20"/>
          <w:szCs w:val="20"/>
        </w:rPr>
        <w:t>.</w:t>
      </w:r>
    </w:p>
    <w:p w14:paraId="5B15FBB7" w14:textId="77777777" w:rsidR="00C808DC" w:rsidRPr="009E294E" w:rsidRDefault="00C808DC" w:rsidP="00C808DC">
      <w:pPr>
        <w:spacing w:line="240" w:lineRule="auto"/>
        <w:jc w:val="center"/>
        <w:rPr>
          <w:rFonts w:asciiTheme="majorBidi" w:hAnsiTheme="majorBidi" w:cstheme="majorBidi"/>
        </w:rPr>
      </w:pPr>
      <w:r w:rsidRPr="005C4E63">
        <w:rPr>
          <w:rFonts w:asciiTheme="majorBidi" w:hAnsiTheme="majorBidi" w:cstheme="majorBidi"/>
          <w:noProof/>
        </w:rPr>
        <w:drawing>
          <wp:inline distT="0" distB="0" distL="0" distR="0" wp14:anchorId="756688B9" wp14:editId="79981AF6">
            <wp:extent cx="4417625" cy="1380067"/>
            <wp:effectExtent l="0" t="0" r="2540" b="0"/>
            <wp:docPr id="117992766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350" cy="1409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F11F4" w14:textId="77777777" w:rsidR="00C808DC" w:rsidRPr="0016608F" w:rsidRDefault="00C808DC" w:rsidP="00C808DC">
      <w:pPr>
        <w:spacing w:after="0" w:line="36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16608F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4</w:t>
      </w:r>
      <w:r w:rsidRPr="0016608F">
        <w:rPr>
          <w:rFonts w:asciiTheme="majorBidi" w:hAnsiTheme="majorBidi" w:cstheme="majorBidi"/>
          <w:b/>
          <w:bCs/>
          <w:sz w:val="20"/>
          <w:szCs w:val="20"/>
        </w:rPr>
        <w:t>:</w:t>
      </w:r>
      <w:r w:rsidRPr="0016608F">
        <w:rPr>
          <w:rFonts w:asciiTheme="majorBidi" w:hAnsiTheme="majorBidi" w:cstheme="majorBidi"/>
          <w:sz w:val="20"/>
          <w:szCs w:val="20"/>
        </w:rPr>
        <w:t xml:space="preserve"> Atmospheric stability is based on the CAPE value </w:t>
      </w:r>
      <w:r>
        <w:rPr>
          <w:rFonts w:asciiTheme="majorBidi" w:hAnsiTheme="majorBidi" w:cstheme="majorBidi"/>
          <w:sz w:val="20"/>
          <w:szCs w:val="20"/>
        </w:rPr>
        <w:t>(</w:t>
      </w:r>
      <w:r w:rsidRPr="00CA6653">
        <w:rPr>
          <w:rFonts w:asciiTheme="majorBidi" w:hAnsiTheme="majorBidi" w:cstheme="majorBidi"/>
          <w:sz w:val="20"/>
          <w:szCs w:val="20"/>
          <w:lang w:bidi="ar-IQ"/>
        </w:rPr>
        <w:t>NWS</w:t>
      </w:r>
      <w:r>
        <w:rPr>
          <w:rFonts w:asciiTheme="majorBidi" w:hAnsiTheme="majorBidi" w:cstheme="majorBidi"/>
          <w:sz w:val="20"/>
          <w:szCs w:val="20"/>
          <w:lang w:bidi="ar-IQ"/>
        </w:rPr>
        <w:t xml:space="preserve">, </w:t>
      </w:r>
      <w:r w:rsidRPr="00597FC5">
        <w:rPr>
          <w:rFonts w:asciiTheme="majorBidi" w:hAnsiTheme="majorBidi" w:cstheme="majorBidi"/>
          <w:color w:val="0F9ED5" w:themeColor="accent4"/>
          <w:sz w:val="20"/>
          <w:szCs w:val="20"/>
          <w:u w:val="single"/>
          <w:lang w:bidi="ar-IQ"/>
        </w:rPr>
        <w:t>2022</w:t>
      </w:r>
      <w:r>
        <w:rPr>
          <w:rFonts w:asciiTheme="majorBidi" w:hAnsiTheme="majorBidi" w:cstheme="majorBidi"/>
          <w:sz w:val="20"/>
          <w:szCs w:val="20"/>
          <w:lang w:bidi="ar-IQ"/>
        </w:rPr>
        <w:t xml:space="preserve">; </w:t>
      </w:r>
      <w:r w:rsidRPr="00CA6653">
        <w:rPr>
          <w:rFonts w:asciiTheme="majorBidi" w:hAnsiTheme="majorBidi" w:cstheme="majorBidi"/>
          <w:sz w:val="20"/>
          <w:szCs w:val="20"/>
          <w:lang w:bidi="ar-IQ"/>
        </w:rPr>
        <w:t>Ye</w:t>
      </w:r>
      <w:r>
        <w:rPr>
          <w:rFonts w:asciiTheme="majorBidi" w:hAnsiTheme="majorBidi" w:cstheme="majorBidi"/>
          <w:sz w:val="20"/>
          <w:szCs w:val="20"/>
          <w:lang w:bidi="ar-IQ"/>
        </w:rPr>
        <w:t xml:space="preserve"> et al., </w:t>
      </w:r>
      <w:hyperlink r:id="rId9" w:anchor="ref-CR85" w:tooltip="Ye, B., Genio, A. D. D., &amp; Lo, K. K. W. (1998). CAPE variations in the current climate and in a climate change. Journal of Climate, 11(8), 1997–2015.                    https://doi.org/10.1175/1520-0442(1998)011&lt;1997:CVITHCC&gt;2.0.CO;2                           " w:history="1">
        <w:r w:rsidRPr="00331D4A">
          <w:rPr>
            <w:rStyle w:val="Hyperlink"/>
            <w:rFonts w:asciiTheme="majorBidi" w:hAnsiTheme="majorBidi"/>
            <w:color w:val="0070C0"/>
            <w:sz w:val="20"/>
            <w:szCs w:val="20"/>
            <w:lang w:bidi="ar-IQ"/>
          </w:rPr>
          <w:t>1998</w:t>
        </w:r>
      </w:hyperlink>
      <w:r>
        <w:rPr>
          <w:rFonts w:asciiTheme="majorBidi" w:hAnsiTheme="majorBidi" w:cstheme="majorBidi"/>
          <w:sz w:val="20"/>
          <w:szCs w:val="20"/>
          <w:lang w:bidi="ar-IQ"/>
        </w:rPr>
        <w:t>)</w:t>
      </w:r>
      <w:r w:rsidRPr="0016608F">
        <w:rPr>
          <w:rFonts w:asciiTheme="majorBidi" w:hAnsiTheme="majorBidi" w:cstheme="majorBidi"/>
          <w:sz w:val="20"/>
          <w:szCs w:val="20"/>
        </w:rPr>
        <w:t>.</w:t>
      </w:r>
    </w:p>
    <w:p w14:paraId="192070BF" w14:textId="77777777" w:rsidR="00C808DC" w:rsidRPr="005C4E63" w:rsidRDefault="00C808DC" w:rsidP="00C808DC">
      <w:pPr>
        <w:spacing w:after="0"/>
        <w:jc w:val="center"/>
        <w:rPr>
          <w:lang w:bidi="ar-IQ"/>
        </w:rPr>
      </w:pPr>
      <w:r>
        <w:rPr>
          <w:noProof/>
        </w:rPr>
        <w:drawing>
          <wp:inline distT="0" distB="0" distL="0" distR="0" wp14:anchorId="0C91FE38" wp14:editId="57D271F9">
            <wp:extent cx="4563745" cy="1160145"/>
            <wp:effectExtent l="0" t="0" r="8255" b="1905"/>
            <wp:docPr id="4530102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745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B1CEA" w14:textId="77777777" w:rsidR="00C808DC" w:rsidRDefault="00C808DC"/>
    <w:sectPr w:rsidR="00C808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8DC"/>
    <w:rsid w:val="0041365C"/>
    <w:rsid w:val="005C0D39"/>
    <w:rsid w:val="0070406C"/>
    <w:rsid w:val="00724754"/>
    <w:rsid w:val="00C321FA"/>
    <w:rsid w:val="00C808DC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78081"/>
  <w15:chartTrackingRefBased/>
  <w15:docId w15:val="{6F69F679-B8E2-4659-B62B-2F202ADB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8DC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08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08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08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08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08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08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08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08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08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8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08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08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08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8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08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08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08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08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08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C808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08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C808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08DC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C808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08DC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C808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08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08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08D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qFormat/>
    <w:rsid w:val="00C808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s://link.springer.com/article/10.1007/s00024-024-03521-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hyperlink" Target="https://link.springer.com/article/10.1007/s00024-024-03521-0" TargetMode="External"/><Relationship Id="rId10" Type="http://schemas.openxmlformats.org/officeDocument/2006/relationships/image" Target="media/image4.tiff"/><Relationship Id="rId4" Type="http://schemas.openxmlformats.org/officeDocument/2006/relationships/image" Target="media/image1.tiff"/><Relationship Id="rId9" Type="http://schemas.openxmlformats.org/officeDocument/2006/relationships/hyperlink" Target="https://link.springer.com/article/10.1007/s00024-024-03521-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1149</Characters>
  <Application>Microsoft Office Word</Application>
  <DocSecurity>0</DocSecurity>
  <Lines>63</Lines>
  <Paragraphs>36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2026-02-02T08:39:00Z</dcterms:created>
  <dcterms:modified xsi:type="dcterms:W3CDTF">2026-02-02T08:44:00Z</dcterms:modified>
</cp:coreProperties>
</file>