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C5F1E" w14:textId="77777777" w:rsidR="00F55EC8" w:rsidRPr="00C83CF4" w:rsidRDefault="00000000">
      <w:pPr>
        <w:pStyle w:val="Heading2"/>
        <w:spacing w:before="0"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7o6t0st2nbsd" w:colFirst="0" w:colLast="0"/>
      <w:bookmarkStart w:id="1" w:name="_z0uyrdah1rp1" w:colFirst="0" w:colLast="0"/>
      <w:bookmarkEnd w:id="0"/>
      <w:bookmarkEnd w:id="1"/>
      <w:r w:rsidRPr="00C83CF4">
        <w:rPr>
          <w:rFonts w:ascii="Times New Roman" w:eastAsia="Times New Roman" w:hAnsi="Times New Roman" w:cs="Times New Roman"/>
          <w:b/>
          <w:bCs/>
          <w:sz w:val="26"/>
          <w:szCs w:val="26"/>
        </w:rPr>
        <w:t>Global Hypomethylation in Cell-free DNA Enables Non-invasive Colorectal Cancer Screening: Results from a Retrospective Validation Study</w:t>
      </w:r>
    </w:p>
    <w:p w14:paraId="5FD9C2A3" w14:textId="77777777" w:rsidR="00F55EC8" w:rsidRDefault="00000000">
      <w:pPr>
        <w:pStyle w:val="Heading2"/>
        <w:spacing w:before="0" w:after="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2" w:name="_4muhsb7ahzk5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Shahdeep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Kaur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a,#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Shefali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Lathwal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,#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Smita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Agrawal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Tina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Mahmoudi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Shalini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Gupta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14:paraId="400CBEA8" w14:textId="77777777" w:rsidR="00F55EC8" w:rsidRDefault="00F55EC8">
      <w:pPr>
        <w:rPr>
          <w:vertAlign w:val="superscript"/>
        </w:rPr>
      </w:pPr>
    </w:p>
    <w:p w14:paraId="43FB0BE5" w14:textId="77777777" w:rsidR="00F55EC8" w:rsidRDefault="00F55EC8">
      <w:pPr>
        <w:rPr>
          <w:vertAlign w:val="superscript"/>
        </w:rPr>
      </w:pPr>
    </w:p>
    <w:p w14:paraId="11043A5E" w14:textId="77777777" w:rsidR="00F55EC8" w:rsidRDefault="00000000">
      <w:pPr>
        <w:pStyle w:val="Heading2"/>
        <w:spacing w:before="0"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bookmarkStart w:id="3" w:name="_95dab8e06jij" w:colFirst="0" w:colLast="0"/>
      <w:bookmarkEnd w:id="3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Supplementary Information</w:t>
      </w:r>
    </w:p>
    <w:p w14:paraId="6A3FEA62" w14:textId="77777777" w:rsidR="00F55EC8" w:rsidRDefault="00F55EC8">
      <w:pPr>
        <w:pStyle w:val="Heading2"/>
        <w:spacing w:before="0"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hdp3nz5y7mku" w:colFirst="0" w:colLast="0"/>
      <w:bookmarkEnd w:id="4"/>
    </w:p>
    <w:p w14:paraId="310FA152" w14:textId="77777777" w:rsidR="00F55EC8" w:rsidRDefault="00F55EC8"/>
    <w:p w14:paraId="3FAC99F6" w14:textId="77777777" w:rsidR="00F55EC8" w:rsidRDefault="00000000">
      <w:pPr>
        <w:pStyle w:val="Heading2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exbt29m8lqk0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S1. </w:t>
      </w:r>
      <w:r>
        <w:rPr>
          <w:rFonts w:ascii="Times New Roman" w:eastAsia="Times New Roman" w:hAnsi="Times New Roman" w:cs="Times New Roman"/>
          <w:sz w:val="24"/>
          <w:szCs w:val="24"/>
        </w:rPr>
        <w:t>The list of public methylation datasets analyzed in this study.</w:t>
      </w:r>
    </w:p>
    <w:p w14:paraId="5B9B3DAB" w14:textId="77777777" w:rsidR="00F55EC8" w:rsidRDefault="00000000">
      <w:r>
        <w:rPr>
          <w:noProof/>
        </w:rPr>
        <w:drawing>
          <wp:inline distT="19050" distB="19050" distL="19050" distR="19050" wp14:anchorId="34A493DC" wp14:editId="28C92A74">
            <wp:extent cx="6276975" cy="3397193"/>
            <wp:effectExtent l="0" t="0" r="0" b="0"/>
            <wp:docPr id="18" name="image18.png" descr="manuscript_dataset_tab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manuscript_dataset_table.png"/>
                    <pic:cNvPicPr preferRelativeResize="0"/>
                  </pic:nvPicPr>
                  <pic:blipFill>
                    <a:blip r:embed="rId7"/>
                    <a:srcRect t="127" b="12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97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9B803" w14:textId="77777777" w:rsidR="00F55EC8" w:rsidRDefault="00F55EC8">
      <w:pPr>
        <w:rPr>
          <w:sz w:val="32"/>
          <w:szCs w:val="32"/>
        </w:rPr>
      </w:pPr>
    </w:p>
    <w:p w14:paraId="3D3544B3" w14:textId="77777777" w:rsidR="00F55EC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S2. </w:t>
      </w:r>
      <w:r>
        <w:rPr>
          <w:rFonts w:ascii="Times New Roman" w:eastAsia="Times New Roman" w:hAnsi="Times New Roman" w:cs="Times New Roman"/>
          <w:sz w:val="24"/>
          <w:szCs w:val="24"/>
        </w:rPr>
        <w:t>Clinical information of CRC patient samples used for cfDNA extraction. Information where not available is left blank.</w:t>
      </w:r>
    </w:p>
    <w:tbl>
      <w:tblPr>
        <w:tblStyle w:val="a"/>
        <w:tblW w:w="94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"/>
        <w:gridCol w:w="758"/>
        <w:gridCol w:w="758"/>
        <w:gridCol w:w="910"/>
        <w:gridCol w:w="607"/>
        <w:gridCol w:w="1766"/>
        <w:gridCol w:w="1325"/>
        <w:gridCol w:w="1215"/>
        <w:gridCol w:w="1228"/>
      </w:tblGrid>
      <w:tr w:rsidR="00F55EC8" w14:paraId="196F5655" w14:textId="77777777">
        <w:trPr>
          <w:trHeight w:val="699"/>
          <w:tblHeader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F99596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906834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Cancer stage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9E6241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Site of primary</w:t>
            </w:r>
          </w:p>
          <w:p w14:paraId="5D043BB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cancer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67474E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Age</w:t>
            </w:r>
          </w:p>
          <w:p w14:paraId="3CB5F1C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(yrs)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B091EA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Sex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7EAECAE" w14:textId="77777777" w:rsidR="00F55EC8" w:rsidRDefault="00000000">
            <w:pPr>
              <w:spacing w:line="240" w:lineRule="auto"/>
              <w:ind w:left="-120"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cfDNA stock conc. measured using Nanodrop (ng/µL)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A867F2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cfDNA stock conc. measured using Qubit</w:t>
            </w:r>
          </w:p>
          <w:p w14:paraId="04C951B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(ng/µL)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A4FA83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|ΔZ| at 100 kHz</w:t>
            </w:r>
          </w:p>
          <w:p w14:paraId="1CF48F8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(ohms)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D32460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Δθ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 at 100 kHz</w:t>
            </w:r>
          </w:p>
          <w:p w14:paraId="3CB5E95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(deg)</w:t>
            </w:r>
          </w:p>
          <w:p w14:paraId="29C5844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55EC8" w14:paraId="5B0DEF6E" w14:textId="77777777" w:rsidTr="00CE74C9">
        <w:trPr>
          <w:trHeight w:val="6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FAE8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66A7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F751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C5BC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9F2B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D1B92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B85F5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0.354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D539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19.71 ± 0.71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0ED4F7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504A734C" w14:textId="77777777" w:rsidTr="00CE74C9">
        <w:trPr>
          <w:trHeight w:val="6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7242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2DA2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8499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CC30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45-49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2F02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A5129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C70AB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0.434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F1E7F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25.95 ± 2.83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D5DBDE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</w:t>
            </w:r>
          </w:p>
        </w:tc>
      </w:tr>
      <w:tr w:rsidR="00F55EC8" w14:paraId="3F65FF30" w14:textId="77777777" w:rsidTr="00CE74C9">
        <w:trPr>
          <w:trHeight w:val="7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60F8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EEE4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929F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C87D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4B83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5EB35A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B74FE5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0.583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E007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24.84 ± 2.12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57472D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460CF3DE" w14:textId="77777777" w:rsidTr="00CE74C9">
        <w:trPr>
          <w:trHeight w:val="7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BBBE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4D3E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315B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51FE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70-74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544D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4E01B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A4594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0.206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02523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20.04 ± 7.07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19A64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1C59B479" w14:textId="77777777" w:rsidTr="00CE74C9">
        <w:trPr>
          <w:trHeight w:val="24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4721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9285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E02A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8811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50-59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DCAB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A379E0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2B59B6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0.196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178ED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17.05 ± 2.83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ECEBDF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51C62D7F" w14:textId="77777777" w:rsidTr="00CE74C9">
        <w:trPr>
          <w:trHeight w:val="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D4B5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02A1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B73E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9F33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60-64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4EC8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921B6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032390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0.519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C1952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20.17 ± 0.71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8314E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36EC8B02" w14:textId="77777777" w:rsidTr="00CE74C9">
        <w:trPr>
          <w:trHeight w:val="42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C4ED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C7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9183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30A3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B83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9FB9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8568A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E0CD3A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0.298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210A6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22.29 ± 0.00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9915F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0.00</w:t>
            </w:r>
          </w:p>
        </w:tc>
      </w:tr>
      <w:tr w:rsidR="00F55EC8" w14:paraId="1829C4A7" w14:textId="77777777" w:rsidTr="00CE74C9">
        <w:trPr>
          <w:trHeight w:val="48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DA33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C9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C615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FC61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0092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60-64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BBCB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137E0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BD6288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0.141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DCE0E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15.15 ± 0.00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AC404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676DB6D3" w14:textId="77777777" w:rsidTr="00CE74C9">
        <w:trPr>
          <w:trHeight w:val="5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9E64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C10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400B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B6A6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DE50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50-54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8482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85281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5F89A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0.398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30348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24.42 ± 0.00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E5B80E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0161B264" w14:textId="77777777" w:rsidTr="00CE74C9">
        <w:trPr>
          <w:trHeight w:val="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BAC5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C11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08BA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B83E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F174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60-64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C854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1E3206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15F278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0.472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7C0F2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26.59 ± 0.71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45F26D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3B0C94FC" w14:textId="77777777" w:rsidTr="00CE74C9">
        <w:trPr>
          <w:trHeight w:val="5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5674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C12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86E3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9A57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C8D4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46E8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71F2F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81A14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13F9B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17.16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5F45F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55EC8" w14:paraId="0BC8C4BC" w14:textId="77777777" w:rsidTr="00CE74C9">
        <w:trPr>
          <w:trHeight w:val="7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C697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C13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756A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4C6C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B506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50-54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9816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50BA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BEB7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0.672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D5151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18.79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97CE0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55EC8" w14:paraId="359975AF" w14:textId="77777777" w:rsidTr="00CE74C9">
        <w:trPr>
          <w:trHeight w:val="21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0050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C14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D1E1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7C4D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8968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361B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90E9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C2620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824F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28.05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F0452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64572DDA" w14:textId="77777777" w:rsidTr="00CE74C9">
        <w:trPr>
          <w:trHeight w:val="21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47AF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D242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0B34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A6CC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CF5B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BA0B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12C2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0.568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88DD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37.72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5721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453C7A4F" w14:textId="77777777" w:rsidTr="00CE74C9">
        <w:trPr>
          <w:trHeight w:val="7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6FF4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D178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C2E6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CB3E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50-54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D9AC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693B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C9BE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5EC6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16.57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9D13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5005C499" w14:textId="77777777" w:rsidTr="00CE74C9">
        <w:trPr>
          <w:trHeight w:val="22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CF32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C17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9F45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EA1A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BDEB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65-69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C70B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D12F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C880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0.688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C7F7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17.91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3C8A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39888515" w14:textId="77777777" w:rsidTr="00CE74C9">
        <w:trPr>
          <w:trHeight w:val="21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40D2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C18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A714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7B8C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7C4C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60-64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4685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2F8D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A03A6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D380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15.59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BC16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4D247396" w14:textId="77777777" w:rsidTr="00CE74C9">
        <w:trPr>
          <w:trHeight w:val="2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6549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C19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7F62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B131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7C91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55-59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AA4F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76C3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0A8E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0.25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C245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15.02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B24E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55EC8" w14:paraId="2DA67C69" w14:textId="77777777" w:rsidTr="00CE74C9">
        <w:trPr>
          <w:trHeight w:val="19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3130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C20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D4B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5D9C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F65C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70-74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F702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DAC1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F726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0.618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4ABE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37.86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4095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656D7E4A" w14:textId="77777777" w:rsidTr="00CE74C9">
        <w:trPr>
          <w:trHeight w:val="20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F980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C21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7C36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0C44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69A8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50-54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40D6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4189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12F3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CB49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10.37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8980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26751F19" w14:textId="77777777" w:rsidTr="00CE74C9">
        <w:trPr>
          <w:trHeight w:val="21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2C1B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C22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F35D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2670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8630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55-59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B95F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5658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871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F6D2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15.58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B24F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4B827B0A" w14:textId="77777777" w:rsidTr="00CE74C9">
        <w:trPr>
          <w:trHeight w:val="21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6CAF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C23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61BA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EF9E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5196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55-59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BACF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7CDB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B7F5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0.421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0AC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12.21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60FA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1CDE8EC6" w14:textId="77777777" w:rsidTr="00CE74C9">
        <w:trPr>
          <w:trHeight w:val="6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7098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C24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519D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C535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650E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75-79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98F8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3BB9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0FE8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0627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13.5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F6E7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192656BF" w14:textId="77777777" w:rsidTr="00CE74C9">
        <w:trPr>
          <w:trHeight w:val="8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801D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B92F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2AD6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2484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60-64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C27D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1E8D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DF8E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1.36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2F20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D2D7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03406D98" w14:textId="77777777" w:rsidTr="00CE74C9">
        <w:trPr>
          <w:trHeight w:val="9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AA46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27E3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68E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65CB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F7B5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AE46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87D8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D26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7.78 ± 1.07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A60C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45E3572B" w14:textId="77777777" w:rsidTr="00CE74C9">
        <w:trPr>
          <w:trHeight w:val="9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920E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C27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F5A1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F5F9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2479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2619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7055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3F35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BB85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13.39 ± 0.18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C743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3A99D15E" w14:textId="77777777" w:rsidTr="00CE74C9">
        <w:trPr>
          <w:trHeight w:val="10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3E9C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C28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B88D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DD0B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CB4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4D32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4E20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FC0C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30F1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1.72 ± 0.02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606A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391CEF25" w14:textId="77777777" w:rsidTr="00CE74C9">
        <w:trPr>
          <w:trHeight w:val="9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CC6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C29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C642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B6EA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1F7B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997B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D94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64AD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1192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18.23 ± 0.54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ED63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7CE8D80B" w14:textId="77777777" w:rsidTr="00CE74C9">
        <w:trPr>
          <w:trHeight w:val="24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F3F4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A47C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15D3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2B7D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476C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E3DF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36.4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BD5A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21.5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FD52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64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</w:tr>
      <w:tr w:rsidR="00F55EC8" w14:paraId="579FE849" w14:textId="77777777" w:rsidTr="00CE74C9">
        <w:trPr>
          <w:trHeight w:val="22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50DF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4984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227A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7AE9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1EC4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1A78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489B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0.509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3D04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17.15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A007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605C8A14" w14:textId="77777777" w:rsidTr="00CE74C9">
        <w:trPr>
          <w:trHeight w:val="7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F0E5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C37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4EC1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18D0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B8C8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AC1C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7D11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E5B1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0.389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9707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27.19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CBA1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080A7770" w14:textId="77777777" w:rsidTr="00CE74C9">
        <w:trPr>
          <w:trHeight w:val="2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A0D2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C38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7CD5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C53B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4BBF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CECA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03D7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2631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0.943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0E61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3.89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7CDA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14E1F312" w14:textId="77777777">
        <w:trPr>
          <w:trHeight w:val="450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4B47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C39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C1C9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17AC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0581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74B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6F64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205C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0.718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4D89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11.97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7151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2FBF2EE3" w14:textId="77777777" w:rsidTr="00CE74C9">
        <w:trPr>
          <w:trHeight w:val="184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6C4D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C40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A5B0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1E23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15D2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FB24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82DF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7DEC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0.756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9684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23.87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267A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4B56D8D0" w14:textId="77777777" w:rsidTr="00CE74C9">
        <w:trPr>
          <w:trHeight w:val="48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67D4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C41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1CDB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D97A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0E2E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C7E1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E4CF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A747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0.626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20A6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9.14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6458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298A9D98" w14:textId="77777777" w:rsidTr="00CE74C9">
        <w:trPr>
          <w:trHeight w:val="53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8776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C42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9B46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BF67F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C167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6B32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332B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E3B2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0.719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00D6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17.54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DFD4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F55EC8" w14:paraId="27909587" w14:textId="77777777" w:rsidTr="00CE74C9">
        <w:trPr>
          <w:trHeight w:val="20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C97B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C43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492C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0CE7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C843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9108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C60D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AEDD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1.55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4437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22.22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D736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058C32AA" w14:textId="77777777" w:rsidTr="00CE74C9">
        <w:trPr>
          <w:trHeight w:val="9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5197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C44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F81C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2F0D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DFC0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ACB4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411E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F482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F981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28.53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C23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04FFF8FD" w14:textId="77777777" w:rsidTr="00CE74C9">
        <w:trPr>
          <w:trHeight w:val="7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05B3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7C39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8434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94A6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7AB2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CF1C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54ECA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2.19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7E93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15.84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8B747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34899DAF" w14:textId="77777777" w:rsidTr="00CE74C9">
        <w:trPr>
          <w:trHeight w:val="21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A9C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C46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0DCA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EF1A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86F0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91D1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3DCD4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F7FEA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1.47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EFE29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12.6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D4A9F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6F92C2A9" w14:textId="77777777" w:rsidTr="00CE74C9">
        <w:trPr>
          <w:trHeight w:val="21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30F8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L1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7766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6F8E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7B6C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C73C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C22273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547D40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0.955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9E095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CD8ADD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63B3C0DD" w14:textId="77777777" w:rsidTr="00CE74C9">
        <w:trPr>
          <w:trHeight w:val="75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2C34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L2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8A2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6BA0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BD55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558C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FFBBE3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7BCD10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0.484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AB778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A1506D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35A90019" w14:textId="77777777" w:rsidTr="00CE74C9">
        <w:trPr>
          <w:trHeight w:val="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AD3E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L3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0E55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A337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4267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4170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213DD5A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1FAAE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ED08C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12.36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C76D3D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03AB21F2" w14:textId="77777777" w:rsidTr="00CE74C9">
        <w:trPr>
          <w:trHeight w:val="87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58CA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L4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0FC9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8041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236F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322D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46CFAD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3DF9DF7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0.611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BBC56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15.15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FDA0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1EDBCBD6" w14:textId="77777777" w:rsidTr="00CE74C9">
        <w:trPr>
          <w:trHeight w:val="94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202A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L5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B996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9DA9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Rectum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4A815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0E872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C24DCE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2FC35C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0.493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666D00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14.6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C7064E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0.10</w:t>
            </w:r>
          </w:p>
        </w:tc>
      </w:tr>
      <w:tr w:rsidR="00F55EC8" w14:paraId="77965C69" w14:textId="77777777" w:rsidTr="00CE74C9">
        <w:trPr>
          <w:trHeight w:val="21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78304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L6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A2C16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A1698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Colon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18D7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C5283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3B64E59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8.6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3E86F3D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5.78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007F3B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13.74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91DCEE1" w14:textId="77777777" w:rsidR="00F55EC8" w:rsidRDefault="00000000">
            <w:pPr>
              <w:spacing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0.11</w:t>
            </w:r>
          </w:p>
        </w:tc>
      </w:tr>
    </w:tbl>
    <w:p w14:paraId="5E641DB5" w14:textId="77777777" w:rsidR="00F55EC8" w:rsidRDefault="00F55EC8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D48271" w14:textId="77777777" w:rsidR="00F55EC8" w:rsidRDefault="00F55EC8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109D1327" w14:textId="77777777" w:rsidR="00F55EC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S3. </w:t>
      </w:r>
      <w:r>
        <w:rPr>
          <w:rFonts w:ascii="Times New Roman" w:eastAsia="Times New Roman" w:hAnsi="Times New Roman" w:cs="Times New Roman"/>
          <w:sz w:val="24"/>
          <w:szCs w:val="24"/>
        </w:rPr>
        <w:t>Clinical information of healthy individual samples used for cfDNA extraction. Information where not available is left blank.</w:t>
      </w:r>
    </w:p>
    <w:p w14:paraId="74F47A6F" w14:textId="77777777" w:rsidR="00F55EC8" w:rsidRDefault="00F55EC8">
      <w:pPr>
        <w:spacing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0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1035"/>
        <w:gridCol w:w="780"/>
        <w:gridCol w:w="1920"/>
        <w:gridCol w:w="1755"/>
        <w:gridCol w:w="1455"/>
        <w:gridCol w:w="1245"/>
      </w:tblGrid>
      <w:tr w:rsidR="00F55EC8" w14:paraId="789C712A" w14:textId="77777777">
        <w:trPr>
          <w:trHeight w:val="720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209E829" w14:textId="77777777" w:rsidR="00F55EC8" w:rsidRDefault="00000000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11C660E" w14:textId="77777777" w:rsidR="00F55EC8" w:rsidRDefault="00000000">
            <w:pPr>
              <w:spacing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Age (yrs)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983F5E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Sex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67DC8C8" w14:textId="77777777" w:rsidR="00F55EC8" w:rsidRDefault="00000000">
            <w:pPr>
              <w:spacing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cfDNA stock conc. measured using Nanodrop (ng/µL)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28C7207" w14:textId="77777777" w:rsidR="00F55EC8" w:rsidRDefault="00000000">
            <w:pPr>
              <w:spacing w:line="240" w:lineRule="auto"/>
              <w:ind w:left="40" w:hanging="2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cfDNA stock conc. measured using Qubit (ng/µL)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0FF5A6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|ΔZ| at 100 kHz (ohms)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F3CBFF2" w14:textId="77777777" w:rsidR="00F55EC8" w:rsidRDefault="00000000">
            <w:pPr>
              <w:spacing w:line="240" w:lineRule="auto"/>
              <w:ind w:left="40" w:hanging="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Δθ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| at 100 kHz (deg)</w:t>
            </w:r>
          </w:p>
        </w:tc>
      </w:tr>
      <w:tr w:rsidR="00F55EC8" w14:paraId="2F05300F" w14:textId="77777777" w:rsidTr="00CE74C9">
        <w:trPr>
          <w:trHeight w:val="175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E58B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D182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5D3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8168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4873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0.144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42AD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52.5 ± 2.83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C361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28A91CA1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17F6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13EA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C606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B5F4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31D6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0.238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BE6D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45.17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47C1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71D9CA98" w14:textId="77777777" w:rsidTr="00CE74C9">
        <w:trPr>
          <w:trHeight w:val="187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C0EA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ADF0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BF36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49B2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18CA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0.418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E8A5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30.36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DD5A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26F5D62F" w14:textId="77777777" w:rsidTr="00CE74C9">
        <w:trPr>
          <w:trHeight w:val="5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E172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H4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A858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1C13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E632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D9E0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0.336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4B03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31.62 ± 1.41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7F10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3222C137" w14:textId="77777777" w:rsidTr="00CE74C9">
        <w:trPr>
          <w:trHeight w:val="57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6979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H5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2B03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EC31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FEB8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C6D0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0.809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F28C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34.69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BB9C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72D7601D" w14:textId="77777777" w:rsidTr="00CE74C9">
        <w:trPr>
          <w:trHeight w:val="49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B1E1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H6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F352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6BAF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F462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26D3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0.287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5330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32.69 ± 0.22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4193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</w:tr>
      <w:tr w:rsidR="00F55EC8" w14:paraId="116DC4D4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F2747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H7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2BA7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841B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F000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1A70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0.223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162C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35.99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73EB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45C55D23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4C478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H8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2061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F5ED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54AF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909A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0.368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3CFB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38.27 ± 0.00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471F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3C5522B2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2CEF9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H9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AF65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8E67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EE12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0D20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0.479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7866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46.97 ± 5.66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D02E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71BD296F" w14:textId="77777777">
        <w:trPr>
          <w:trHeight w:val="379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0EB25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H11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B42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1CBA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DE2F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9D54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0.362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80F0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49.85 ± 6.36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5AAF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</w:tr>
      <w:tr w:rsidR="00F55EC8" w14:paraId="442B1C99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B87C1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H12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3B75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CDE8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2554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F973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0.421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9A30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24.82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103C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6C3225A9" w14:textId="77777777" w:rsidTr="00CE74C9">
        <w:trPr>
          <w:trHeight w:val="37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4E69C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H13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FBE0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9AD5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CCA0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FB8C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0.246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0674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41.06 ± 1.41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72FC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0.08</w:t>
            </w:r>
          </w:p>
        </w:tc>
      </w:tr>
      <w:tr w:rsidR="00F55EC8" w14:paraId="0641A793" w14:textId="77777777" w:rsidTr="00CE74C9">
        <w:trPr>
          <w:trHeight w:val="42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BC233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H14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5F77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E3815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6FDF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AC30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0.481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7CD0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37.47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0C92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12B9A255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6740B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H15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E81F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CD4D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F375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A032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0.318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6E79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46.14 ± 2.83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0A86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7E687CFA" w14:textId="77777777" w:rsidTr="00CE74C9">
        <w:trPr>
          <w:trHeight w:val="53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556B7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H16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CA16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85D5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258B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1D9C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0.247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C0F1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29.15 ± 0.00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BCBD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78F33C4D" w14:textId="77777777" w:rsidTr="00CE74C9">
        <w:trPr>
          <w:trHeight w:val="73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F7CA8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H17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DF9D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6B1E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D97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E2E3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0.497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0728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35.41 ± 2.12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5E6C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497BCC19" w14:textId="77777777" w:rsidTr="00CE74C9">
        <w:trPr>
          <w:trHeight w:val="79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D5846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H18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04A7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5E40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9420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7A2F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0.217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3F16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47.7 ± 5.66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149E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082DE4BE" w14:textId="77777777" w:rsidTr="00CE74C9">
        <w:trPr>
          <w:trHeight w:val="7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1BDFD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H19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263C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9E2F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40CB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9C31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0.193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E430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58.33 ± 1.41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EAFE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1033D9C1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D019F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41E3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8A5B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AF12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1D5B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0.387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1571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40.53 ± 1.41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D7570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42E816CD" w14:textId="77777777" w:rsidTr="00CE74C9">
        <w:trPr>
          <w:trHeight w:val="83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58BF8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H21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76E2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AA05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539D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7BA1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0.417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B539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32.94 ± 1.41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34B2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</w:tr>
      <w:tr w:rsidR="00F55EC8" w14:paraId="0CE8F028" w14:textId="77777777" w:rsidTr="00CE74C9">
        <w:trPr>
          <w:trHeight w:val="105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F904F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H22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01EB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7EBB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98D2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9500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0.435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F4F1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43.14 ± 2.83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92B9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</w:tr>
      <w:tr w:rsidR="00F55EC8" w14:paraId="26D48E32" w14:textId="77777777" w:rsidTr="00CE74C9">
        <w:trPr>
          <w:trHeight w:val="100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1F4E3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H23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C97C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8B6E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D28B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0A15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0.297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9854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34.81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AE15E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0.02</w:t>
            </w:r>
          </w:p>
        </w:tc>
      </w:tr>
      <w:tr w:rsidR="00F55EC8" w14:paraId="759118A1" w14:textId="77777777" w:rsidTr="00CE74C9">
        <w:trPr>
          <w:trHeight w:val="10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FCCBC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H24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E277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813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58F9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27CA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0.319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5FD7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48.71 ± 0.71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9D1C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</w:tr>
      <w:tr w:rsidR="00F55EC8" w14:paraId="57600BAF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ABCD1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H25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A802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35D6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29D8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6F1C92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E2B0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42.97 ± 0.96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5E860AF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7315C92E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D23E0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H26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6000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CA4A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466E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4AD023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ABE56" w14:textId="77002393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35.76 ± 1.39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4A4D89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4E9BB773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3F00F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H27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D3D2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FC28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5B7B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A84B93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C1A056" w14:textId="5B61AA13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34.44 ± 1.71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F30CFA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7635C6D4" w14:textId="77777777" w:rsidTr="00CE74C9">
        <w:trPr>
          <w:trHeight w:val="139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998EF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H28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CE0B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5A8C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9453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3A053A7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5E1E6" w14:textId="4CC6757D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40.36 ± 0.60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44A7D8D2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3CEC3C13" w14:textId="77777777" w:rsidTr="00CE74C9">
        <w:trPr>
          <w:trHeight w:val="146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9AB5B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H29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F6A9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92D5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C966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F72D1A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28EAD" w14:textId="74962D66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34.51 ± 0.94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888388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2AE59D32" w14:textId="77777777" w:rsidTr="00CE74C9">
        <w:trPr>
          <w:trHeight w:val="15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979DF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H30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5391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C732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AC82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BBC8AE9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9B5DB" w14:textId="39163F6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36.82 ± 0.94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A3268A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230DE2C9" w14:textId="77777777" w:rsidTr="00CE74C9">
        <w:trPr>
          <w:trHeight w:val="21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C486D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H31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35F7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1C78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0261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1C2F67D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6C59D" w14:textId="258B279D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33.53 ± 0.74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A881EA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1288F926" w14:textId="77777777" w:rsidTr="00CE74C9">
        <w:trPr>
          <w:trHeight w:val="149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2103C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H32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5B81F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54D70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882CC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BDEC665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DD4F3" w14:textId="667B79AA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37.18 ± 1.29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C8F5A53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6A5372D9" w14:textId="77777777" w:rsidTr="00CE74C9">
        <w:trPr>
          <w:trHeight w:val="154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AD5DC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H33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B357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EAFD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D430B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4B1D8B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37E2E" w14:textId="29F7617A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41.08 ± 0.68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2D9C902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F55EC8" w14:paraId="19229337" w14:textId="77777777" w:rsidTr="00CE74C9">
        <w:trPr>
          <w:trHeight w:val="180"/>
        </w:trPr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9D5A3" w14:textId="77777777" w:rsidR="00F55EC8" w:rsidRDefault="00000000">
            <w:pPr>
              <w:spacing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H34</w:t>
            </w:r>
          </w:p>
        </w:tc>
        <w:tc>
          <w:tcPr>
            <w:tcW w:w="1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589C8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3A701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ABA0A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0A9FE1F6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C430E" w14:textId="751CE72C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18.09 ± 0.74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5953BC4" w14:textId="77777777" w:rsidR="00F55EC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57550372" w14:textId="77777777" w:rsidR="00F55EC8" w:rsidRDefault="00000000">
      <w:pPr>
        <w:pStyle w:val="Heading2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xrehf9pqxnfb" w:colFirst="0" w:colLast="0"/>
      <w:bookmarkStart w:id="7" w:name="_ejh7i03kz21o" w:colFirst="0" w:colLast="0"/>
      <w:bookmarkEnd w:id="6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S4. </w:t>
      </w:r>
      <w:r>
        <w:rPr>
          <w:rFonts w:ascii="Times New Roman" w:eastAsia="Times New Roman" w:hAnsi="Times New Roman" w:cs="Times New Roman"/>
          <w:sz w:val="24"/>
          <w:szCs w:val="24"/>
        </w:rPr>
        <w:t>Samples with history of cancer.</w:t>
      </w:r>
    </w:p>
    <w:tbl>
      <w:tblPr>
        <w:tblStyle w:val="a1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3585"/>
        <w:gridCol w:w="2025"/>
        <w:gridCol w:w="1875"/>
      </w:tblGrid>
      <w:tr w:rsidR="00F55EC8" w14:paraId="46940F6B" w14:textId="77777777">
        <w:trPr>
          <w:trHeight w:val="345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3720C18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Patient clinical status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946F332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No. of patients with history of cancer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1ECB662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432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Past cancer type 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11D92C2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Asima Rev outcome</w:t>
            </w:r>
          </w:p>
        </w:tc>
      </w:tr>
      <w:tr w:rsidR="00F55EC8" w14:paraId="171A07A7" w14:textId="77777777">
        <w:trPr>
          <w:trHeight w:val="240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2047C6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Healthy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66E50D8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120471B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E54D270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55EC8" w14:paraId="3C0C857C" w14:textId="77777777">
        <w:trPr>
          <w:trHeight w:val="240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A459F9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 stage I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81C8A2A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C20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9ED2587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Leukemia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9C595B1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FN</w:t>
            </w:r>
          </w:p>
        </w:tc>
      </w:tr>
      <w:tr w:rsidR="00F55EC8" w14:paraId="75691BE7" w14:textId="77777777">
        <w:trPr>
          <w:trHeight w:val="240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769CC40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8" w:name="_lb390knwdfua" w:colFirst="0" w:colLast="0"/>
            <w:bookmarkEnd w:id="8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 stage II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CD83CC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7460D11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570047D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55EC8" w14:paraId="2AA7E92A" w14:textId="77777777">
        <w:trPr>
          <w:trHeight w:val="240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606DB8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 stage III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A5E0EF8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C1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714C37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Skin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68580B7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TP</w:t>
            </w:r>
          </w:p>
        </w:tc>
      </w:tr>
      <w:tr w:rsidR="00F55EC8" w14:paraId="18A30E14" w14:textId="77777777">
        <w:trPr>
          <w:trHeight w:val="245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6A8AD54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 stage IV</w:t>
            </w:r>
          </w:p>
        </w:tc>
        <w:tc>
          <w:tcPr>
            <w:tcW w:w="3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0E246B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C3, C14, C38, C41</w:t>
            </w:r>
          </w:p>
        </w:tc>
        <w:tc>
          <w:tcPr>
            <w:tcW w:w="2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997D97E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9" w:name="_er85uhmz87bw" w:colFirst="0" w:colLast="0"/>
            <w:bookmarkEnd w:id="9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Lung (C3), </w:t>
            </w:r>
          </w:p>
          <w:p w14:paraId="217F683A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0" w:name="_q91y0c1mk0wr" w:colFirst="0" w:colLast="0"/>
            <w:bookmarkEnd w:id="1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CRC (C14, C38, C41)</w:t>
            </w:r>
          </w:p>
        </w:tc>
        <w:tc>
          <w:tcPr>
            <w:tcW w:w="1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FCE4E6A" w14:textId="77777777" w:rsidR="00F55EC8" w:rsidRDefault="00000000">
            <w:pPr>
              <w:pStyle w:val="Heading2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1" w:name="_j4e414xsfoxp" w:colFirst="0" w:colLast="0"/>
            <w:bookmarkEnd w:id="1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TP</w:t>
            </w:r>
          </w:p>
        </w:tc>
      </w:tr>
    </w:tbl>
    <w:p w14:paraId="425FD960" w14:textId="77777777" w:rsidR="00F55EC8" w:rsidRDefault="00F55EC8">
      <w:pPr>
        <w:pStyle w:val="Heading2"/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2" w:name="_h4g9vhvx0awc" w:colFirst="0" w:colLast="0"/>
      <w:bookmarkEnd w:id="12"/>
    </w:p>
    <w:p w14:paraId="722315FB" w14:textId="77777777" w:rsidR="00F55EC8" w:rsidRDefault="00000000">
      <w:pPr>
        <w:pStyle w:val="Heading2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fgqattbvsew1" w:colFirst="0" w:colLast="0"/>
      <w:bookmarkEnd w:id="1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S5.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Demographic and clinical characteristics of CRC patients in TCGA.</w:t>
      </w:r>
    </w:p>
    <w:p w14:paraId="470F43C8" w14:textId="77777777" w:rsidR="00F55EC8" w:rsidRDefault="00000000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486E5B36" wp14:editId="4CAE13DD">
            <wp:extent cx="2481263" cy="3000375"/>
            <wp:effectExtent l="0" t="0" r="0" b="0"/>
            <wp:docPr id="1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r="66651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82467" w14:textId="77777777" w:rsidR="00F55EC8" w:rsidRDefault="00F55EC8">
      <w:pPr>
        <w:spacing w:line="240" w:lineRule="auto"/>
        <w:jc w:val="center"/>
      </w:pPr>
    </w:p>
    <w:p w14:paraId="6089479A" w14:textId="77777777" w:rsidR="00F55EC8" w:rsidRDefault="00F55EC8"/>
    <w:p w14:paraId="0D8CC407" w14:textId="77777777" w:rsidR="00F55EC8" w:rsidRDefault="00000000">
      <w:pPr>
        <w:pStyle w:val="Heading2"/>
        <w:spacing w:before="0" w:after="0" w:line="240" w:lineRule="auto"/>
        <w:rPr>
          <w:sz w:val="24"/>
          <w:szCs w:val="24"/>
        </w:rPr>
      </w:pPr>
      <w:bookmarkStart w:id="14" w:name="_jbuplhuna3o3" w:colFirst="0" w:colLast="0"/>
      <w:bookmarkEnd w:id="14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S6</w:t>
      </w:r>
      <w:r>
        <w:rPr>
          <w:rFonts w:ascii="Times New Roman" w:eastAsia="Times New Roman" w:hAnsi="Times New Roman" w:cs="Times New Roman"/>
          <w:sz w:val="24"/>
          <w:szCs w:val="24"/>
        </w:rPr>
        <w:t>. Process of analysis of TEM images using ImageJ to calculate cfDNA aggregates in CRC surveillance.</w:t>
      </w:r>
    </w:p>
    <w:tbl>
      <w:tblPr>
        <w:tblStyle w:val="a2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45"/>
        <w:gridCol w:w="3100"/>
        <w:gridCol w:w="3115"/>
      </w:tblGrid>
      <w:tr w:rsidR="00F55EC8" w14:paraId="06711B05" w14:textId="77777777">
        <w:trPr>
          <w:trHeight w:val="895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8F54A" w14:textId="77777777" w:rsidR="00F55EC8" w:rsidRDefault="00000000">
            <w:pPr>
              <w:numPr>
                <w:ilvl w:val="0"/>
                <w:numId w:val="1"/>
              </w:numPr>
              <w:spacing w:line="240" w:lineRule="auto"/>
              <w:ind w:left="45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Open TEM Image in Fiji (ImageJ). </w:t>
            </w:r>
          </w:p>
        </w:tc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7134A" w14:textId="77777777" w:rsidR="00F55EC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(2) Subtract image background to make image more uniform given varying background fluorescence. 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BDE04" w14:textId="77777777" w:rsidR="00F55EC8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(3) Adjust image threshold to create a binary mask (all values set to either 0 or 1, black or white). </w:t>
            </w:r>
          </w:p>
        </w:tc>
      </w:tr>
      <w:tr w:rsidR="00F55EC8" w14:paraId="532A7B6A" w14:textId="77777777">
        <w:trPr>
          <w:trHeight w:val="2610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640F2" w14:textId="77777777" w:rsidR="00F55EC8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D3CD8AE" wp14:editId="32516B6C">
                  <wp:extent cx="1854200" cy="1498600"/>
                  <wp:effectExtent l="0" t="0" r="0" b="0"/>
                  <wp:docPr id="21" name="image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64B3F" w14:textId="77777777" w:rsidR="00F55EC8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892CA66" wp14:editId="326BA5CA">
                  <wp:extent cx="1816100" cy="1447800"/>
                  <wp:effectExtent l="0" t="0" r="0" b="0"/>
                  <wp:docPr id="17" name="image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186BA" w14:textId="77777777" w:rsidR="00F55EC8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66C3FE16" wp14:editId="07F78BAE">
                  <wp:extent cx="1854200" cy="1524000"/>
                  <wp:effectExtent l="0" t="0" r="0" b="0"/>
                  <wp:docPr id="3" name="image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EC8" w14:paraId="78EE99F0" w14:textId="77777777">
        <w:trPr>
          <w:trHeight w:val="1242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D764A" w14:textId="77777777" w:rsidR="00F55EC8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(3) Erode then dilate the binary mask to remove the salt and pepper noise, then enhance the large pixel aggregates. </w:t>
            </w:r>
          </w:p>
        </w:tc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FB420" w14:textId="77777777" w:rsidR="00F55EC8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(4) Get an image histogram to derive the number of pixels at each binary value (0 and 1, black or white). </w:t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DEECA" w14:textId="77777777" w:rsidR="00F55EC8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(5) Derive percentage of black pixels relative to all pixels, representing the percent area of the total image covered by aggregates. </w:t>
            </w:r>
          </w:p>
        </w:tc>
      </w:tr>
      <w:tr w:rsidR="00F55EC8" w14:paraId="3EC91678" w14:textId="77777777">
        <w:trPr>
          <w:trHeight w:val="2735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4953A" w14:textId="77777777" w:rsidR="00F55EC8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EB64516" wp14:editId="718543A4">
                  <wp:extent cx="1879600" cy="1498600"/>
                  <wp:effectExtent l="0" t="0" r="0" b="0"/>
                  <wp:docPr id="25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DDAD2" w14:textId="77777777" w:rsidR="00F55EC8" w:rsidRDefault="0000000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080E4F0" wp14:editId="0BDB967E">
                  <wp:extent cx="1854200" cy="1524000"/>
                  <wp:effectExtent l="0" t="0" r="0" b="0"/>
                  <wp:docPr id="2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04A70" w14:textId="77777777" w:rsidR="00F55EC8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tbl>
            <w:tblPr>
              <w:tblStyle w:val="a3"/>
              <w:tblW w:w="291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10"/>
            </w:tblGrid>
            <w:tr w:rsidR="00F55EC8" w14:paraId="304D3EFA" w14:textId="77777777">
              <w:trPr>
                <w:trHeight w:val="420"/>
              </w:trPr>
              <w:tc>
                <w:tcPr>
                  <w:tcW w:w="29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04A45B3F" w14:textId="77777777" w:rsidR="00F55EC8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No. white pixels: 769803</w:t>
                  </w:r>
                </w:p>
              </w:tc>
            </w:tr>
            <w:tr w:rsidR="00F55EC8" w14:paraId="2962A6F3" w14:textId="77777777">
              <w:trPr>
                <w:trHeight w:val="420"/>
              </w:trPr>
              <w:tc>
                <w:tcPr>
                  <w:tcW w:w="29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1E75D46A" w14:textId="77777777" w:rsidR="00F55EC8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No. black pixels: 16629</w:t>
                  </w:r>
                </w:p>
              </w:tc>
            </w:tr>
            <w:tr w:rsidR="00F55EC8" w14:paraId="74880ED1" w14:textId="77777777">
              <w:trPr>
                <w:trHeight w:val="420"/>
              </w:trPr>
              <w:tc>
                <w:tcPr>
                  <w:tcW w:w="29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48AB73D8" w14:textId="77777777" w:rsidR="00F55EC8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No. total pixels: 786432</w:t>
                  </w:r>
                </w:p>
              </w:tc>
            </w:tr>
            <w:tr w:rsidR="00F55EC8" w14:paraId="6DF9F457" w14:textId="77777777">
              <w:trPr>
                <w:trHeight w:val="645"/>
              </w:trPr>
              <w:tc>
                <w:tcPr>
                  <w:tcW w:w="2910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2AD509A" w14:textId="77777777" w:rsidR="00F55EC8" w:rsidRDefault="00000000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Percentage black pixels or aggregates: 2.11</w:t>
                  </w:r>
                </w:p>
              </w:tc>
            </w:tr>
          </w:tbl>
          <w:p w14:paraId="291FA9FD" w14:textId="77777777" w:rsidR="00F55EC8" w:rsidRDefault="00000000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436FBEFA" w14:textId="77777777" w:rsidR="00F55EC8" w:rsidRDefault="00F55EC8">
      <w:pPr>
        <w:pStyle w:val="Heading2"/>
        <w:spacing w:before="0" w:after="0" w:line="240" w:lineRule="auto"/>
        <w:rPr>
          <w:sz w:val="24"/>
          <w:szCs w:val="24"/>
        </w:rPr>
      </w:pPr>
      <w:bookmarkStart w:id="15" w:name="_rungsqjqn8df" w:colFirst="0" w:colLast="0"/>
      <w:bookmarkEnd w:id="15"/>
    </w:p>
    <w:p w14:paraId="30FE5E4E" w14:textId="77777777" w:rsidR="00F55EC8" w:rsidRDefault="00F55EC8">
      <w:pPr>
        <w:pStyle w:val="Heading2"/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6da1opkbn8y6" w:colFirst="0" w:colLast="0"/>
      <w:bookmarkEnd w:id="16"/>
    </w:p>
    <w:p w14:paraId="297495E0" w14:textId="77777777" w:rsidR="00F55EC8" w:rsidRDefault="00F55EC8">
      <w:pPr>
        <w:spacing w:line="240" w:lineRule="auto"/>
        <w:jc w:val="center"/>
      </w:pPr>
    </w:p>
    <w:p w14:paraId="78A68D69" w14:textId="77777777" w:rsidR="00F55EC8" w:rsidRDefault="00F55EC8">
      <w:pPr>
        <w:spacing w:line="240" w:lineRule="auto"/>
        <w:jc w:val="center"/>
      </w:pPr>
    </w:p>
    <w:p w14:paraId="288BE996" w14:textId="77777777" w:rsidR="00F55EC8" w:rsidRDefault="00000000">
      <w:pPr>
        <w:spacing w:line="240" w:lineRule="auto"/>
      </w:pPr>
      <w:r>
        <w:rPr>
          <w:b/>
          <w:bCs/>
        </w:rPr>
        <w:t xml:space="preserve">Table S7. </w:t>
      </w:r>
      <w:r>
        <w:t>Number of probes available and used for analysis in each dataset. 125111 OpenSea probes were common across all datasets.</w:t>
      </w:r>
    </w:p>
    <w:p w14:paraId="1A8CDD50" w14:textId="77777777" w:rsidR="00F55EC8" w:rsidRDefault="00000000">
      <w:pPr>
        <w:pStyle w:val="Heading2"/>
        <w:spacing w:before="0" w:after="0" w:line="240" w:lineRule="auto"/>
        <w:rPr>
          <w:sz w:val="24"/>
          <w:szCs w:val="24"/>
        </w:rPr>
      </w:pPr>
      <w:bookmarkStart w:id="17" w:name="_kcif4tsctnd5" w:colFirst="0" w:colLast="0"/>
      <w:bookmarkEnd w:id="17"/>
      <w:r>
        <w:rPr>
          <w:noProof/>
          <w:sz w:val="24"/>
          <w:szCs w:val="24"/>
        </w:rPr>
        <w:drawing>
          <wp:inline distT="114300" distB="114300" distL="114300" distR="114300" wp14:anchorId="0229284F" wp14:editId="7FFC0B94">
            <wp:extent cx="5943600" cy="27940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54" r="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2F3EC" w14:textId="77777777" w:rsidR="00F55EC8" w:rsidRDefault="00F55EC8"/>
    <w:p w14:paraId="57245E81" w14:textId="77777777" w:rsidR="00F55EC8" w:rsidRDefault="00F55EC8">
      <w:pPr>
        <w:spacing w:line="240" w:lineRule="auto"/>
      </w:pPr>
    </w:p>
    <w:p w14:paraId="294A566D" w14:textId="77777777" w:rsidR="00F55EC8" w:rsidRDefault="00F55EC8">
      <w:pPr>
        <w:spacing w:line="240" w:lineRule="auto"/>
      </w:pPr>
    </w:p>
    <w:p w14:paraId="23E26C17" w14:textId="77777777" w:rsidR="00F55EC8" w:rsidRDefault="00F55EC8">
      <w:pPr>
        <w:spacing w:line="240" w:lineRule="auto"/>
      </w:pPr>
    </w:p>
    <w:p w14:paraId="405975B0" w14:textId="77777777" w:rsidR="00F55EC8" w:rsidRDefault="00000000">
      <w:pPr>
        <w:spacing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03552568" wp14:editId="7488BBC1">
            <wp:extent cx="5943600" cy="19812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4B7C8" w14:textId="77777777" w:rsidR="00F55EC8" w:rsidRDefault="00000000">
      <w:pPr>
        <w:pStyle w:val="Heading2"/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rshyssb4cxmm" w:colFirst="0" w:colLast="0"/>
      <w:bookmarkEnd w:id="1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S1. </w:t>
      </w:r>
      <w:r>
        <w:rPr>
          <w:rFonts w:ascii="Times New Roman" w:eastAsia="Times New Roman" w:hAnsi="Times New Roman" w:cs="Times New Roman"/>
          <w:sz w:val="24"/>
          <w:szCs w:val="24"/>
        </w:rPr>
        <w:t>Principal Components Analysis (PCA) plot of top 1000 most variable probes from 486, 427 total probes in TCGA without any filtering,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colored by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cancer status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gender. </w:t>
      </w:r>
    </w:p>
    <w:p w14:paraId="270B3B24" w14:textId="77777777" w:rsidR="00F55EC8" w:rsidRDefault="00F55EC8">
      <w:pPr>
        <w:spacing w:line="240" w:lineRule="auto"/>
      </w:pPr>
    </w:p>
    <w:p w14:paraId="74E8927E" w14:textId="77777777" w:rsidR="00F55EC8" w:rsidRDefault="00F55EC8">
      <w:pPr>
        <w:spacing w:line="240" w:lineRule="auto"/>
      </w:pPr>
    </w:p>
    <w:p w14:paraId="1948D161" w14:textId="77777777" w:rsidR="00F55EC8" w:rsidRDefault="00000000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3C97C511" wp14:editId="256FE170">
            <wp:extent cx="5943600" cy="19812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53568" w14:textId="77777777" w:rsidR="00F55EC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S2. </w:t>
      </w:r>
      <w:r>
        <w:rPr>
          <w:rFonts w:ascii="Times New Roman" w:eastAsia="Times New Roman" w:hAnsi="Times New Roman" w:cs="Times New Roman"/>
          <w:sz w:val="24"/>
          <w:szCs w:val="24"/>
        </w:rPr>
        <w:t>PCA plot of top 1000 most variable probes from 398,783 total probes in TCGA after filtering, colored by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cancer status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</w:rPr>
        <w:t>gender.</w:t>
      </w:r>
    </w:p>
    <w:p w14:paraId="0C2E8EFB" w14:textId="77777777" w:rsidR="00F55EC8" w:rsidRDefault="00F55E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2FEF80" w14:textId="77777777" w:rsidR="00F55EC8" w:rsidRDefault="00F55EC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03E3CE" w14:textId="77777777" w:rsidR="00F55EC8" w:rsidRDefault="00000000">
      <w:pPr>
        <w:spacing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 S1. A discussion on why filtering of probes is required for Illumina Infinium methylation arrays.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Illumina Infinium methylation arrays use 50bp probes to query methylation status at various sites on the genome at a single base resolution. Before performing analysis on these data, it is common practice to filter out probes whose detection p-values are greater than a threshold, probes that occur in commonly known regions with single nucleotide polymorphisms (SNPs) that may affect CpG sites and probes that have shown to be cross-reactive. In addition, the PCA plots without removing probes on X and Y chromosomes showed that adjacent normal tissue samples cluster based on gender (Fig. S1), indicating that gender is a significant source of variation. Removing the probes from X and Y chromosomes led to cancer status being the main source of variance in the data (Fig. S2), enabling us to draw conclusions applicable to all samples. </w:t>
      </w:r>
    </w:p>
    <w:p w14:paraId="4B473BAA" w14:textId="77777777" w:rsidR="00F55EC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0284B5F" wp14:editId="34E05281">
            <wp:extent cx="4676775" cy="259553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9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C8BCD5" w14:textId="77777777" w:rsidR="00F55EC8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S3. </w:t>
      </w:r>
      <w:r>
        <w:rPr>
          <w:rFonts w:ascii="Times New Roman" w:eastAsia="Times New Roman" w:hAnsi="Times New Roman" w:cs="Times New Roman"/>
          <w:sz w:val="24"/>
          <w:szCs w:val="24"/>
        </w:rPr>
        <w:t>Correlation between average β-value of LINE-1 probes and average β-value of OpenSea probes in TCGA.</w:t>
      </w:r>
    </w:p>
    <w:p w14:paraId="5E00E336" w14:textId="77777777" w:rsidR="00F55EC8" w:rsidRDefault="00F55EC8">
      <w:pPr>
        <w:pStyle w:val="Heading2"/>
        <w:spacing w:before="0" w:after="0" w:line="240" w:lineRule="auto"/>
        <w:rPr>
          <w:sz w:val="24"/>
          <w:szCs w:val="24"/>
        </w:rPr>
      </w:pPr>
      <w:bookmarkStart w:id="19" w:name="_dail0gut0eff" w:colFirst="0" w:colLast="0"/>
      <w:bookmarkEnd w:id="19"/>
    </w:p>
    <w:p w14:paraId="6319726B" w14:textId="77777777" w:rsidR="00F55EC8" w:rsidRDefault="00000000">
      <w:pPr>
        <w:pStyle w:val="Heading2"/>
        <w:spacing w:before="0" w:after="0" w:line="240" w:lineRule="auto"/>
        <w:jc w:val="center"/>
      </w:pPr>
      <w:bookmarkStart w:id="20" w:name="_v6ybgc60cxz0" w:colFirst="0" w:colLast="0"/>
      <w:bookmarkEnd w:id="20"/>
      <w:r>
        <w:rPr>
          <w:noProof/>
        </w:rPr>
        <w:drawing>
          <wp:inline distT="114300" distB="114300" distL="114300" distR="114300" wp14:anchorId="1CC9F449" wp14:editId="0AAD4AB2">
            <wp:extent cx="4186238" cy="2325688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4186238" cy="232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770F9" w14:textId="77777777" w:rsidR="00F55EC8" w:rsidRDefault="00000000">
      <w:pPr>
        <w:pStyle w:val="Heading2"/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w92y0om216oe" w:colFirst="0" w:colLast="0"/>
      <w:bookmarkEnd w:id="2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Correlation between average β-value of all probes after filtering and average β-value of LINE-1 probes in TCGA. </w:t>
      </w:r>
    </w:p>
    <w:p w14:paraId="69C5F531" w14:textId="77777777" w:rsidR="00F55EC8" w:rsidRDefault="00F55EC8"/>
    <w:p w14:paraId="6A5C58DA" w14:textId="77777777" w:rsidR="00F55EC8" w:rsidRDefault="00F55EC8"/>
    <w:p w14:paraId="73C98D4A" w14:textId="77777777" w:rsidR="00F55EC8" w:rsidRDefault="00000000">
      <w:pPr>
        <w:spacing w:line="240" w:lineRule="auto"/>
        <w:jc w:val="both"/>
      </w:pPr>
      <w:r>
        <w:rPr>
          <w:noProof/>
        </w:rPr>
        <w:lastRenderedPageBreak/>
        <w:drawing>
          <wp:inline distT="114300" distB="114300" distL="114300" distR="114300" wp14:anchorId="35174EA7" wp14:editId="5A313B27">
            <wp:extent cx="5943600" cy="36703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Fig. S5.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Average β-value for all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in CRC patients with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microsatellite stability (MSS) and microsatellite instability (MSI);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CpG Island Methylator Phenotypes - High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CIMP.High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Low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CIMP.Low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and Negative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CIMP.Neg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Consensus Molecular Subtypes (CMS) 1-4, and;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(d) </w:t>
      </w:r>
      <w:r>
        <w:rPr>
          <w:rFonts w:ascii="Times New Roman" w:eastAsia="Times New Roman" w:hAnsi="Times New Roman" w:cs="Times New Roman"/>
          <w:sz w:val="24"/>
          <w:szCs w:val="24"/>
        </w:rPr>
        <w:t>wild type (BRAF WT) and mutated (BRAF MUT) BRAF gene compared to adjacent normal tissue (Adj. Normal). NA refers to samples for which molecular subtype annotation was unavailable.</w:t>
      </w:r>
    </w:p>
    <w:p w14:paraId="163E57E1" w14:textId="77777777" w:rsidR="00F55EC8" w:rsidRDefault="00F55EC8">
      <w:pPr>
        <w:pStyle w:val="Heading2"/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i0dyf6nl52tz" w:colFirst="0" w:colLast="0"/>
      <w:bookmarkEnd w:id="22"/>
    </w:p>
    <w:p w14:paraId="70BE2049" w14:textId="77777777" w:rsidR="00F55EC8" w:rsidRDefault="00F55EC8"/>
    <w:p w14:paraId="48E990A6" w14:textId="77777777" w:rsidR="00F55EC8" w:rsidRDefault="00F55EC8">
      <w:pPr>
        <w:spacing w:line="240" w:lineRule="auto"/>
      </w:pPr>
    </w:p>
    <w:p w14:paraId="435EFB02" w14:textId="77777777" w:rsidR="00F55EC8" w:rsidRDefault="00F55EC8">
      <w:pPr>
        <w:spacing w:line="240" w:lineRule="auto"/>
      </w:pPr>
    </w:p>
    <w:p w14:paraId="2DD0593D" w14:textId="77777777" w:rsidR="00F55EC8" w:rsidRDefault="000000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DB722E2" wp14:editId="65C1F82A">
            <wp:extent cx="2658533" cy="2121714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t="2115" b="2115"/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2121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C4703" w14:textId="77777777" w:rsidR="00F55EC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S6. </w:t>
      </w:r>
      <w:r>
        <w:rPr>
          <w:rFonts w:ascii="Times New Roman" w:eastAsia="Times New Roman" w:hAnsi="Times New Roman" w:cs="Times New Roman"/>
          <w:sz w:val="24"/>
          <w:szCs w:val="24"/>
        </w:rPr>
        <w:t>Comparison of average β-values across OpenSea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>) in healthy individuals (Healthy), adjacent normal tissue (Adj. Normal) from CRC patients, and CRC tissue (Cancer) in GSE42752. The gray line represents 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adjacent normal tissue from the TCGA study. </w:t>
      </w:r>
    </w:p>
    <w:p w14:paraId="653D0D5D" w14:textId="77777777" w:rsidR="00F55EC8" w:rsidRDefault="00F55EC8">
      <w:pPr>
        <w:spacing w:line="240" w:lineRule="auto"/>
        <w:rPr>
          <w:sz w:val="24"/>
          <w:szCs w:val="24"/>
        </w:rPr>
      </w:pPr>
    </w:p>
    <w:p w14:paraId="7236895D" w14:textId="77777777" w:rsidR="00F55EC8" w:rsidRDefault="000000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D5A48B6" wp14:editId="6BA445B5">
            <wp:extent cx="2752725" cy="2175751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t="2576" b="257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75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0BA29" w14:textId="77777777" w:rsidR="00F55EC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S7. </w:t>
      </w:r>
      <w:r>
        <w:rPr>
          <w:rFonts w:ascii="Times New Roman" w:eastAsia="Times New Roman" w:hAnsi="Times New Roman" w:cs="Times New Roman"/>
          <w:sz w:val="24"/>
          <w:szCs w:val="24"/>
        </w:rPr>
        <w:t>Comparison of average β-values across OpenSea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>) in healthy individuals (Healthy), adjacent normal tissue (Adj. Normal) from CRC patients, Adenoma patients (Adenoma) and CRC tissue (Cancer) in GSE48684. The gray line represents 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adjacent normal tissue from the TCGA study.</w:t>
      </w:r>
    </w:p>
    <w:p w14:paraId="1B3276A9" w14:textId="77777777" w:rsidR="00F55EC8" w:rsidRDefault="00F55E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FEFAF9" w14:textId="77777777" w:rsidR="00F55EC8" w:rsidRDefault="00F55EC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F0A88" w14:textId="77777777" w:rsidR="00F55EC8" w:rsidRDefault="000000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813178F" wp14:editId="2F7B8485">
            <wp:extent cx="3248025" cy="25495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t="2903" b="290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4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73E8C8" w14:textId="77777777" w:rsidR="00F55EC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S8. </w:t>
      </w:r>
      <w:r>
        <w:rPr>
          <w:rFonts w:ascii="Times New Roman" w:eastAsia="Times New Roman" w:hAnsi="Times New Roman" w:cs="Times New Roman"/>
          <w:sz w:val="24"/>
          <w:szCs w:val="24"/>
        </w:rPr>
        <w:t>Comparison of average β-values across OpenSea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>) in healthy individuals (Healthy), adjacent normal tissue (Adj. Normal) from CRC patients, and CRC tissue (Cancer) in GSE199057. The gray line represents 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adjacent normal tissue from the TCGA study.</w:t>
      </w:r>
    </w:p>
    <w:p w14:paraId="3FB637A5" w14:textId="77777777" w:rsidR="00F55EC8" w:rsidRDefault="00F55EC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817980" w14:textId="77777777" w:rsidR="00F55EC8" w:rsidRDefault="00000000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097A54E" wp14:editId="44AD63A6">
            <wp:extent cx="5100638" cy="3146616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3146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F050F" w14:textId="77777777" w:rsidR="00F55EC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Comparison of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average β-value across OpenSea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and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average β-value across LINE-1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LINE-1</w:t>
      </w:r>
      <w:r>
        <w:rPr>
          <w:rFonts w:ascii="Times New Roman" w:eastAsia="Times New Roman" w:hAnsi="Times New Roman" w:cs="Times New Roman"/>
          <w:sz w:val="24"/>
          <w:szCs w:val="24"/>
        </w:rPr>
        <w:t>) in pooled cfDNA samples from healthy individuals and pooled cfDNA samples from CRC patients in GSE186381. The gray line represents 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adjacent normal tissue from the TCGA study.</w:t>
      </w:r>
    </w:p>
    <w:p w14:paraId="3DBC5227" w14:textId="77777777" w:rsidR="00293C58" w:rsidRDefault="00293C5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11D6F5" w14:textId="77777777" w:rsidR="00F55EC8" w:rsidRDefault="00F55EC8"/>
    <w:p w14:paraId="72704BEB" w14:textId="77777777" w:rsidR="00F55EC8" w:rsidRDefault="00000000">
      <w:pPr>
        <w:jc w:val="center"/>
      </w:pPr>
      <w:r>
        <w:rPr>
          <w:noProof/>
        </w:rPr>
        <w:drawing>
          <wp:inline distT="114300" distB="114300" distL="114300" distR="114300" wp14:anchorId="4AD4A7A1" wp14:editId="5B2F9A89">
            <wp:extent cx="3390900" cy="2695575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t="2303" b="230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D6B2F" w14:textId="77777777" w:rsidR="00F55EC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Fig. S10. </w:t>
      </w:r>
      <w:r>
        <w:rPr>
          <w:rFonts w:ascii="Times New Roman" w:eastAsia="Times New Roman" w:hAnsi="Times New Roman" w:cs="Times New Roman"/>
          <w:sz w:val="24"/>
          <w:szCs w:val="24"/>
        </w:rPr>
        <w:t>Comparison of average β-value across OpenSea probes (β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>) in pooled cfDNA samples from healthy individuals, pooled cfDNA samples from patients with advanced adenoma, and pooled cfDNA samples from CRC patients in GSE110185. The gray line represents 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av, 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adjacent normal tissue from the TCGA study.</w:t>
      </w:r>
    </w:p>
    <w:p w14:paraId="58A5CACE" w14:textId="77777777" w:rsidR="00F55EC8" w:rsidRDefault="00F55EC8">
      <w:pPr>
        <w:rPr>
          <w:sz w:val="24"/>
          <w:szCs w:val="24"/>
        </w:rPr>
      </w:pPr>
    </w:p>
    <w:p w14:paraId="30832F8B" w14:textId="190C7E9F" w:rsidR="00F55EC8" w:rsidRDefault="00F55EC8"/>
    <w:sectPr w:rsidR="00F55EC8"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68B68" w14:textId="77777777" w:rsidR="00367ACA" w:rsidRDefault="00367ACA">
      <w:pPr>
        <w:spacing w:line="240" w:lineRule="auto"/>
      </w:pPr>
      <w:r>
        <w:separator/>
      </w:r>
    </w:p>
  </w:endnote>
  <w:endnote w:type="continuationSeparator" w:id="0">
    <w:p w14:paraId="4105E46E" w14:textId="77777777" w:rsidR="00367ACA" w:rsidRDefault="00367A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56ECDE-18C7-764A-8F8D-5744798C4CA8}"/>
    <w:embedBold r:id="rId2" w:fontKey="{BDA6C0F7-DDAF-184C-B276-0E63B2E69C36}"/>
    <w:embedItalic r:id="rId3" w:fontKey="{775961B5-2BB4-604E-9E62-BB55F92B56D9}"/>
    <w:embedBoldItalic r:id="rId4" w:fontKey="{E11F3BE7-9FDF-C748-B0D3-ABD7010E06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1F5FBB4-AF50-0240-9E44-78C5A75C32B4}"/>
    <w:embedBold r:id="rId6" w:fontKey="{30E80614-85BD-814D-823F-B83FDC28A3EA}"/>
    <w:embedItalic r:id="rId7" w:fontKey="{8E494901-E823-7844-A980-3DD94029AA2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20ECB86-1E1E-9549-BE12-5BDDECE2CC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27588D3-52F1-414B-BC6C-55F9018E7B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40562016"/>
      <w:docPartObj>
        <w:docPartGallery w:val="Page Numbers (Bottom of Page)"/>
        <w:docPartUnique/>
      </w:docPartObj>
    </w:sdtPr>
    <w:sdtContent>
      <w:p w14:paraId="64BC0837" w14:textId="76C995F0" w:rsidR="00130384" w:rsidRDefault="00130384" w:rsidP="000F5C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AEB6CDB" w14:textId="77777777" w:rsidR="00130384" w:rsidRDefault="00130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137093279"/>
      <w:docPartObj>
        <w:docPartGallery w:val="Page Numbers (Bottom of Page)"/>
        <w:docPartUnique/>
      </w:docPartObj>
    </w:sdtPr>
    <w:sdtContent>
      <w:p w14:paraId="370CF013" w14:textId="331D1F5E" w:rsidR="00130384" w:rsidRDefault="00130384" w:rsidP="000F5C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2914866C" w14:textId="77777777" w:rsidR="00F55EC8" w:rsidRDefault="00F55EC8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517C6" w14:textId="77777777" w:rsidR="00367ACA" w:rsidRDefault="00367ACA">
      <w:pPr>
        <w:spacing w:line="240" w:lineRule="auto"/>
      </w:pPr>
      <w:r>
        <w:separator/>
      </w:r>
    </w:p>
  </w:footnote>
  <w:footnote w:type="continuationSeparator" w:id="0">
    <w:p w14:paraId="3DF72976" w14:textId="77777777" w:rsidR="00367ACA" w:rsidRDefault="00367A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F22"/>
    <w:multiLevelType w:val="multilevel"/>
    <w:tmpl w:val="5426B362"/>
    <w:lvl w:ilvl="0">
      <w:start w:val="1"/>
      <w:numFmt w:val="decimal"/>
      <w:lvlText w:val="(%1)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9502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EC8"/>
    <w:rsid w:val="00130384"/>
    <w:rsid w:val="00235D2A"/>
    <w:rsid w:val="00293C58"/>
    <w:rsid w:val="002B2489"/>
    <w:rsid w:val="00367ACA"/>
    <w:rsid w:val="003C7B92"/>
    <w:rsid w:val="00777BD4"/>
    <w:rsid w:val="00806157"/>
    <w:rsid w:val="008178FE"/>
    <w:rsid w:val="00830FBC"/>
    <w:rsid w:val="00850450"/>
    <w:rsid w:val="00A427AF"/>
    <w:rsid w:val="00A9253F"/>
    <w:rsid w:val="00BE7762"/>
    <w:rsid w:val="00C83CF4"/>
    <w:rsid w:val="00CE74C9"/>
    <w:rsid w:val="00E1669D"/>
    <w:rsid w:val="00EF6587"/>
    <w:rsid w:val="00F01A35"/>
    <w:rsid w:val="00F127E5"/>
    <w:rsid w:val="00F5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7880CB"/>
  <w15:docId w15:val="{4509C589-F5FD-0A46-8565-B79024FE1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unhideWhenUsed/>
    <w:rsid w:val="001303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384"/>
  </w:style>
  <w:style w:type="character" w:styleId="PageNumber">
    <w:name w:val="page number"/>
    <w:basedOn w:val="DefaultParagraphFont"/>
    <w:uiPriority w:val="99"/>
    <w:semiHidden/>
    <w:unhideWhenUsed/>
    <w:rsid w:val="00130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1340</Words>
  <Characters>7642</Characters>
  <Application>Microsoft Office Word</Application>
  <DocSecurity>0</DocSecurity>
  <Lines>63</Lines>
  <Paragraphs>17</Paragraphs>
  <ScaleCrop>false</ScaleCrop>
  <Company/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Shalini Gupta</cp:lastModifiedBy>
  <cp:revision>22</cp:revision>
  <dcterms:created xsi:type="dcterms:W3CDTF">2025-12-15T04:27:00Z</dcterms:created>
  <dcterms:modified xsi:type="dcterms:W3CDTF">2025-12-15T04:55:00Z</dcterms:modified>
</cp:coreProperties>
</file>