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39C" w:rsidRDefault="00494061">
      <w:pPr>
        <w:pStyle w:val="berschrift1"/>
        <w:spacing w:after="0"/>
      </w:pPr>
      <w:bookmarkStart w:id="0" w:name="_heading=h.gjdgxs" w:colFirst="0" w:colLast="0"/>
      <w:bookmarkEnd w:id="0"/>
      <w:r>
        <w:t>SUPPLEMENTARY TEXT</w:t>
      </w:r>
    </w:p>
    <w:p w:rsidR="00FF439C" w:rsidRDefault="00494061">
      <w:pPr>
        <w:pStyle w:val="berschrift2"/>
      </w:pPr>
      <w:bookmarkStart w:id="1" w:name="_heading=h.30j0zll" w:colFirst="0" w:colLast="0"/>
      <w:bookmarkEnd w:id="1"/>
      <w:r>
        <w:t>Theoretical model to describe the evolution of SSP distribution</w:t>
      </w:r>
    </w:p>
    <w:p w:rsidR="00FF439C" w:rsidRDefault="00FF439C"/>
    <w:p w:rsidR="00FF439C" w:rsidRDefault="00494061">
      <w:pPr>
        <w:ind w:firstLine="0"/>
      </w:pPr>
      <w:r>
        <w:t xml:space="preserve">Our model is derived from the theoretical work introduced in </w:t>
      </w:r>
      <w:r>
        <w:rPr>
          <w:i/>
        </w:rPr>
        <w:t>Dixit et al.</w:t>
      </w:r>
      <w:r>
        <w:rPr>
          <w:b/>
        </w:rPr>
        <w:t xml:space="preserve"> </w:t>
      </w:r>
      <w:r>
        <w:t xml:space="preserve">(Dixit et al. 2015, 2017), which describes the evolution of the distribution of substitution density between a pair of genomes. Let us divide the sequence alignment of a pair of genomes, X and Y, into </w:t>
      </w:r>
      <w:proofErr w:type="spellStart"/>
      <w:r>
        <w:rPr>
          <w:i/>
        </w:rPr>
        <w:t>L</w:t>
      </w:r>
      <w:r>
        <w:rPr>
          <w:i/>
          <w:vertAlign w:val="subscript"/>
        </w:rPr>
        <w:t>seg</w:t>
      </w:r>
      <w:proofErr w:type="spellEnd"/>
      <w:r>
        <w:t xml:space="preserve"> consecutive and non-overlapping segments, where ea</w:t>
      </w:r>
      <w:r>
        <w:t xml:space="preserve">ch segment has </w:t>
      </w:r>
      <w:r>
        <w:rPr>
          <w:i/>
        </w:rPr>
        <w:t>l</w:t>
      </w:r>
      <w:r>
        <w:rPr>
          <w:i/>
          <w:vertAlign w:val="subscript"/>
        </w:rPr>
        <w:t>s</w:t>
      </w:r>
      <w:r>
        <w:t xml:space="preserve"> sites. A sequence here can be a nucleotide sequence or an amino acid sequence, and a polymorphic site on the alignment is called single site polymorphism (SSP); this corresponds to a single nucleotide polymorphism (SNP) of a nucleotide se</w:t>
      </w:r>
      <w:r>
        <w:t xml:space="preserve">quence, or a single amino-acid polymorphism (SAP) of an amino-acid sequence. Let </w:t>
      </w:r>
      <w:proofErr w:type="gramStart"/>
      <w:r>
        <w:rPr>
          <w:i/>
        </w:rPr>
        <w:t>f</w:t>
      </w:r>
      <w:r>
        <w:t>(</w:t>
      </w:r>
      <w:proofErr w:type="spellStart"/>
      <w:proofErr w:type="gramEnd"/>
      <w:r>
        <w:rPr>
          <w:i/>
        </w:rPr>
        <w:t>x</w:t>
      </w:r>
      <w:r>
        <w:t>|</w:t>
      </w:r>
      <w:r>
        <w:rPr>
          <w:i/>
        </w:rPr>
        <w:t>t</w:t>
      </w:r>
      <w:proofErr w:type="spellEnd"/>
      <w:r>
        <w:t xml:space="preserve">) be the distribution of SSPs on the segments, where </w:t>
      </w:r>
      <w:r>
        <w:rPr>
          <w:i/>
        </w:rPr>
        <w:t>x</w:t>
      </w:r>
      <w:r>
        <w:t xml:space="preserve">=0, 1, …, </w:t>
      </w:r>
      <w:r>
        <w:rPr>
          <w:i/>
        </w:rPr>
        <w:t>l</w:t>
      </w:r>
      <w:r>
        <w:rPr>
          <w:i/>
          <w:vertAlign w:val="subscript"/>
        </w:rPr>
        <w:t>s</w:t>
      </w:r>
      <w:r>
        <w:t xml:space="preserve"> represents number of SSPs on a segment of the XY alignment, </w:t>
      </w:r>
      <w:r>
        <w:rPr>
          <w:i/>
        </w:rPr>
        <w:t>t</w:t>
      </w:r>
      <w:sdt>
        <w:sdtPr>
          <w:tag w:val="goog_rdk_0"/>
          <w:id w:val="-1089540043"/>
        </w:sdtPr>
        <w:sdtEndPr/>
        <w:sdtContent>
          <w:r>
            <w:rPr>
              <w:rFonts w:ascii="Arial Unicode MS" w:eastAsia="Arial Unicode MS" w:hAnsi="Arial Unicode MS" w:cs="Arial Unicode MS"/>
            </w:rPr>
            <w:t xml:space="preserve">≥0 </w:t>
          </w:r>
        </w:sdtContent>
      </w:sdt>
      <w:r>
        <w:t>be the XY coalescent time and continu</w:t>
      </w:r>
      <w:r>
        <w:t xml:space="preserve">ous. To save computational resource, let us assume an upper bound </w:t>
      </w:r>
      <w:proofErr w:type="spellStart"/>
      <w:r>
        <w:rPr>
          <w:i/>
        </w:rPr>
        <w:t>l</w:t>
      </w:r>
      <w:r>
        <w:rPr>
          <w:i/>
          <w:vertAlign w:val="subscript"/>
        </w:rPr>
        <w:t>s</w:t>
      </w:r>
      <w:r>
        <w:rPr>
          <w:i/>
          <w:vertAlign w:val="superscript"/>
        </w:rPr>
        <w:t>cutoff</w:t>
      </w:r>
      <w:sdt>
        <w:sdtPr>
          <w:tag w:val="goog_rdk_1"/>
          <w:id w:val="-1708249832"/>
        </w:sdtPr>
        <w:sdtEndPr/>
        <w:sdtContent>
          <w:r>
            <w:rPr>
              <w:rFonts w:ascii="Arial Unicode MS" w:eastAsia="Arial Unicode MS" w:hAnsi="Arial Unicode MS" w:cs="Arial Unicode MS"/>
            </w:rPr>
            <w:t>≤</w:t>
          </w:r>
        </w:sdtContent>
      </w:sdt>
      <w:r>
        <w:rPr>
          <w:i/>
        </w:rPr>
        <w:t>l</w:t>
      </w:r>
      <w:r>
        <w:rPr>
          <w:i/>
          <w:vertAlign w:val="subscript"/>
        </w:rPr>
        <w:t>s</w:t>
      </w:r>
      <w:proofErr w:type="spellEnd"/>
      <w:r>
        <w:t xml:space="preserve"> to </w:t>
      </w:r>
      <w:r>
        <w:rPr>
          <w:i/>
        </w:rPr>
        <w:t>x</w:t>
      </w:r>
      <w:r>
        <w:t xml:space="preserve">, where segments with </w:t>
      </w:r>
      <w:r>
        <w:rPr>
          <w:i/>
        </w:rPr>
        <w:t>x</w:t>
      </w:r>
      <w:r>
        <w:t>&gt;</w:t>
      </w:r>
      <w:proofErr w:type="spellStart"/>
      <w:r>
        <w:rPr>
          <w:i/>
        </w:rPr>
        <w:t>l</w:t>
      </w:r>
      <w:r>
        <w:rPr>
          <w:i/>
          <w:vertAlign w:val="subscript"/>
        </w:rPr>
        <w:t>s</w:t>
      </w:r>
      <w:r>
        <w:rPr>
          <w:i/>
          <w:vertAlign w:val="superscript"/>
        </w:rPr>
        <w:t>cutoff</w:t>
      </w:r>
      <w:proofErr w:type="spellEnd"/>
      <w:r>
        <w:t xml:space="preserve"> SSPs are simplified to have </w:t>
      </w:r>
      <w:proofErr w:type="spellStart"/>
      <w:r>
        <w:rPr>
          <w:i/>
        </w:rPr>
        <w:t>l</w:t>
      </w:r>
      <w:r>
        <w:rPr>
          <w:i/>
          <w:vertAlign w:val="subscript"/>
        </w:rPr>
        <w:t>s</w:t>
      </w:r>
      <w:r>
        <w:rPr>
          <w:i/>
          <w:vertAlign w:val="superscript"/>
        </w:rPr>
        <w:t>cutoff</w:t>
      </w:r>
      <w:proofErr w:type="spellEnd"/>
      <w:r>
        <w:t xml:space="preserve"> SSPs. </w:t>
      </w:r>
      <w:proofErr w:type="gramStart"/>
      <w:r>
        <w:rPr>
          <w:i/>
        </w:rPr>
        <w:t>f</w:t>
      </w:r>
      <w:r>
        <w:t>(</w:t>
      </w:r>
      <w:proofErr w:type="spellStart"/>
      <w:proofErr w:type="gramEnd"/>
      <w:r>
        <w:rPr>
          <w:i/>
        </w:rPr>
        <w:t>x</w:t>
      </w:r>
      <w:r>
        <w:t>|</w:t>
      </w:r>
      <w:r>
        <w:rPr>
          <w:i/>
        </w:rPr>
        <w:t>t</w:t>
      </w:r>
      <w:proofErr w:type="spellEnd"/>
      <w:r>
        <w:t>) is normalized to unity:</w:t>
      </w:r>
    </w:p>
    <w:tbl>
      <w:tblPr>
        <w:tblStyle w:val="a3"/>
        <w:tblW w:w="90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65"/>
        <w:gridCol w:w="1035"/>
      </w:tblGrid>
      <w:tr w:rsidR="00FF439C">
        <w:tc>
          <w:tcPr>
            <w:tcW w:w="7965" w:type="dxa"/>
            <w:tcBorders>
              <w:top w:val="nil"/>
              <w:left w:val="nil"/>
              <w:bottom w:val="nil"/>
              <w:right w:val="nil"/>
            </w:tcBorders>
            <w:shd w:val="clear" w:color="auto" w:fill="auto"/>
            <w:tcMar>
              <w:top w:w="100" w:type="dxa"/>
              <w:left w:w="100" w:type="dxa"/>
              <w:bottom w:w="100" w:type="dxa"/>
              <w:right w:w="100" w:type="dxa"/>
            </w:tcMar>
          </w:tcPr>
          <w:p w:rsidR="00FF439C" w:rsidRDefault="00494061" w:rsidP="00CC77B0">
            <w:pPr>
              <w:jc w:val="center"/>
              <w:rPr>
                <w:rFonts w:ascii="Cambria Math" w:eastAsia="Cambria Math" w:hAnsi="Cambria Math" w:cs="Cambria Math"/>
              </w:rPr>
            </w:pPr>
            <m:oMathPara>
              <m:oMath>
                <m:nary>
                  <m:naryPr>
                    <m:chr m:val="∑"/>
                    <m:ctrlPr>
                      <w:rPr>
                        <w:rFonts w:ascii="Cambria Math" w:eastAsia="Cambria Math" w:hAnsi="Cambria Math" w:cs="Cambria Math"/>
                      </w:rPr>
                    </m:ctrlPr>
                  </m:naryPr>
                  <m:sub>
                    <m:r>
                      <w:rPr>
                        <w:rFonts w:ascii="Cambria Math" w:eastAsia="Cambria Math" w:hAnsi="Cambria Math" w:cs="Cambria Math"/>
                      </w:rPr>
                      <m:t>x</m:t>
                    </m:r>
                    <m:r>
                      <w:rPr>
                        <w:rFonts w:ascii="Cambria Math" w:eastAsia="Cambria Math" w:hAnsi="Cambria Math" w:cs="Cambria Math"/>
                      </w:rPr>
                      <m:t>=0</m:t>
                    </m:r>
                  </m:sub>
                  <m:sup>
                    <m:sSup>
                      <m:sSupPr>
                        <m:ctrlPr>
                          <w:rPr>
                            <w:rFonts w:ascii="Cambria Math" w:eastAsia="Cambria Math" w:hAnsi="Cambria Math" w:cs="Cambria Math"/>
                          </w:rPr>
                        </m:ctrlPr>
                      </m:sSupPr>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e>
                      <m:sup>
                        <m:r>
                          <w:rPr>
                            <w:rFonts w:ascii="Cambria Math" w:eastAsia="Cambria Math" w:hAnsi="Cambria Math" w:cs="Cambria Math"/>
                          </w:rPr>
                          <m:t>cutoff</m:t>
                        </m:r>
                      </m:sup>
                    </m:sSup>
                  </m:sup>
                  <m:e>
                    <m:r>
                      <w:rPr>
                        <w:rFonts w:ascii="Cambria Math" w:eastAsia="Cambria Math" w:hAnsi="Cambria Math" w:cs="Cambria Math"/>
                      </w:rPr>
                      <m:t>f(x|t)</m:t>
                    </m:r>
                  </m:e>
                </m:nary>
                <m:r>
                  <w:rPr>
                    <w:rFonts w:ascii="Cambria Math" w:eastAsia="Cambria Math" w:hAnsi="Cambria Math" w:cs="Cambria Math"/>
                  </w:rPr>
                  <m:t>=1</m:t>
                </m:r>
              </m:oMath>
            </m:oMathPara>
          </w:p>
        </w:tc>
        <w:tc>
          <w:tcPr>
            <w:tcW w:w="1035" w:type="dxa"/>
            <w:tcBorders>
              <w:top w:val="nil"/>
              <w:left w:val="nil"/>
              <w:bottom w:val="nil"/>
              <w:right w:val="nil"/>
            </w:tcBorders>
            <w:shd w:val="clear" w:color="auto" w:fill="auto"/>
            <w:tcMar>
              <w:top w:w="100" w:type="dxa"/>
              <w:left w:w="100" w:type="dxa"/>
              <w:bottom w:w="100" w:type="dxa"/>
              <w:right w:w="100" w:type="dxa"/>
            </w:tcMar>
          </w:tcPr>
          <w:p w:rsidR="00FF439C" w:rsidRDefault="00FF439C">
            <w:pPr>
              <w:widowControl w:val="0"/>
            </w:pPr>
          </w:p>
        </w:tc>
      </w:tr>
    </w:tbl>
    <w:p w:rsidR="00FF439C" w:rsidRDefault="00494061">
      <w:r>
        <w:t xml:space="preserve">At </w:t>
      </w:r>
      <w:r>
        <w:rPr>
          <w:i/>
        </w:rPr>
        <w:t>t</w:t>
      </w:r>
      <w:r>
        <w:t xml:space="preserve">=0, the most recent common </w:t>
      </w:r>
      <w:r>
        <w:t xml:space="preserve">ancestor (MRCA) of XY splits into two lineages; the two have identical genomes, and thus </w:t>
      </w:r>
      <w:proofErr w:type="gramStart"/>
      <w:r>
        <w:rPr>
          <w:i/>
        </w:rPr>
        <w:t>f</w:t>
      </w:r>
      <w:r>
        <w:t>(</w:t>
      </w:r>
      <w:proofErr w:type="gramEnd"/>
      <w:r>
        <w:rPr>
          <w:i/>
        </w:rPr>
        <w:t>x</w:t>
      </w:r>
      <w:r>
        <w:t>|0)=δ</w:t>
      </w:r>
      <w:r>
        <w:rPr>
          <w:i/>
          <w:vertAlign w:val="subscript"/>
        </w:rPr>
        <w:t>x</w:t>
      </w:r>
      <w:r>
        <w:rPr>
          <w:vertAlign w:val="subscript"/>
        </w:rPr>
        <w:t>,0</w:t>
      </w:r>
      <w:r>
        <w:t xml:space="preserve"> (</w:t>
      </w:r>
      <w:proofErr w:type="spellStart"/>
      <w:r>
        <w:t>Kronecker</w:t>
      </w:r>
      <w:proofErr w:type="spellEnd"/>
      <w:r>
        <w:t xml:space="preserve"> delta, </w:t>
      </w:r>
      <w:r>
        <w:rPr>
          <w:i/>
        </w:rPr>
        <w:t>i.e.</w:t>
      </w:r>
      <w:r>
        <w:t xml:space="preserve">, this is non-zero only at </w:t>
      </w:r>
      <w:r>
        <w:rPr>
          <w:i/>
        </w:rPr>
        <w:t>x</w:t>
      </w:r>
      <w:r>
        <w:t xml:space="preserve">=0). When </w:t>
      </w:r>
      <w:r>
        <w:rPr>
          <w:i/>
        </w:rPr>
        <w:t>t</w:t>
      </w:r>
      <w:r>
        <w:t xml:space="preserve">&gt;0, mutations and </w:t>
      </w:r>
      <w:proofErr w:type="spellStart"/>
      <w:r>
        <w:t>recombinations</w:t>
      </w:r>
      <w:proofErr w:type="spellEnd"/>
      <w:r>
        <w:t xml:space="preserve"> occur, and the evolution of </w:t>
      </w:r>
      <w:proofErr w:type="gramStart"/>
      <w:r>
        <w:rPr>
          <w:i/>
        </w:rPr>
        <w:t>f</w:t>
      </w:r>
      <w:r>
        <w:t>(</w:t>
      </w:r>
      <w:proofErr w:type="spellStart"/>
      <w:proofErr w:type="gramEnd"/>
      <w:r>
        <w:rPr>
          <w:i/>
        </w:rPr>
        <w:t>x</w:t>
      </w:r>
      <w:r>
        <w:t>|</w:t>
      </w:r>
      <w:r>
        <w:rPr>
          <w:i/>
        </w:rPr>
        <w:t>t</w:t>
      </w:r>
      <w:proofErr w:type="spellEnd"/>
      <w:r>
        <w:t>) is described by the following equation (Eq. (1) in the main text):</w:t>
      </w:r>
    </w:p>
    <w:p w:rsidR="00FF439C" w:rsidRDefault="00494061">
      <w:pPr>
        <w:ind w:firstLine="0"/>
        <w:jc w:val="center"/>
        <w:rPr>
          <w:rFonts w:ascii="Cambria Math" w:eastAsia="Cambria Math" w:hAnsi="Cambria Math" w:cs="Cambria Math"/>
        </w:rPr>
      </w:pPr>
      <m:oMathPara>
        <m:oMath>
          <m:f>
            <m:fPr>
              <m:ctrlPr>
                <w:rPr>
                  <w:rFonts w:ascii="Cambria Math" w:eastAsia="Cambria Math" w:hAnsi="Cambria Math" w:cs="Cambria Math"/>
                </w:rPr>
              </m:ctrlPr>
            </m:fPr>
            <m:num>
              <m:r>
                <w:rPr>
                  <w:rFonts w:ascii="Cambria Math" w:eastAsia="Cambria Math" w:hAnsi="Cambria Math" w:cs="Cambria Math"/>
                </w:rPr>
                <m:t>df</m:t>
              </m:r>
              <m:r>
                <w:rPr>
                  <w:rFonts w:ascii="Cambria Math" w:eastAsia="Cambria Math" w:hAnsi="Cambria Math" w:cs="Cambria Math"/>
                </w:rPr>
                <m:t>(</m:t>
              </m:r>
              <m:r>
                <w:rPr>
                  <w:rFonts w:ascii="Cambria Math" w:eastAsia="Cambria Math" w:hAnsi="Cambria Math" w:cs="Cambria Math"/>
                </w:rPr>
                <m:t>x</m:t>
              </m:r>
              <m:r>
                <w:rPr>
                  <w:rFonts w:ascii="Cambria Math" w:eastAsia="Cambria Math" w:hAnsi="Cambria Math" w:cs="Cambria Math"/>
                </w:rPr>
                <m:t>|</m:t>
              </m:r>
              <m:r>
                <w:rPr>
                  <w:rFonts w:ascii="Cambria Math" w:eastAsia="Cambria Math" w:hAnsi="Cambria Math" w:cs="Cambria Math"/>
                </w:rPr>
                <m:t>t</m:t>
              </m:r>
              <m:r>
                <w:rPr>
                  <w:rFonts w:ascii="Cambria Math" w:eastAsia="Cambria Math" w:hAnsi="Cambria Math" w:cs="Cambria Math"/>
                </w:rPr>
                <m:t>)</m:t>
              </m:r>
            </m:num>
            <m:den>
              <m:r>
                <w:rPr>
                  <w:rFonts w:ascii="Cambria Math" w:eastAsia="Cambria Math" w:hAnsi="Cambria Math" w:cs="Cambria Math"/>
                </w:rPr>
                <m:t>dt</m:t>
              </m:r>
            </m:den>
          </m:f>
          <m:r>
            <w:rPr>
              <w:rFonts w:ascii="Cambria Math" w:eastAsia="Cambria Math" w:hAnsi="Cambria Math" w:cs="Cambria Math"/>
            </w:rPr>
            <m:t>=2</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μ</m:t>
          </m:r>
          <m:nary>
            <m:naryPr>
              <m:chr m:val="∑"/>
              <m:ctrlPr>
                <w:rPr>
                  <w:rFonts w:ascii="Cambria Math" w:eastAsia="Cambria Math" w:hAnsi="Cambria Math" w:cs="Cambria Math"/>
                </w:rPr>
              </m:ctrlPr>
            </m:naryPr>
            <m:sub>
              <m:r>
                <w:rPr>
                  <w:rFonts w:ascii="Cambria Math" w:eastAsia="Cambria Math" w:hAnsi="Cambria Math" w:cs="Cambria Math"/>
                </w:rPr>
                <m:t>y</m:t>
              </m:r>
              <m:r>
                <w:rPr>
                  <w:rFonts w:ascii="Cambria Math" w:eastAsia="Cambria Math" w:hAnsi="Cambria Math" w:cs="Cambria Math"/>
                </w:rPr>
                <m:t>=0</m:t>
              </m:r>
            </m:sub>
            <m:sup>
              <m:sSup>
                <m:sSupPr>
                  <m:ctrlPr>
                    <w:rPr>
                      <w:rFonts w:ascii="Cambria Math" w:eastAsia="Cambria Math" w:hAnsi="Cambria Math" w:cs="Cambria Math"/>
                    </w:rPr>
                  </m:ctrlPr>
                </m:sSupPr>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e>
                <m:sup>
                  <m:r>
                    <w:rPr>
                      <w:rFonts w:ascii="Cambria Math" w:eastAsia="Cambria Math" w:hAnsi="Cambria Math" w:cs="Cambria Math"/>
                    </w:rPr>
                    <m:t>cutoff</m:t>
                  </m:r>
                </m:sup>
              </m:sSup>
            </m:sup>
            <m:e>
              <m:r>
                <w:rPr>
                  <w:rFonts w:ascii="Cambria Math" w:eastAsia="Cambria Math" w:hAnsi="Cambria Math" w:cs="Cambria Math"/>
                </w:rPr>
                <m:t>(M(x|y)-I(x|y))</m:t>
              </m:r>
            </m:e>
          </m:nary>
          <m:r>
            <w:rPr>
              <w:rFonts w:ascii="Cambria Math" w:eastAsia="Cambria Math" w:hAnsi="Cambria Math" w:cs="Cambria Math"/>
            </w:rPr>
            <m:t>f</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t</m:t>
          </m:r>
          <m:r>
            <w:rPr>
              <w:rFonts w:ascii="Cambria Math" w:eastAsia="Cambria Math" w:hAnsi="Cambria Math" w:cs="Cambria Math"/>
            </w:rPr>
            <m:t>)+2</m:t>
          </m:r>
          <m:r>
            <w:rPr>
              <w:rFonts w:ascii="Cambria Math" w:eastAsia="Cambria Math" w:hAnsi="Cambria Math" w:cs="Cambria Math"/>
            </w:rPr>
            <m:t>ρ</m:t>
          </m:r>
          <m:nary>
            <m:naryPr>
              <m:chr m:val="∑"/>
              <m:ctrlPr>
                <w:rPr>
                  <w:rFonts w:ascii="Cambria Math" w:eastAsia="Cambria Math" w:hAnsi="Cambria Math" w:cs="Cambria Math"/>
                </w:rPr>
              </m:ctrlPr>
            </m:naryPr>
            <m:sub>
              <m:r>
                <w:rPr>
                  <w:rFonts w:ascii="Cambria Math" w:eastAsia="Cambria Math" w:hAnsi="Cambria Math" w:cs="Cambria Math"/>
                </w:rPr>
                <m:t>y</m:t>
              </m:r>
              <m:r>
                <w:rPr>
                  <w:rFonts w:ascii="Cambria Math" w:eastAsia="Cambria Math" w:hAnsi="Cambria Math" w:cs="Cambria Math"/>
                </w:rPr>
                <m:t>=0</m:t>
              </m:r>
            </m:sub>
            <m:sup>
              <m:sSup>
                <m:sSupPr>
                  <m:ctrlPr>
                    <w:rPr>
                      <w:rFonts w:ascii="Cambria Math" w:eastAsia="Cambria Math" w:hAnsi="Cambria Math" w:cs="Cambria Math"/>
                    </w:rPr>
                  </m:ctrlPr>
                </m:sSupPr>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e>
                <m:sup>
                  <m:r>
                    <w:rPr>
                      <w:rFonts w:ascii="Cambria Math" w:eastAsia="Cambria Math" w:hAnsi="Cambria Math" w:cs="Cambria Math"/>
                    </w:rPr>
                    <m:t>cutoff</m:t>
                  </m:r>
                </m:sup>
              </m:sSup>
            </m:sup>
            <m:e>
              <m:r>
                <w:rPr>
                  <w:rFonts w:ascii="Cambria Math" w:eastAsia="Cambria Math" w:hAnsi="Cambria Math" w:cs="Cambria Math"/>
                </w:rPr>
                <m:t>(P(x|y,θ,</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e>
          </m:nary>
          <m:r>
            <w:rPr>
              <w:rFonts w:ascii="Cambria Math" w:eastAsia="Cambria Math" w:hAnsi="Cambria Math" w:cs="Cambria Math"/>
            </w:rPr>
            <m:t>-</m:t>
          </m:r>
          <m:r>
            <w:rPr>
              <w:rFonts w:ascii="Cambria Math" w:eastAsia="Cambria Math" w:hAnsi="Cambria Math" w:cs="Cambria Math"/>
            </w:rPr>
            <m:t>I</m:t>
          </m:r>
          <m:r>
            <w:rPr>
              <w:rFonts w:ascii="Cambria Math" w:eastAsia="Cambria Math" w:hAnsi="Cambria Math" w:cs="Cambria Math"/>
            </w:rPr>
            <m:t>(</m:t>
          </m:r>
          <m:r>
            <w:rPr>
              <w:rFonts w:ascii="Cambria Math" w:eastAsia="Cambria Math" w:hAnsi="Cambria Math" w:cs="Cambria Math"/>
            </w:rPr>
            <m:t>x</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f</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t</m:t>
          </m:r>
          <m:r>
            <w:rPr>
              <w:rFonts w:ascii="Cambria Math" w:eastAsia="Cambria Math" w:hAnsi="Cambria Math" w:cs="Cambria Math"/>
            </w:rPr>
            <m:t>)</m:t>
          </m:r>
        </m:oMath>
      </m:oMathPara>
    </w:p>
    <w:p w:rsidR="00FF439C" w:rsidRDefault="00494061">
      <w:pPr>
        <w:ind w:firstLine="0"/>
      </w:pPr>
      <w:r>
        <w:t>The first term of this equation accounts for</w:t>
      </w:r>
      <w:r>
        <w:t xml:space="preserve"> mutation, and the second term accounts for recombination; there is a factor 2 because mutation and recombination can equally occur on either X or Y. </w:t>
      </w:r>
      <w:r>
        <w:rPr>
          <w:i/>
        </w:rPr>
        <w:t>μ</w:t>
      </w:r>
      <w:r>
        <w:t xml:space="preserve"> is the mutation rate per site, and </w:t>
      </w:r>
      <w:proofErr w:type="spellStart"/>
      <w:r>
        <w:rPr>
          <w:i/>
        </w:rPr>
        <w:t>l</w:t>
      </w:r>
      <w:r>
        <w:rPr>
          <w:i/>
          <w:vertAlign w:val="subscript"/>
        </w:rPr>
        <w:t>s</w:t>
      </w:r>
      <w:r>
        <w:rPr>
          <w:i/>
        </w:rPr>
        <w:t>μ</w:t>
      </w:r>
      <w:proofErr w:type="spellEnd"/>
      <w:r>
        <w:t xml:space="preserve"> is the mutation rate per segment; I(</w:t>
      </w:r>
      <w:proofErr w:type="spellStart"/>
      <w:r>
        <w:rPr>
          <w:i/>
        </w:rPr>
        <w:t>x</w:t>
      </w:r>
      <w:r>
        <w:t>|</w:t>
      </w:r>
      <w:r>
        <w:rPr>
          <w:i/>
        </w:rPr>
        <w:t>y</w:t>
      </w:r>
      <w:proofErr w:type="spellEnd"/>
      <w:r>
        <w:t xml:space="preserve">) is the identity matrix; </w:t>
      </w:r>
      <w:r>
        <w:t>M(</w:t>
      </w:r>
      <w:proofErr w:type="spellStart"/>
      <w:r>
        <w:rPr>
          <w:i/>
        </w:rPr>
        <w:t>x</w:t>
      </w:r>
      <w:r>
        <w:t>|</w:t>
      </w:r>
      <w:r>
        <w:rPr>
          <w:i/>
        </w:rPr>
        <w:t>y</w:t>
      </w:r>
      <w:proofErr w:type="spellEnd"/>
      <w:r>
        <w:t>)=δ</w:t>
      </w:r>
      <w:r>
        <w:rPr>
          <w:i/>
          <w:vertAlign w:val="subscript"/>
        </w:rPr>
        <w:t>x</w:t>
      </w:r>
      <w:r>
        <w:rPr>
          <w:vertAlign w:val="subscript"/>
        </w:rPr>
        <w:t>,</w:t>
      </w:r>
      <w:r>
        <w:rPr>
          <w:i/>
          <w:vertAlign w:val="subscript"/>
        </w:rPr>
        <w:t>y</w:t>
      </w:r>
      <w:r>
        <w:rPr>
          <w:vertAlign w:val="subscript"/>
        </w:rPr>
        <w:t>+1</w:t>
      </w:r>
      <w:r>
        <w:t>+(</w:t>
      </w:r>
      <w:proofErr w:type="spellStart"/>
      <w:r>
        <w:t>δ</w:t>
      </w:r>
      <w:r>
        <w:rPr>
          <w:i/>
          <w:vertAlign w:val="subscript"/>
        </w:rPr>
        <w:t>x</w:t>
      </w:r>
      <w:r>
        <w:rPr>
          <w:vertAlign w:val="subscript"/>
        </w:rPr>
        <w:t>,</w:t>
      </w:r>
      <w:r>
        <w:rPr>
          <w:i/>
          <w:vertAlign w:val="subscript"/>
        </w:rPr>
        <w:t>lscutoff</w:t>
      </w:r>
      <w:r>
        <w:t>×δ</w:t>
      </w:r>
      <w:r>
        <w:rPr>
          <w:i/>
          <w:vertAlign w:val="subscript"/>
        </w:rPr>
        <w:t>y</w:t>
      </w:r>
      <w:r>
        <w:rPr>
          <w:vertAlign w:val="subscript"/>
        </w:rPr>
        <w:t>,</w:t>
      </w:r>
      <w:r>
        <w:rPr>
          <w:i/>
          <w:vertAlign w:val="subscript"/>
        </w:rPr>
        <w:t>lscutoff</w:t>
      </w:r>
      <w:proofErr w:type="spellEnd"/>
      <w:r>
        <w:t>) is the mutation matrix (</w:t>
      </w:r>
      <w:r>
        <w:rPr>
          <w:i/>
        </w:rPr>
        <w:t xml:space="preserve">i.e., </w:t>
      </w:r>
      <w:r>
        <w:t>M(</w:t>
      </w:r>
      <w:proofErr w:type="spellStart"/>
      <w:r>
        <w:rPr>
          <w:i/>
        </w:rPr>
        <w:t>x</w:t>
      </w:r>
      <w:r>
        <w:t>|</w:t>
      </w:r>
      <w:r>
        <w:rPr>
          <w:i/>
        </w:rPr>
        <w:t>y</w:t>
      </w:r>
      <w:proofErr w:type="spellEnd"/>
      <w:r>
        <w:t xml:space="preserve">)=0 for </w:t>
      </w:r>
      <w:r>
        <w:rPr>
          <w:i/>
        </w:rPr>
        <w:t>x</w:t>
      </w:r>
      <w:sdt>
        <w:sdtPr>
          <w:tag w:val="goog_rdk_2"/>
          <w:id w:val="1297883159"/>
        </w:sdtPr>
        <w:sdtEndPr/>
        <w:sdtContent>
          <w:r>
            <w:rPr>
              <w:rFonts w:ascii="Arial Unicode MS" w:eastAsia="Arial Unicode MS" w:hAnsi="Arial Unicode MS" w:cs="Arial Unicode MS"/>
            </w:rPr>
            <w:t>≠</w:t>
          </w:r>
        </w:sdtContent>
      </w:sdt>
      <w:r>
        <w:rPr>
          <w:i/>
        </w:rPr>
        <w:t>y</w:t>
      </w:r>
      <w:r>
        <w:t xml:space="preserve">+1), as a segment with </w:t>
      </w:r>
      <w:r>
        <w:rPr>
          <w:i/>
        </w:rPr>
        <w:t>y</w:t>
      </w:r>
      <w:r>
        <w:t xml:space="preserve"> SSPs jumps to </w:t>
      </w:r>
      <w:r>
        <w:rPr>
          <w:i/>
        </w:rPr>
        <w:t>x</w:t>
      </w:r>
      <w:r>
        <w:t>=</w:t>
      </w:r>
      <w:r>
        <w:rPr>
          <w:i/>
        </w:rPr>
        <w:t>y</w:t>
      </w:r>
      <w:r>
        <w:t xml:space="preserve">+1 SSPs after a mutation. For simplicity, it does not consider back mutation. </w:t>
      </w:r>
      <w:proofErr w:type="gramStart"/>
      <w:r>
        <w:rPr>
          <w:i/>
        </w:rPr>
        <w:t>ρ</w:t>
      </w:r>
      <w:proofErr w:type="gramEnd"/>
      <w:r>
        <w:t xml:space="preserve"> is the rate for a segment to be covered by a r</w:t>
      </w:r>
      <w:r>
        <w:t xml:space="preserve">ecombination stretch. The value of </w:t>
      </w:r>
      <w:r>
        <w:rPr>
          <w:i/>
        </w:rPr>
        <w:t>μ</w:t>
      </w:r>
      <w:r>
        <w:t xml:space="preserve"> or </w:t>
      </w:r>
      <w:r>
        <w:rPr>
          <w:i/>
        </w:rPr>
        <w:t xml:space="preserve">ρ </w:t>
      </w:r>
      <w:r>
        <w:t xml:space="preserve">changes if time is rescaled, but not </w:t>
      </w:r>
      <w:r>
        <w:rPr>
          <w:i/>
        </w:rPr>
        <w:t>ρ</w:t>
      </w:r>
      <w:r>
        <w:t>/</w:t>
      </w:r>
      <w:r>
        <w:rPr>
          <w:i/>
        </w:rPr>
        <w:t>μ</w:t>
      </w:r>
      <w:r>
        <w:t xml:space="preserve">. </w:t>
      </w:r>
      <w:proofErr w:type="gramStart"/>
      <w:r>
        <w:t>P(</w:t>
      </w:r>
      <w:proofErr w:type="spellStart"/>
      <w:proofErr w:type="gramEnd"/>
      <w:r>
        <w:rPr>
          <w:i/>
        </w:rPr>
        <w:t>x</w:t>
      </w:r>
      <w:r>
        <w:t>|</w:t>
      </w:r>
      <w:r>
        <w:rPr>
          <w:i/>
        </w:rPr>
        <w:t>y</w:t>
      </w:r>
      <w:r>
        <w:t>,</w:t>
      </w:r>
      <w:r>
        <w:rPr>
          <w:i/>
        </w:rPr>
        <w:t>θ</w:t>
      </w:r>
      <w:r>
        <w:t>,</w:t>
      </w:r>
      <w:r>
        <w:rPr>
          <w:i/>
        </w:rPr>
        <w:t>δ</w:t>
      </w:r>
      <w:r>
        <w:rPr>
          <w:vertAlign w:val="subscript"/>
        </w:rPr>
        <w:t>TE</w:t>
      </w:r>
      <w:r>
        <w:t>,</w:t>
      </w:r>
      <w:r>
        <w:rPr>
          <w:i/>
        </w:rPr>
        <w:t>l</w:t>
      </w:r>
      <w:r>
        <w:rPr>
          <w:i/>
          <w:vertAlign w:val="subscript"/>
        </w:rPr>
        <w:t>s</w:t>
      </w:r>
      <w:proofErr w:type="spellEnd"/>
      <w:r>
        <w:t xml:space="preserve">) is the recombination matrix, which is the probability for a segment to change its number of SSPs from </w:t>
      </w:r>
      <w:r>
        <w:rPr>
          <w:i/>
        </w:rPr>
        <w:t xml:space="preserve">y </w:t>
      </w:r>
      <w:r>
        <w:t xml:space="preserve">to </w:t>
      </w:r>
      <w:r>
        <w:rPr>
          <w:i/>
        </w:rPr>
        <w:t>x</w:t>
      </w:r>
      <w:r>
        <w:t xml:space="preserve"> during a recombination. </w:t>
      </w:r>
      <w:proofErr w:type="gramStart"/>
      <w:r>
        <w:t>P(</w:t>
      </w:r>
      <w:proofErr w:type="spellStart"/>
      <w:proofErr w:type="gramEnd"/>
      <w:r>
        <w:rPr>
          <w:i/>
        </w:rPr>
        <w:t>x</w:t>
      </w:r>
      <w:r>
        <w:t>|</w:t>
      </w:r>
      <w:r>
        <w:rPr>
          <w:i/>
        </w:rPr>
        <w:t>y</w:t>
      </w:r>
      <w:r>
        <w:t>,</w:t>
      </w:r>
      <w:r>
        <w:rPr>
          <w:i/>
        </w:rPr>
        <w:t>θ</w:t>
      </w:r>
      <w:r>
        <w:t>,</w:t>
      </w:r>
      <w:r>
        <w:rPr>
          <w:i/>
        </w:rPr>
        <w:t>δ</w:t>
      </w:r>
      <w:r>
        <w:rPr>
          <w:vertAlign w:val="subscript"/>
        </w:rPr>
        <w:t>TE</w:t>
      </w:r>
      <w:r>
        <w:t>,</w:t>
      </w:r>
      <w:r>
        <w:rPr>
          <w:i/>
        </w:rPr>
        <w:t>l</w:t>
      </w:r>
      <w:r>
        <w:rPr>
          <w:i/>
          <w:vertAlign w:val="subscript"/>
        </w:rPr>
        <w:t>s</w:t>
      </w:r>
      <w:proofErr w:type="spellEnd"/>
      <w:r>
        <w:t xml:space="preserve">) corresponds to Eq. (S4) in </w:t>
      </w:r>
      <w:r>
        <w:rPr>
          <w:i/>
        </w:rPr>
        <w:t>Dixit et al.</w:t>
      </w:r>
      <w:r>
        <w:t xml:space="preserve"> (Dixit et al. 2015)</w:t>
      </w:r>
      <w:r w:rsidR="00283FBA">
        <w:t xml:space="preserve"> </w:t>
      </w:r>
      <w:r>
        <w:t xml:space="preserve">and Eq. (3) in </w:t>
      </w:r>
      <w:r>
        <w:rPr>
          <w:i/>
        </w:rPr>
        <w:t>Dixit et al.</w:t>
      </w:r>
      <w:r>
        <w:t xml:space="preserve"> (Dixit et al. 2017); these literatures describe the detailed derivation of P(</w:t>
      </w:r>
      <w:proofErr w:type="spellStart"/>
      <w:r>
        <w:rPr>
          <w:i/>
        </w:rPr>
        <w:t>x</w:t>
      </w:r>
      <w:r>
        <w:t>|</w:t>
      </w:r>
      <w:r>
        <w:rPr>
          <w:i/>
        </w:rPr>
        <w:t>y</w:t>
      </w:r>
      <w:r>
        <w:t>,</w:t>
      </w:r>
      <w:r>
        <w:rPr>
          <w:i/>
        </w:rPr>
        <w:t>θ</w:t>
      </w:r>
      <w:r>
        <w:t>,</w:t>
      </w:r>
      <w:r>
        <w:rPr>
          <w:i/>
        </w:rPr>
        <w:t>δ</w:t>
      </w:r>
      <w:r>
        <w:rPr>
          <w:vertAlign w:val="subscript"/>
        </w:rPr>
        <w:t>TE</w:t>
      </w:r>
      <w:r>
        <w:t>,</w:t>
      </w:r>
      <w:r>
        <w:rPr>
          <w:i/>
        </w:rPr>
        <w:t>l</w:t>
      </w:r>
      <w:r>
        <w:rPr>
          <w:i/>
          <w:vertAlign w:val="subscript"/>
        </w:rPr>
        <w:t>s</w:t>
      </w:r>
      <w:proofErr w:type="spellEnd"/>
      <w:r>
        <w:t>). In brief, since a segment can recombine with its counterpart on another gen</w:t>
      </w:r>
      <w:r>
        <w:t>ome, we assume that each segment of a genome, along with its counterparts in different genomes of the population, have their own phylogeny, which is detached from the genomes’ phylogeny, and the segment population structure is approximated by the coalescen</w:t>
      </w:r>
      <w:r>
        <w:t xml:space="preserve">t model. For an attempted recombination between Y and an external donor D, we can use the coalescent model to calculate the </w:t>
      </w:r>
      <w:proofErr w:type="gramStart"/>
      <w:r>
        <w:lastRenderedPageBreak/>
        <w:t>probability</w:t>
      </w:r>
      <w:proofErr w:type="gramEnd"/>
      <w:r>
        <w:t xml:space="preserve"> distribution for the segment divergence </w:t>
      </w:r>
      <w:r>
        <w:rPr>
          <w:i/>
        </w:rPr>
        <w:t xml:space="preserve">δ </w:t>
      </w:r>
      <w:r>
        <w:t xml:space="preserve">between D and X, and then obtain </w:t>
      </w:r>
      <w:r>
        <w:rPr>
          <w:i/>
        </w:rPr>
        <w:t>x</w:t>
      </w:r>
      <w:r>
        <w:t xml:space="preserve"> from </w:t>
      </w:r>
      <w:r>
        <w:rPr>
          <w:i/>
        </w:rPr>
        <w:t>x</w:t>
      </w:r>
      <w:r>
        <w:t>=</w:t>
      </w:r>
      <w:proofErr w:type="spellStart"/>
      <w:r>
        <w:rPr>
          <w:i/>
        </w:rPr>
        <w:t>l</w:t>
      </w:r>
      <w:r>
        <w:rPr>
          <w:i/>
          <w:vertAlign w:val="subscript"/>
        </w:rPr>
        <w:t>s</w:t>
      </w:r>
      <w:r>
        <w:rPr>
          <w:i/>
        </w:rPr>
        <w:t>δ</w:t>
      </w:r>
      <w:proofErr w:type="spellEnd"/>
      <w:r>
        <w:t xml:space="preserve">. The expression of </w:t>
      </w:r>
      <w:proofErr w:type="gramStart"/>
      <w:r>
        <w:t>P(</w:t>
      </w:r>
      <w:proofErr w:type="spellStart"/>
      <w:proofErr w:type="gramEnd"/>
      <w:r>
        <w:rPr>
          <w:i/>
        </w:rPr>
        <w:t>x</w:t>
      </w:r>
      <w:r>
        <w:t>|</w:t>
      </w:r>
      <w:r>
        <w:rPr>
          <w:i/>
        </w:rPr>
        <w:t>y</w:t>
      </w:r>
      <w:r>
        <w:t>,</w:t>
      </w:r>
      <w:r>
        <w:rPr>
          <w:i/>
        </w:rPr>
        <w:t>θ</w:t>
      </w:r>
      <w:r>
        <w:t>,</w:t>
      </w:r>
      <w:r>
        <w:rPr>
          <w:i/>
        </w:rPr>
        <w:t>δ</w:t>
      </w:r>
      <w:r>
        <w:rPr>
          <w:vertAlign w:val="subscript"/>
        </w:rPr>
        <w:t>TE</w:t>
      </w:r>
      <w:r>
        <w:t>,</w:t>
      </w:r>
      <w:r>
        <w:rPr>
          <w:i/>
        </w:rPr>
        <w:t>l</w:t>
      </w:r>
      <w:r>
        <w:rPr>
          <w:i/>
          <w:vertAlign w:val="subscript"/>
        </w:rPr>
        <w:t>s</w:t>
      </w:r>
      <w:proofErr w:type="spellEnd"/>
      <w:r>
        <w:t>) is:</w:t>
      </w:r>
    </w:p>
    <w:tbl>
      <w:tblPr>
        <w:tblStyle w:val="a4"/>
        <w:tblW w:w="90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0"/>
      </w:tblGrid>
      <w:tr w:rsidR="00FF439C">
        <w:trPr>
          <w:trHeight w:val="420"/>
        </w:trPr>
        <w:tc>
          <w:tcPr>
            <w:tcW w:w="9000" w:type="dxa"/>
            <w:tcBorders>
              <w:top w:val="nil"/>
              <w:left w:val="nil"/>
              <w:bottom w:val="nil"/>
              <w:right w:val="nil"/>
            </w:tcBorders>
            <w:shd w:val="clear" w:color="auto" w:fill="auto"/>
            <w:tcMar>
              <w:top w:w="100" w:type="dxa"/>
              <w:left w:w="100" w:type="dxa"/>
              <w:bottom w:w="100" w:type="dxa"/>
              <w:right w:w="100" w:type="dxa"/>
            </w:tcMar>
          </w:tcPr>
          <w:p w:rsidR="00FF439C" w:rsidRDefault="00494061">
            <w:pPr>
              <w:jc w:val="center"/>
              <w:rPr>
                <w:rFonts w:ascii="Cambria Math" w:eastAsia="Cambria Math" w:hAnsi="Cambria Math" w:cs="Cambria Math"/>
                <w:sz w:val="20"/>
                <w:szCs w:val="20"/>
              </w:rPr>
            </w:pPr>
            <m:oMathPara>
              <m:oMath>
                <m:r>
                  <w:rPr>
                    <w:rFonts w:ascii="Cambria Math" w:eastAsia="Cambria Math" w:hAnsi="Cambria Math" w:cs="Cambria Math"/>
                    <w:sz w:val="20"/>
                    <w:szCs w:val="20"/>
                  </w:rPr>
                  <m:t>P</m:t>
                </m:r>
                <m:r>
                  <w:rPr>
                    <w:rFonts w:ascii="Cambria Math" w:eastAsia="Cambria Math" w:hAnsi="Cambria Math" w:cs="Cambria Math"/>
                    <w:sz w:val="20"/>
                    <w:szCs w:val="20"/>
                  </w:rPr>
                  <m:t>(</m:t>
                </m:r>
                <m:r>
                  <w:rPr>
                    <w:rFonts w:ascii="Cambria Math" w:eastAsia="Cambria Math" w:hAnsi="Cambria Math" w:cs="Cambria Math"/>
                    <w:sz w:val="20"/>
                    <w:szCs w:val="20"/>
                  </w:rPr>
                  <m:t>x</m:t>
                </m:r>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δ</m:t>
                    </m:r>
                  </m:e>
                  <m:sub>
                    <m:r>
                      <w:rPr>
                        <w:rFonts w:ascii="Cambria Math" w:eastAsia="Cambria Math" w:hAnsi="Cambria Math" w:cs="Cambria Math"/>
                        <w:sz w:val="20"/>
                        <w:szCs w:val="20"/>
                      </w:rPr>
                      <m:t>TE</m:t>
                    </m:r>
                  </m:sub>
                </m:sSub>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l</m:t>
                    </m:r>
                  </m:e>
                  <m:sub>
                    <m:r>
                      <w:rPr>
                        <w:rFonts w:ascii="Cambria Math" w:eastAsia="Cambria Math" w:hAnsi="Cambria Math" w:cs="Cambria Math"/>
                        <w:sz w:val="20"/>
                        <w:szCs w:val="20"/>
                      </w:rPr>
                      <m:t>s</m:t>
                    </m:r>
                  </m:sub>
                </m:sSub>
                <m:r>
                  <w:rPr>
                    <w:rFonts w:ascii="Cambria Math" w:eastAsia="Cambria Math" w:hAnsi="Cambria Math" w:cs="Cambria Math"/>
                    <w:sz w:val="20"/>
                    <w:szCs w:val="20"/>
                  </w:rPr>
                  <m:t>)=</m:t>
                </m:r>
                <m:f>
                  <m:fPr>
                    <m:ctrlPr>
                      <w:rPr>
                        <w:rFonts w:ascii="Cambria Math" w:eastAsia="Cambria Math" w:hAnsi="Cambria Math" w:cs="Cambria Math"/>
                        <w:sz w:val="20"/>
                        <w:szCs w:val="20"/>
                      </w:rPr>
                    </m:ctrlPr>
                  </m:fPr>
                  <m:num>
                    <m:r>
                      <w:rPr>
                        <w:rFonts w:ascii="Cambria Math" w:eastAsia="Cambria Math" w:hAnsi="Cambria Math" w:cs="Cambria Math"/>
                        <w:sz w:val="20"/>
                        <w:szCs w:val="20"/>
                      </w:rPr>
                      <m:t>1</m:t>
                    </m:r>
                  </m:num>
                  <m:den>
                    <m:r>
                      <w:rPr>
                        <w:rFonts w:ascii="Cambria Math" w:eastAsia="Cambria Math" w:hAnsi="Cambria Math" w:cs="Cambria Math"/>
                        <w:sz w:val="20"/>
                        <w:szCs w:val="20"/>
                      </w:rPr>
                      <m:t>B</m:t>
                    </m:r>
                  </m:den>
                </m:f>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r>
                  <w:rPr>
                    <w:rFonts w:ascii="Cambria Math" w:eastAsia="Cambria Math" w:hAnsi="Cambria Math" w:cs="Cambria Math"/>
                    <w:sz w:val="20"/>
                    <w:szCs w:val="20"/>
                  </w:rPr>
                  <m:t>x</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A</m:t>
                    </m:r>
                  </m:e>
                  <m:sub>
                    <m:r>
                      <w:rPr>
                        <w:rFonts w:ascii="Cambria Math" w:eastAsia="Cambria Math" w:hAnsi="Cambria Math" w:cs="Cambria Math"/>
                        <w:sz w:val="20"/>
                        <w:szCs w:val="20"/>
                      </w:rPr>
                      <m:t>1</m:t>
                    </m:r>
                  </m:sub>
                </m:sSub>
                <m:r>
                  <w:rPr>
                    <w:rFonts w:ascii="Cambria Math" w:eastAsia="Cambria Math" w:hAnsi="Cambria Math" w:cs="Cambria Math"/>
                    <w:sz w:val="20"/>
                    <w:szCs w:val="20"/>
                  </w:rPr>
                  <m:t>(</m:t>
                </m:r>
                <m:r>
                  <w:rPr>
                    <w:rFonts w:ascii="Cambria Math" w:eastAsia="Cambria Math" w:hAnsi="Cambria Math" w:cs="Cambria Math"/>
                    <w:sz w:val="20"/>
                    <w:szCs w:val="20"/>
                  </w:rPr>
                  <m:t>x</m:t>
                </m:r>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δ</m:t>
                    </m:r>
                  </m:e>
                  <m:sub>
                    <m:r>
                      <w:rPr>
                        <w:rFonts w:ascii="Cambria Math" w:eastAsia="Cambria Math" w:hAnsi="Cambria Math" w:cs="Cambria Math"/>
                        <w:sz w:val="20"/>
                        <w:szCs w:val="20"/>
                      </w:rPr>
                      <m:t>TE</m:t>
                    </m:r>
                  </m:sub>
                </m:sSub>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l</m:t>
                    </m:r>
                  </m:e>
                  <m:sub>
                    <m:r>
                      <w:rPr>
                        <w:rFonts w:ascii="Cambria Math" w:eastAsia="Cambria Math" w:hAnsi="Cambria Math" w:cs="Cambria Math"/>
                        <w:sz w:val="20"/>
                        <w:szCs w:val="20"/>
                      </w:rPr>
                      <m:t>s</m:t>
                    </m:r>
                  </m:sub>
                </m:sSub>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r>
                  <w:rPr>
                    <w:rFonts w:ascii="Cambria Math" w:eastAsia="Cambria Math" w:hAnsi="Cambria Math" w:cs="Cambria Math"/>
                    <w:sz w:val="20"/>
                    <w:szCs w:val="20"/>
                  </w:rPr>
                  <m:t>x</m:t>
                </m:r>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A</m:t>
                    </m:r>
                  </m:e>
                  <m:sub>
                    <m:r>
                      <w:rPr>
                        <w:rFonts w:ascii="Cambria Math" w:eastAsia="Cambria Math" w:hAnsi="Cambria Math" w:cs="Cambria Math"/>
                        <w:sz w:val="20"/>
                        <w:szCs w:val="20"/>
                      </w:rPr>
                      <m:t>2</m:t>
                    </m:r>
                  </m:sub>
                </m:sSub>
                <m:r>
                  <w:rPr>
                    <w:rFonts w:ascii="Cambria Math" w:eastAsia="Cambria Math" w:hAnsi="Cambria Math" w:cs="Cambria Math"/>
                    <w:sz w:val="20"/>
                    <w:szCs w:val="20"/>
                  </w:rPr>
                  <m:t>(</m:t>
                </m:r>
                <m:r>
                  <w:rPr>
                    <w:rFonts w:ascii="Cambria Math" w:eastAsia="Cambria Math" w:hAnsi="Cambria Math" w:cs="Cambria Math"/>
                    <w:sz w:val="20"/>
                    <w:szCs w:val="20"/>
                  </w:rPr>
                  <m:t>x</m:t>
                </m:r>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δ</m:t>
                    </m:r>
                  </m:e>
                  <m:sub>
                    <m:r>
                      <w:rPr>
                        <w:rFonts w:ascii="Cambria Math" w:eastAsia="Cambria Math" w:hAnsi="Cambria Math" w:cs="Cambria Math"/>
                        <w:sz w:val="20"/>
                        <w:szCs w:val="20"/>
                      </w:rPr>
                      <m:t>TE</m:t>
                    </m:r>
                  </m:sub>
                </m:sSub>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l</m:t>
                    </m:r>
                  </m:e>
                  <m:sub>
                    <m:r>
                      <w:rPr>
                        <w:rFonts w:ascii="Cambria Math" w:eastAsia="Cambria Math" w:hAnsi="Cambria Math" w:cs="Cambria Math"/>
                        <w:sz w:val="20"/>
                        <w:szCs w:val="20"/>
                      </w:rPr>
                      <m:t>s</m:t>
                    </m:r>
                  </m:sub>
                </m:sSub>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δ</m:t>
                    </m:r>
                  </m:e>
                  <m:sub>
                    <m:r>
                      <w:rPr>
                        <w:rFonts w:ascii="Cambria Math" w:eastAsia="Cambria Math" w:hAnsi="Cambria Math" w:cs="Cambria Math"/>
                        <w:sz w:val="20"/>
                        <w:szCs w:val="20"/>
                      </w:rPr>
                      <m:t>xy</m:t>
                    </m:r>
                  </m:sub>
                </m:sSub>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A</m:t>
                    </m:r>
                  </m:e>
                  <m:sub>
                    <m:r>
                      <w:rPr>
                        <w:rFonts w:ascii="Cambria Math" w:eastAsia="Cambria Math" w:hAnsi="Cambria Math" w:cs="Cambria Math"/>
                        <w:sz w:val="20"/>
                        <w:szCs w:val="20"/>
                      </w:rPr>
                      <m:t>3</m:t>
                    </m:r>
                  </m:sub>
                </m:sSub>
                <m:r>
                  <w:rPr>
                    <w:rFonts w:ascii="Cambria Math" w:eastAsia="Cambria Math" w:hAnsi="Cambria Math" w:cs="Cambria Math"/>
                    <w:sz w:val="20"/>
                    <w:szCs w:val="20"/>
                  </w:rPr>
                  <m:t>(</m:t>
                </m:r>
                <m:r>
                  <w:rPr>
                    <w:rFonts w:ascii="Cambria Math" w:eastAsia="Cambria Math" w:hAnsi="Cambria Math" w:cs="Cambria Math"/>
                    <w:sz w:val="20"/>
                    <w:szCs w:val="20"/>
                  </w:rPr>
                  <m:t>y</m:t>
                </m:r>
                <m:r>
                  <w:rPr>
                    <w:rFonts w:ascii="Cambria Math" w:eastAsia="Cambria Math" w:hAnsi="Cambria Math" w:cs="Cambria Math"/>
                    <w:sz w:val="20"/>
                    <w:szCs w:val="20"/>
                  </w:rPr>
                  <m:t>,</m:t>
                </m:r>
                <m:r>
                  <w:rPr>
                    <w:rFonts w:ascii="Cambria Math" w:eastAsia="Cambria Math" w:hAnsi="Cambria Math" w:cs="Cambria Math"/>
                    <w:sz w:val="20"/>
                    <w:szCs w:val="20"/>
                  </w:rPr>
                  <m:t>θ</m:t>
                </m:r>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δ</m:t>
                    </m:r>
                  </m:e>
                  <m:sub>
                    <m:r>
                      <w:rPr>
                        <w:rFonts w:ascii="Cambria Math" w:eastAsia="Cambria Math" w:hAnsi="Cambria Math" w:cs="Cambria Math"/>
                        <w:sz w:val="20"/>
                        <w:szCs w:val="20"/>
                      </w:rPr>
                      <m:t>TE</m:t>
                    </m:r>
                  </m:sub>
                </m:sSub>
                <m:r>
                  <w:rPr>
                    <w:rFonts w:ascii="Cambria Math" w:eastAsia="Cambria Math" w:hAnsi="Cambria Math" w:cs="Cambria Math"/>
                    <w:sz w:val="20"/>
                    <w:szCs w:val="20"/>
                  </w:rPr>
                  <m: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l</m:t>
                    </m:r>
                  </m:e>
                  <m:sub>
                    <m:r>
                      <w:rPr>
                        <w:rFonts w:ascii="Cambria Math" w:eastAsia="Cambria Math" w:hAnsi="Cambria Math" w:cs="Cambria Math"/>
                        <w:sz w:val="20"/>
                        <w:szCs w:val="20"/>
                      </w:rPr>
                      <m:t>s</m:t>
                    </m:r>
                  </m:sub>
                </m:sSub>
                <m:r>
                  <w:rPr>
                    <w:rFonts w:ascii="Cambria Math" w:eastAsia="Cambria Math" w:hAnsi="Cambria Math" w:cs="Cambria Math"/>
                    <w:sz w:val="20"/>
                    <w:szCs w:val="20"/>
                  </w:rPr>
                  <m:t>)]</m:t>
                </m:r>
              </m:oMath>
            </m:oMathPara>
          </w:p>
        </w:tc>
      </w:tr>
    </w:tbl>
    <w:p w:rsidR="00FF439C" w:rsidRDefault="00494061">
      <w:pPr>
        <w:ind w:firstLine="0"/>
      </w:pPr>
      <w:r>
        <w:rPr>
          <w:i/>
        </w:rPr>
        <w:t>B</w:t>
      </w:r>
      <w:r>
        <w:t xml:space="preserve"> is a normalization constant; Θ(</w:t>
      </w:r>
      <w:r>
        <w:rPr>
          <w:i/>
        </w:rPr>
        <w:t>x</w:t>
      </w:r>
      <w:r>
        <w:t xml:space="preserve">) is the step function, which is 1 when </w:t>
      </w:r>
      <w:r>
        <w:rPr>
          <w:i/>
        </w:rPr>
        <w:t>x</w:t>
      </w:r>
      <w:r>
        <w:t xml:space="preserve">&gt;0 and 0 when </w:t>
      </w:r>
      <w:r>
        <w:rPr>
          <w:i/>
        </w:rPr>
        <w:t>x</w:t>
      </w:r>
      <w:sdt>
        <w:sdtPr>
          <w:tag w:val="goog_rdk_3"/>
          <w:id w:val="-113823514"/>
        </w:sdtPr>
        <w:sdtEndPr/>
        <w:sdtContent>
          <w:r>
            <w:rPr>
              <w:rFonts w:ascii="Arial Unicode MS" w:eastAsia="Arial Unicode MS" w:hAnsi="Arial Unicode MS" w:cs="Arial Unicode MS"/>
            </w:rPr>
            <w:t xml:space="preserve">≤0; </w:t>
          </w:r>
          <w:proofErr w:type="spellStart"/>
          <w:r>
            <w:rPr>
              <w:rFonts w:ascii="Arial Unicode MS" w:eastAsia="Arial Unicode MS" w:hAnsi="Arial Unicode MS" w:cs="Arial Unicode MS"/>
            </w:rPr>
            <w:t>δ</w:t>
          </w:r>
        </w:sdtContent>
      </w:sdt>
      <w:r>
        <w:rPr>
          <w:i/>
          <w:vertAlign w:val="subscript"/>
        </w:rPr>
        <w:t>xy</w:t>
      </w:r>
      <w:proofErr w:type="spellEnd"/>
      <w:r>
        <w:t xml:space="preserve"> is </w:t>
      </w:r>
      <w:proofErr w:type="spellStart"/>
      <w:r>
        <w:t>Kronecker</w:t>
      </w:r>
      <w:proofErr w:type="spellEnd"/>
      <w:r>
        <w:t xml:space="preserve"> delta. The three terms of P(</w:t>
      </w:r>
      <w:proofErr w:type="spellStart"/>
      <w:r>
        <w:rPr>
          <w:i/>
        </w:rPr>
        <w:t>x</w:t>
      </w:r>
      <w:r>
        <w:t>|</w:t>
      </w:r>
      <w:r>
        <w:rPr>
          <w:i/>
        </w:rPr>
        <w:t>y</w:t>
      </w:r>
      <w:r>
        <w:t>,</w:t>
      </w:r>
      <w:r>
        <w:rPr>
          <w:i/>
        </w:rPr>
        <w:t>θ</w:t>
      </w:r>
      <w:r>
        <w:t>,</w:t>
      </w:r>
      <w:r>
        <w:rPr>
          <w:i/>
        </w:rPr>
        <w:t>δ</w:t>
      </w:r>
      <w:r>
        <w:rPr>
          <w:vertAlign w:val="subscript"/>
        </w:rPr>
        <w:t>TE</w:t>
      </w:r>
      <w:r>
        <w:t>,</w:t>
      </w:r>
      <w:r>
        <w:rPr>
          <w:i/>
        </w:rPr>
        <w:t>l</w:t>
      </w:r>
      <w:r>
        <w:rPr>
          <w:i/>
          <w:vertAlign w:val="subscript"/>
        </w:rPr>
        <w:t>s</w:t>
      </w:r>
      <w:proofErr w:type="spellEnd"/>
      <w:r>
        <w:t xml:space="preserve">) (corresponding to Eq. (S1-S3) in </w:t>
      </w:r>
      <w:r>
        <w:rPr>
          <w:i/>
        </w:rPr>
        <w:t>Dixit et al.</w:t>
      </w:r>
      <w:r>
        <w:t xml:space="preserve"> (Dixit et al. 2017)represent three different possible scenarios of recombination:</w:t>
      </w:r>
    </w:p>
    <w:p w:rsidR="00FF439C" w:rsidRDefault="00494061">
      <w:pPr>
        <w:widowControl w:val="0"/>
        <w:numPr>
          <w:ilvl w:val="0"/>
          <w:numId w:val="1"/>
        </w:numPr>
      </w:pPr>
      <w:r>
        <w:t xml:space="preserve">when </w:t>
      </w:r>
      <w:r>
        <w:rPr>
          <w:i/>
        </w:rPr>
        <w:t>x</w:t>
      </w:r>
      <w:r>
        <w:t>&lt;</w:t>
      </w:r>
      <w:r>
        <w:rPr>
          <w:i/>
        </w:rPr>
        <w:t>y</w:t>
      </w:r>
      <w:r>
        <w:t xml:space="preserve">, recombination reduces divergence: </w:t>
      </w:r>
      <w:r>
        <w:br/>
      </w:r>
      <m:oMath>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1</m:t>
            </m:r>
          </m:sub>
        </m:sSub>
        <m:r>
          <w:rPr>
            <w:rFonts w:ascii="Cambria Math" w:eastAsia="Cambria Math" w:hAnsi="Cambria Math" w:cs="Cambria Math"/>
          </w:rPr>
          <m:t>(</m:t>
        </m:r>
        <m:r>
          <w:rPr>
            <w:rFonts w:ascii="Cambria Math" w:eastAsia="Cambria Math" w:hAnsi="Cambria Math" w:cs="Cambria Math"/>
          </w:rPr>
          <m:t>x</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θ</m:t>
        </m:r>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1</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θ</m:t>
            </m:r>
          </m:den>
        </m:f>
        <m:r>
          <w:rPr>
            <w:rFonts w:ascii="Cambria Math" w:eastAsia="Cambria Math" w:hAnsi="Cambria Math" w:cs="Cambria Math"/>
          </w:rPr>
          <m:t>exp</m:t>
        </m:r>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y</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den>
        </m:f>
        <m:r>
          <w:rPr>
            <w:rFonts w:ascii="Cambria Math" w:eastAsia="Cambria Math" w:hAnsi="Cambria Math" w:cs="Cambria Math"/>
          </w:rPr>
          <m:t>)</m:t>
        </m:r>
        <m:r>
          <w:rPr>
            <w:rFonts w:ascii="Cambria Math" w:eastAsia="Cambria Math" w:hAnsi="Cambria Math" w:cs="Cambria Math"/>
          </w:rPr>
          <m:t>exp</m:t>
        </m:r>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2</m:t>
            </m:r>
            <m:r>
              <w:rPr>
                <w:rFonts w:ascii="Cambria Math" w:eastAsia="Cambria Math" w:hAnsi="Cambria Math" w:cs="Cambria Math"/>
              </w:rPr>
              <m:t>x</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θ</m:t>
            </m:r>
          </m:den>
        </m:f>
        <m:r>
          <w:rPr>
            <w:rFonts w:ascii="Cambria Math" w:eastAsia="Cambria Math" w:hAnsi="Cambria Math" w:cs="Cambria Math"/>
          </w:rPr>
          <m:t>)</m:t>
        </m:r>
      </m:oMath>
      <w:r>
        <w:t>;</w:t>
      </w:r>
    </w:p>
    <w:p w:rsidR="00FF439C" w:rsidRDefault="00494061">
      <w:pPr>
        <w:widowControl w:val="0"/>
        <w:numPr>
          <w:ilvl w:val="0"/>
          <w:numId w:val="1"/>
        </w:numPr>
      </w:pPr>
      <w:r>
        <w:t xml:space="preserve">when </w:t>
      </w:r>
      <w:r>
        <w:rPr>
          <w:i/>
        </w:rPr>
        <w:t>x</w:t>
      </w:r>
      <w:r>
        <w:t>&gt;</w:t>
      </w:r>
      <w:r>
        <w:rPr>
          <w:i/>
        </w:rPr>
        <w:t>y</w:t>
      </w:r>
      <w:r>
        <w:t xml:space="preserve">, recombination increases divergence: </w:t>
      </w:r>
      <m:oMath>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2</m:t>
            </m:r>
          </m:sub>
        </m:sSub>
        <m:r>
          <w:rPr>
            <w:rFonts w:ascii="Cambria Math" w:eastAsia="Cambria Math" w:hAnsi="Cambria Math" w:cs="Cambria Math"/>
          </w:rPr>
          <m:t>(</m:t>
        </m:r>
        <m:r>
          <w:rPr>
            <w:rFonts w:ascii="Cambria Math" w:eastAsia="Cambria Math" w:hAnsi="Cambria Math" w:cs="Cambria Math"/>
          </w:rPr>
          <m:t>x</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θ</m:t>
        </m:r>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1</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θ</m:t>
            </m:r>
          </m:den>
        </m:f>
        <m:r>
          <w:rPr>
            <w:rFonts w:ascii="Cambria Math" w:eastAsia="Cambria Math" w:hAnsi="Cambria Math" w:cs="Cambria Math"/>
          </w:rPr>
          <m:t>exp</m:t>
        </m:r>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x</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den>
        </m:f>
        <m:r>
          <w:rPr>
            <w:rFonts w:ascii="Cambria Math" w:eastAsia="Cambria Math" w:hAnsi="Cambria Math" w:cs="Cambria Math"/>
          </w:rPr>
          <m:t>)</m:t>
        </m:r>
        <m:r>
          <w:rPr>
            <w:rFonts w:ascii="Cambria Math" w:eastAsia="Cambria Math" w:hAnsi="Cambria Math" w:cs="Cambria Math"/>
          </w:rPr>
          <m:t>exp</m:t>
        </m:r>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y</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θ</m:t>
            </m:r>
          </m:den>
        </m:f>
        <m:r>
          <w:rPr>
            <w:rFonts w:ascii="Cambria Math" w:eastAsia="Cambria Math" w:hAnsi="Cambria Math" w:cs="Cambria Math"/>
          </w:rPr>
          <m:t>)</m:t>
        </m:r>
        <m:r>
          <w:rPr>
            <w:rFonts w:ascii="Cambria Math" w:eastAsia="Cambria Math" w:hAnsi="Cambria Math" w:cs="Cambria Math"/>
          </w:rPr>
          <m:t>exp</m:t>
        </m:r>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x</m:t>
            </m:r>
          </m:num>
          <m:den>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θ</m:t>
            </m:r>
          </m:den>
        </m:f>
        <m:r>
          <w:rPr>
            <w:rFonts w:ascii="Cambria Math" w:eastAsia="Cambria Math" w:hAnsi="Cambria Math" w:cs="Cambria Math"/>
          </w:rPr>
          <m:t>)</m:t>
        </m:r>
      </m:oMath>
      <w:r>
        <w:t>;</w:t>
      </w:r>
    </w:p>
    <w:p w:rsidR="00FF439C" w:rsidRDefault="00494061">
      <w:pPr>
        <w:widowControl w:val="0"/>
        <w:numPr>
          <w:ilvl w:val="0"/>
          <w:numId w:val="1"/>
        </w:numPr>
      </w:pPr>
      <w:proofErr w:type="gramStart"/>
      <w:r>
        <w:t>when</w:t>
      </w:r>
      <w:proofErr w:type="gramEnd"/>
      <w:r>
        <w:t xml:space="preserve"> </w:t>
      </w:r>
      <w:r>
        <w:rPr>
          <w:i/>
        </w:rPr>
        <w:t>y</w:t>
      </w:r>
      <w:r>
        <w:t>=</w:t>
      </w:r>
      <w:r>
        <w:rPr>
          <w:i/>
        </w:rPr>
        <w:t>x</w:t>
      </w:r>
      <w:r>
        <w:t>, the recombination event either failed, or succeeded but did not</w:t>
      </w:r>
      <w:r>
        <w:t xml:space="preserve"> change the divergence: </w:t>
      </w:r>
      <m:oMath>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3</m:t>
            </m:r>
          </m:sub>
        </m:sSub>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θ</m:t>
        </m:r>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)=1-</m:t>
        </m:r>
        <m:nary>
          <m:naryPr>
            <m:chr m:val="∑"/>
            <m:ctrlPr>
              <w:rPr>
                <w:rFonts w:ascii="Cambria Math" w:eastAsia="Cambria Math" w:hAnsi="Cambria Math" w:cs="Cambria Math"/>
              </w:rPr>
            </m:ctrlPr>
          </m:naryPr>
          <m:sub>
            <m:r>
              <w:rPr>
                <w:rFonts w:ascii="Cambria Math" w:eastAsia="Cambria Math" w:hAnsi="Cambria Math" w:cs="Cambria Math"/>
              </w:rPr>
              <m:t>x</m:t>
            </m:r>
            <m:r>
              <w:rPr>
                <w:rFonts w:ascii="Cambria Math" w:eastAsia="Cambria Math" w:hAnsi="Cambria Math" w:cs="Cambria Math"/>
              </w:rPr>
              <m:t>=0</m:t>
            </m:r>
          </m:sub>
          <m:sup>
            <m:r>
              <w:rPr>
                <w:rFonts w:ascii="Cambria Math" w:eastAsia="Cambria Math" w:hAnsi="Cambria Math" w:cs="Cambria Math"/>
              </w:rPr>
              <m:t>y</m:t>
            </m:r>
            <m:r>
              <w:rPr>
                <w:rFonts w:ascii="Cambria Math" w:eastAsia="Cambria Math" w:hAnsi="Cambria Math" w:cs="Cambria Math"/>
              </w:rPr>
              <m:t>-</m:t>
            </m:r>
            <m:r>
              <w:rPr>
                <w:rFonts w:ascii="Cambria Math" w:eastAsia="Cambria Math" w:hAnsi="Cambria Math" w:cs="Cambria Math"/>
              </w:rPr>
              <m:t>1</m:t>
            </m:r>
          </m:sup>
          <m:e>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1</m:t>
                </m:r>
              </m:sub>
            </m:sSub>
            <m:r>
              <w:rPr>
                <w:rFonts w:ascii="Cambria Math" w:eastAsia="Cambria Math" w:hAnsi="Cambria Math" w:cs="Cambria Math"/>
              </w:rPr>
              <m:t>(x|y,θ,</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e>
        </m:nary>
        <m:r>
          <w:rPr>
            <w:rFonts w:ascii="Cambria Math" w:eastAsia="Cambria Math" w:hAnsi="Cambria Math" w:cs="Cambria Math"/>
          </w:rPr>
          <m:t>-</m:t>
        </m:r>
        <m:nary>
          <m:naryPr>
            <m:chr m:val="∑"/>
            <m:ctrlPr>
              <w:rPr>
                <w:rFonts w:ascii="Cambria Math" w:eastAsia="Cambria Math" w:hAnsi="Cambria Math" w:cs="Cambria Math"/>
              </w:rPr>
            </m:ctrlPr>
          </m:naryPr>
          <m:sub>
            <m:r>
              <w:rPr>
                <w:rFonts w:ascii="Cambria Math" w:eastAsia="Cambria Math" w:hAnsi="Cambria Math" w:cs="Cambria Math"/>
              </w:rPr>
              <m:t>x</m:t>
            </m:r>
            <m:r>
              <w:rPr>
                <w:rFonts w:ascii="Cambria Math" w:eastAsia="Cambria Math" w:hAnsi="Cambria Math" w:cs="Cambria Math"/>
              </w:rPr>
              <m:t>=</m:t>
            </m:r>
            <m:r>
              <w:rPr>
                <w:rFonts w:ascii="Cambria Math" w:eastAsia="Cambria Math" w:hAnsi="Cambria Math" w:cs="Cambria Math"/>
              </w:rPr>
              <m:t>y</m:t>
            </m:r>
            <m:r>
              <w:rPr>
                <w:rFonts w:ascii="Cambria Math" w:eastAsia="Cambria Math" w:hAnsi="Cambria Math" w:cs="Cambria Math"/>
              </w:rPr>
              <m:t>+1</m:t>
            </m:r>
          </m:sub>
          <m:sup>
            <m:sSup>
              <m:sSupPr>
                <m:ctrlPr>
                  <w:rPr>
                    <w:rFonts w:ascii="Cambria Math" w:eastAsia="Cambria Math" w:hAnsi="Cambria Math" w:cs="Cambria Math"/>
                  </w:rPr>
                </m:ctrlPr>
              </m:sSupPr>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e>
              <m:sup>
                <m:r>
                  <w:rPr>
                    <w:rFonts w:ascii="Cambria Math" w:eastAsia="Cambria Math" w:hAnsi="Cambria Math" w:cs="Cambria Math"/>
                  </w:rPr>
                  <m:t>cutoff</m:t>
                </m:r>
              </m:sup>
            </m:sSup>
          </m:sup>
          <m:e>
            <m:sSub>
              <m:sSubPr>
                <m:ctrlPr>
                  <w:rPr>
                    <w:rFonts w:ascii="Cambria Math" w:eastAsia="Cambria Math" w:hAnsi="Cambria Math" w:cs="Cambria Math"/>
                  </w:rPr>
                </m:ctrlPr>
              </m:sSubPr>
              <m:e>
                <m:r>
                  <w:rPr>
                    <w:rFonts w:ascii="Cambria Math" w:eastAsia="Cambria Math" w:hAnsi="Cambria Math" w:cs="Cambria Math"/>
                  </w:rPr>
                  <m:t>A</m:t>
                </m:r>
              </m:e>
              <m:sub>
                <m:r>
                  <w:rPr>
                    <w:rFonts w:ascii="Cambria Math" w:eastAsia="Cambria Math" w:hAnsi="Cambria Math" w:cs="Cambria Math"/>
                  </w:rPr>
                  <m:t>2</m:t>
                </m:r>
              </m:sub>
            </m:sSub>
            <m:r>
              <w:rPr>
                <w:rFonts w:ascii="Cambria Math" w:eastAsia="Cambria Math" w:hAnsi="Cambria Math" w:cs="Cambria Math"/>
              </w:rPr>
              <m:t>(x|y,θ,</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e>
        </m:nary>
      </m:oMath>
      <w:r>
        <w:t>.</w:t>
      </w:r>
    </w:p>
    <w:p w:rsidR="00FF439C" w:rsidRDefault="00494061">
      <w:pPr>
        <w:widowControl w:val="0"/>
        <w:ind w:firstLine="0"/>
      </w:pPr>
      <w:r>
        <w:t xml:space="preserve">The normalization constant </w:t>
      </w:r>
      <w:r>
        <w:rPr>
          <w:i/>
        </w:rPr>
        <w:t>B</w:t>
      </w:r>
      <w:r>
        <w:t xml:space="preserve"> is introduced to deal with possible numerical errors and is determined by the condition:</w:t>
      </w:r>
    </w:p>
    <w:tbl>
      <w:tblPr>
        <w:tblStyle w:val="a5"/>
        <w:tblW w:w="90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65"/>
        <w:gridCol w:w="1035"/>
      </w:tblGrid>
      <w:tr w:rsidR="00FF439C">
        <w:tc>
          <w:tcPr>
            <w:tcW w:w="7965" w:type="dxa"/>
            <w:tcBorders>
              <w:top w:val="nil"/>
              <w:left w:val="nil"/>
              <w:bottom w:val="nil"/>
              <w:right w:val="nil"/>
            </w:tcBorders>
            <w:shd w:val="clear" w:color="auto" w:fill="auto"/>
            <w:tcMar>
              <w:top w:w="100" w:type="dxa"/>
              <w:left w:w="100" w:type="dxa"/>
              <w:bottom w:w="100" w:type="dxa"/>
              <w:right w:w="100" w:type="dxa"/>
            </w:tcMar>
          </w:tcPr>
          <w:p w:rsidR="00FF439C" w:rsidRDefault="00494061" w:rsidP="00CC77B0">
            <w:pPr>
              <w:jc w:val="center"/>
              <w:rPr>
                <w:rFonts w:ascii="Cambria Math" w:eastAsia="Cambria Math" w:hAnsi="Cambria Math" w:cs="Cambria Math"/>
              </w:rPr>
            </w:pPr>
            <m:oMathPara>
              <m:oMath>
                <m:nary>
                  <m:naryPr>
                    <m:chr m:val="∑"/>
                    <m:ctrlPr>
                      <w:rPr>
                        <w:rFonts w:ascii="Cambria Math" w:eastAsia="Cambria Math" w:hAnsi="Cambria Math" w:cs="Cambria Math"/>
                      </w:rPr>
                    </m:ctrlPr>
                  </m:naryPr>
                  <m:sub>
                    <m:r>
                      <w:rPr>
                        <w:rFonts w:ascii="Cambria Math" w:eastAsia="Cambria Math" w:hAnsi="Cambria Math" w:cs="Cambria Math"/>
                      </w:rPr>
                      <m:t>x</m:t>
                    </m:r>
                    <m:r>
                      <w:rPr>
                        <w:rFonts w:ascii="Cambria Math" w:eastAsia="Cambria Math" w:hAnsi="Cambria Math" w:cs="Cambria Math"/>
                      </w:rPr>
                      <m:t>=0</m:t>
                    </m:r>
                  </m:sub>
                  <m:sup>
                    <m:sSup>
                      <m:sSupPr>
                        <m:ctrlPr>
                          <w:rPr>
                            <w:rFonts w:ascii="Cambria Math" w:eastAsia="Cambria Math" w:hAnsi="Cambria Math" w:cs="Cambria Math"/>
                          </w:rPr>
                        </m:ctrlPr>
                      </m:sSupPr>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e>
                      <m:sup>
                        <m:r>
                          <w:rPr>
                            <w:rFonts w:ascii="Cambria Math" w:eastAsia="Cambria Math" w:hAnsi="Cambria Math" w:cs="Cambria Math"/>
                          </w:rPr>
                          <m:t>cutoff</m:t>
                        </m:r>
                      </m:sup>
                    </m:sSup>
                  </m:sup>
                  <m:e>
                    <m:r>
                      <w:rPr>
                        <w:rFonts w:ascii="Cambria Math" w:eastAsia="Cambria Math" w:hAnsi="Cambria Math" w:cs="Cambria Math"/>
                      </w:rPr>
                      <m:t>P(x|y,θ,</m:t>
                    </m:r>
                    <m:sSub>
                      <m:sSubPr>
                        <m:ctrlPr>
                          <w:rPr>
                            <w:rFonts w:ascii="Cambria Math" w:eastAsia="Cambria Math" w:hAnsi="Cambria Math" w:cs="Cambria Math"/>
                          </w:rPr>
                        </m:ctrlPr>
                      </m:sSubPr>
                      <m:e>
                        <m:r>
                          <w:rPr>
                            <w:rFonts w:ascii="Cambria Math" w:eastAsia="Cambria Math" w:hAnsi="Cambria Math" w:cs="Cambria Math"/>
                          </w:rPr>
                          <m:t>δ</m:t>
                        </m:r>
                      </m:e>
                      <m:sub>
                        <m:r>
                          <w:rPr>
                            <w:rFonts w:ascii="Cambria Math" w:eastAsia="Cambria Math" w:hAnsi="Cambria Math" w:cs="Cambria Math"/>
                          </w:rPr>
                          <m:t>TE</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s</m:t>
                        </m:r>
                      </m:sub>
                    </m:sSub>
                    <m:r>
                      <w:rPr>
                        <w:rFonts w:ascii="Cambria Math" w:eastAsia="Cambria Math" w:hAnsi="Cambria Math" w:cs="Cambria Math"/>
                      </w:rPr>
                      <m:t>)</m:t>
                    </m:r>
                  </m:e>
                </m:nary>
                <m:r>
                  <w:rPr>
                    <w:rFonts w:ascii="Cambria Math" w:eastAsia="Cambria Math" w:hAnsi="Cambria Math" w:cs="Cambria Math"/>
                  </w:rPr>
                  <m:t>=1</m:t>
                </m:r>
              </m:oMath>
            </m:oMathPara>
          </w:p>
        </w:tc>
        <w:tc>
          <w:tcPr>
            <w:tcW w:w="1035" w:type="dxa"/>
            <w:tcBorders>
              <w:top w:val="nil"/>
              <w:left w:val="nil"/>
              <w:bottom w:val="nil"/>
              <w:right w:val="nil"/>
            </w:tcBorders>
            <w:shd w:val="clear" w:color="auto" w:fill="auto"/>
            <w:tcMar>
              <w:top w:w="100" w:type="dxa"/>
              <w:left w:w="100" w:type="dxa"/>
              <w:bottom w:w="100" w:type="dxa"/>
              <w:right w:w="100" w:type="dxa"/>
            </w:tcMar>
          </w:tcPr>
          <w:p w:rsidR="00FF439C" w:rsidRDefault="00FF439C">
            <w:pPr>
              <w:widowControl w:val="0"/>
            </w:pPr>
          </w:p>
        </w:tc>
      </w:tr>
    </w:tbl>
    <w:p w:rsidR="00FF439C" w:rsidRDefault="00494061">
      <w:pPr>
        <w:widowControl w:val="0"/>
      </w:pPr>
      <w:r>
        <w:t xml:space="preserve">We can calculate </w:t>
      </w:r>
      <w:r>
        <w:rPr>
          <w:i/>
        </w:rPr>
        <w:t>f</w:t>
      </w:r>
      <w:r>
        <w:t>(</w:t>
      </w:r>
      <w:proofErr w:type="spellStart"/>
      <w:r>
        <w:rPr>
          <w:i/>
        </w:rPr>
        <w:t>x</w:t>
      </w:r>
      <w:r>
        <w:t>|</w:t>
      </w:r>
      <w:r>
        <w:rPr>
          <w:i/>
        </w:rPr>
        <w:t>t</w:t>
      </w:r>
      <w:proofErr w:type="spellEnd"/>
      <w:r>
        <w:t xml:space="preserve">) at different </w:t>
      </w:r>
      <w:r>
        <w:rPr>
          <w:i/>
        </w:rPr>
        <w:t>t</w:t>
      </w:r>
      <w:r>
        <w:t xml:space="preserve">, starting from Equation (1) with the boundary condition </w:t>
      </w:r>
      <w:r>
        <w:rPr>
          <w:i/>
        </w:rPr>
        <w:t>f</w:t>
      </w:r>
      <w:r>
        <w:t>(</w:t>
      </w:r>
      <w:r>
        <w:rPr>
          <w:i/>
        </w:rPr>
        <w:t>x</w:t>
      </w:r>
      <w:r>
        <w:t>|0)=δ</w:t>
      </w:r>
      <w:r>
        <w:rPr>
          <w:i/>
          <w:vertAlign w:val="subscript"/>
        </w:rPr>
        <w:t>x</w:t>
      </w:r>
      <w:r>
        <w:rPr>
          <w:vertAlign w:val="subscript"/>
        </w:rPr>
        <w:t>0</w:t>
      </w:r>
      <w:r>
        <w:t xml:space="preserve"> and using discrete time step </w:t>
      </w:r>
      <w:r>
        <w:rPr>
          <w:i/>
        </w:rPr>
        <w:t>t</w:t>
      </w:r>
      <w:r>
        <w:t xml:space="preserve">. Supplementary Figure S1 shows an example of SSP distributions of this model at different coalescent time </w:t>
      </w:r>
      <w:r>
        <w:rPr>
          <w:i/>
        </w:rPr>
        <w:t>t</w:t>
      </w:r>
      <w:r>
        <w:t>, with model parameters (</w:t>
      </w:r>
      <w:r>
        <w:rPr>
          <w:i/>
        </w:rPr>
        <w:t>μ</w:t>
      </w:r>
      <w:r>
        <w:t xml:space="preserve">, </w:t>
      </w:r>
      <w:r>
        <w:rPr>
          <w:i/>
        </w:rPr>
        <w:t>ρ</w:t>
      </w:r>
      <w:r>
        <w:t xml:space="preserve">, </w:t>
      </w:r>
      <w:r>
        <w:rPr>
          <w:i/>
        </w:rPr>
        <w:t>θ</w:t>
      </w:r>
      <w:r>
        <w:t xml:space="preserve">, </w:t>
      </w:r>
      <w:proofErr w:type="spellStart"/>
      <w:r>
        <w:rPr>
          <w:i/>
        </w:rPr>
        <w:t>δ</w:t>
      </w:r>
      <w:r>
        <w:rPr>
          <w:vertAlign w:val="subscript"/>
        </w:rPr>
        <w:t>TE</w:t>
      </w:r>
      <w:proofErr w:type="spellEnd"/>
      <w:r>
        <w:t xml:space="preserve">, </w:t>
      </w:r>
      <w:r>
        <w:rPr>
          <w:i/>
        </w:rPr>
        <w:t>l</w:t>
      </w:r>
      <w:r>
        <w:rPr>
          <w:i/>
          <w:vertAlign w:val="subscript"/>
        </w:rPr>
        <w:t>s</w:t>
      </w:r>
      <w:r>
        <w:t>)=(1E-5, 0.01, 2%, 1%, 1000).</w:t>
      </w:r>
    </w:p>
    <w:p w:rsidR="00FF439C" w:rsidRDefault="00494061">
      <w:pPr>
        <w:pStyle w:val="berschrift2"/>
      </w:pPr>
      <w:bookmarkStart w:id="2" w:name="_heading=h.1fob9te" w:colFirst="0" w:colLast="0"/>
      <w:bookmarkEnd w:id="2"/>
      <w:r>
        <w:t>Monte Carlo algorithm implementing the CGP model to search for the optimal tr</w:t>
      </w:r>
      <w:r>
        <w:t>ee and model configuration</w:t>
      </w:r>
    </w:p>
    <w:p w:rsidR="00FF439C" w:rsidRDefault="00494061">
      <w:pPr>
        <w:ind w:firstLine="0"/>
      </w:pPr>
      <w:r>
        <w:t>We developed a Monte Carlo algorithm, along with Metropolis acceptance and annealing, to search for the parameters (</w:t>
      </w:r>
      <w:proofErr w:type="spellStart"/>
      <w:r>
        <w:rPr>
          <w:i/>
        </w:rPr>
        <w:t>μ</w:t>
      </w:r>
      <w:proofErr w:type="gramStart"/>
      <w:r>
        <w:rPr>
          <w:i/>
        </w:rPr>
        <w:t>,ρ,θ,δ</w:t>
      </w:r>
      <w:r>
        <w:rPr>
          <w:i/>
          <w:vertAlign w:val="subscript"/>
        </w:rPr>
        <w:t>TE</w:t>
      </w:r>
      <w:proofErr w:type="spellEnd"/>
      <w:proofErr w:type="gramEnd"/>
      <w:r>
        <w:t>) and coalescent time of all pairs that maximize the score in Eq. (3). Given the initial parameters (</w:t>
      </w:r>
      <w:proofErr w:type="spellStart"/>
      <w:r>
        <w:rPr>
          <w:i/>
        </w:rPr>
        <w:t>μ</w:t>
      </w:r>
      <w:proofErr w:type="gramStart"/>
      <w:r>
        <w:rPr>
          <w:i/>
        </w:rPr>
        <w:t>,ρ</w:t>
      </w:r>
      <w:r>
        <w:rPr>
          <w:i/>
        </w:rPr>
        <w:t>,θ,δ</w:t>
      </w:r>
      <w:r>
        <w:rPr>
          <w:i/>
          <w:vertAlign w:val="subscript"/>
        </w:rPr>
        <w:t>TE</w:t>
      </w:r>
      <w:proofErr w:type="spellEnd"/>
      <w:proofErr w:type="gramEnd"/>
      <w:r>
        <w:t xml:space="preserve">), the algorithm rescales time, such that after rescaling </w:t>
      </w:r>
      <w:proofErr w:type="spellStart"/>
      <w:r>
        <w:rPr>
          <w:i/>
        </w:rPr>
        <w:t>l</w:t>
      </w:r>
      <w:r>
        <w:rPr>
          <w:i/>
          <w:vertAlign w:val="subscript"/>
        </w:rPr>
        <w:t>s</w:t>
      </w:r>
      <w:r>
        <w:rPr>
          <w:i/>
        </w:rPr>
        <w:t>μ</w:t>
      </w:r>
      <w:proofErr w:type="spellEnd"/>
      <w:r>
        <w:t xml:space="preserve">=min(0.02, </w:t>
      </w:r>
      <w:proofErr w:type="spellStart"/>
      <w:r>
        <w:rPr>
          <w:i/>
        </w:rPr>
        <w:t>l</w:t>
      </w:r>
      <w:r>
        <w:rPr>
          <w:i/>
          <w:vertAlign w:val="subscript"/>
        </w:rPr>
        <w:t>s</w:t>
      </w:r>
      <w:r>
        <w:rPr>
          <w:i/>
        </w:rPr>
        <w:t>δ</w:t>
      </w:r>
      <w:r>
        <w:rPr>
          <w:i/>
          <w:vertAlign w:val="subscript"/>
        </w:rPr>
        <w:t>farthest</w:t>
      </w:r>
      <w:proofErr w:type="spellEnd"/>
      <w:r>
        <w:t xml:space="preserve">/200); here </w:t>
      </w:r>
      <w:proofErr w:type="spellStart"/>
      <w:r>
        <w:rPr>
          <w:i/>
        </w:rPr>
        <w:t>δ</w:t>
      </w:r>
      <w:r>
        <w:rPr>
          <w:i/>
          <w:vertAlign w:val="subscript"/>
        </w:rPr>
        <w:t>farthest</w:t>
      </w:r>
      <w:proofErr w:type="spellEnd"/>
      <w:r>
        <w:t xml:space="preserve"> is the sequence divergence between the most divergent pair. This rescaling rule has two considerations: (</w:t>
      </w:r>
      <w:proofErr w:type="spellStart"/>
      <w:r>
        <w:t>i</w:t>
      </w:r>
      <w:proofErr w:type="spellEnd"/>
      <w:r>
        <w:t xml:space="preserve">) </w:t>
      </w:r>
      <w:proofErr w:type="spellStart"/>
      <w:r>
        <w:rPr>
          <w:i/>
        </w:rPr>
        <w:t>l</w:t>
      </w:r>
      <w:r>
        <w:rPr>
          <w:i/>
          <w:vertAlign w:val="subscript"/>
        </w:rPr>
        <w:t>s</w:t>
      </w:r>
      <w:r>
        <w:rPr>
          <w:i/>
        </w:rPr>
        <w:t>μ</w:t>
      </w:r>
      <w:proofErr w:type="spellEnd"/>
      <w:r>
        <w:t xml:space="preserve"> (and also </w:t>
      </w:r>
      <w:r>
        <w:rPr>
          <w:i/>
        </w:rPr>
        <w:t>ρ</w:t>
      </w:r>
      <w:sdt>
        <w:sdtPr>
          <w:tag w:val="goog_rdk_4"/>
          <w:id w:val="-1505662044"/>
        </w:sdtPr>
        <w:sdtEndPr/>
        <w:sdtContent>
          <w:r>
            <w:rPr>
              <w:rFonts w:ascii="Arial Unicode MS" w:eastAsia="Arial Unicode MS" w:hAnsi="Arial Unicode MS" w:cs="Arial Unicode MS"/>
            </w:rPr>
            <w:t xml:space="preserve">) should be ≪1 to suppress numerical error; (ii) the branch lengths, which is the coalescent time </w:t>
          </w:r>
        </w:sdtContent>
      </w:sdt>
      <w:r>
        <w:rPr>
          <w:i/>
        </w:rPr>
        <w:t>t</w:t>
      </w:r>
      <w:r>
        <w:t xml:space="preserve"> in </w:t>
      </w:r>
      <w:proofErr w:type="gramStart"/>
      <w:r>
        <w:rPr>
          <w:i/>
        </w:rPr>
        <w:t>f</w:t>
      </w:r>
      <w:r>
        <w:t>(</w:t>
      </w:r>
      <w:proofErr w:type="spellStart"/>
      <w:proofErr w:type="gramEnd"/>
      <w:r>
        <w:rPr>
          <w:i/>
        </w:rPr>
        <w:t>x</w:t>
      </w:r>
      <w:r>
        <w:t>|</w:t>
      </w:r>
      <w:r>
        <w:rPr>
          <w:i/>
        </w:rPr>
        <w:t>t</w:t>
      </w:r>
      <w:proofErr w:type="spellEnd"/>
      <w:r>
        <w:t xml:space="preserve">), should be numerically small to save computational resource. The algorithm calculates the initial </w:t>
      </w:r>
      <w:proofErr w:type="gramStart"/>
      <w:r>
        <w:rPr>
          <w:i/>
        </w:rPr>
        <w:t>f</w:t>
      </w:r>
      <w:r>
        <w:t>(</w:t>
      </w:r>
      <w:proofErr w:type="spellStart"/>
      <w:proofErr w:type="gramEnd"/>
      <w:r>
        <w:rPr>
          <w:i/>
        </w:rPr>
        <w:t>x</w:t>
      </w:r>
      <w:r>
        <w:t>|</w:t>
      </w:r>
      <w:r>
        <w:rPr>
          <w:i/>
        </w:rPr>
        <w:t>t</w:t>
      </w:r>
      <w:proofErr w:type="spellEnd"/>
      <w:r>
        <w:t xml:space="preserve">), discretizing time </w:t>
      </w:r>
      <w:r>
        <w:rPr>
          <w:i/>
        </w:rPr>
        <w:t>t</w:t>
      </w:r>
      <w:r>
        <w:t xml:space="preserve"> into steps; the co</w:t>
      </w:r>
      <w:r>
        <w:t xml:space="preserve">alescent time of genome-pair XY, </w:t>
      </w:r>
      <w:proofErr w:type="spellStart"/>
      <w:r>
        <w:rPr>
          <w:i/>
        </w:rPr>
        <w:t>t</w:t>
      </w:r>
      <w:r>
        <w:rPr>
          <w:vertAlign w:val="subscript"/>
        </w:rPr>
        <w:t>XY</w:t>
      </w:r>
      <w:proofErr w:type="spellEnd"/>
      <w:r>
        <w:t xml:space="preserve">, is set to make </w:t>
      </w:r>
      <w:r>
        <w:rPr>
          <w:i/>
        </w:rPr>
        <w:t>f</w:t>
      </w:r>
      <w:r>
        <w:t>(</w:t>
      </w:r>
      <w:proofErr w:type="spellStart"/>
      <w:r>
        <w:rPr>
          <w:i/>
        </w:rPr>
        <w:t>x</w:t>
      </w:r>
      <w:r>
        <w:t>|</w:t>
      </w:r>
      <w:r>
        <w:rPr>
          <w:i/>
        </w:rPr>
        <w:t>t</w:t>
      </w:r>
      <w:proofErr w:type="spellEnd"/>
      <w:r>
        <w:t xml:space="preserve">) best-fit </w:t>
      </w:r>
      <w:proofErr w:type="spellStart"/>
      <w:r>
        <w:rPr>
          <w:i/>
        </w:rPr>
        <w:t>g</w:t>
      </w:r>
      <w:r>
        <w:rPr>
          <w:vertAlign w:val="subscript"/>
        </w:rPr>
        <w:t>XY</w:t>
      </w:r>
      <w:proofErr w:type="spellEnd"/>
      <w:r>
        <w:t>(</w:t>
      </w:r>
      <w:r>
        <w:rPr>
          <w:i/>
        </w:rPr>
        <w:t>x</w:t>
      </w:r>
      <w:r>
        <w:t xml:space="preserve">). This generates an initial </w:t>
      </w:r>
      <w:r>
        <w:rPr>
          <w:i/>
        </w:rPr>
        <w:t>t</w:t>
      </w:r>
      <w:r>
        <w:t>-matrix of the genome-pairs, which is turned into ultrametric tree by single linkage clustering.</w:t>
      </w:r>
    </w:p>
    <w:p w:rsidR="00FF439C" w:rsidRDefault="00494061">
      <w:r>
        <w:t xml:space="preserve">The algorithm maps an </w:t>
      </w:r>
      <w:r>
        <w:rPr>
          <w:i/>
        </w:rPr>
        <w:t>n</w:t>
      </w:r>
      <w:r>
        <w:t xml:space="preserve">-leaves ultrametric tree to an </w:t>
      </w:r>
      <w:proofErr w:type="spellStart"/>
      <w:r>
        <w:rPr>
          <w:i/>
        </w:rPr>
        <w:t>n</w:t>
      </w:r>
      <w:r>
        <w:t>×</w:t>
      </w:r>
      <w:r>
        <w:rPr>
          <w:i/>
        </w:rPr>
        <w:t>n</w:t>
      </w:r>
      <w:proofErr w:type="spellEnd"/>
      <w:sdt>
        <w:sdtPr>
          <w:tag w:val="goog_rdk_5"/>
          <w:id w:val="-773775740"/>
        </w:sdtPr>
        <w:sdtEndPr/>
        <w:sdtContent>
          <w:r>
            <w:rPr>
              <w:rFonts w:ascii="Arial Unicode MS" w:eastAsia="Arial Unicode MS" w:hAnsi="Arial Unicode MS" w:cs="Arial Unicode MS"/>
            </w:rPr>
            <w:t xml:space="preserve"> coalescent time matrix through single linkage clustering. Moving in the direction of a degree of freedom in this tree is like moving an internal node up or down, joining two nodes or splitting one node. Hence the matrix has ≤</w:t>
          </w:r>
        </w:sdtContent>
      </w:sdt>
      <w:r>
        <w:rPr>
          <w:i/>
        </w:rPr>
        <w:t>n</w:t>
      </w:r>
      <w:r>
        <w:t>-1 degrees of freedom des</w:t>
      </w:r>
      <w:r>
        <w:t xml:space="preserve">pite </w:t>
      </w:r>
      <w:r>
        <w:rPr>
          <w:i/>
        </w:rPr>
        <w:t>n</w:t>
      </w:r>
      <w:r>
        <w:rPr>
          <w:vertAlign w:val="superscript"/>
        </w:rPr>
        <w:t>2</w:t>
      </w:r>
      <w:r>
        <w:t xml:space="preserve"> entries. When performing local search, CGP algorithm generates a new tree by moving an internal node of the old tree up or down by one time-step. This may combine two internal nodes into one; for an internal node with </w:t>
      </w:r>
      <w:r>
        <w:rPr>
          <w:i/>
        </w:rPr>
        <w:lastRenderedPageBreak/>
        <w:t>c</w:t>
      </w:r>
      <w:r>
        <w:t xml:space="preserve">&gt;2 children, a possible move </w:t>
      </w:r>
      <w:r>
        <w:t xml:space="preserve">involves moving the entire node upwards or downwards, or breaking it into two nodes, one with two children and the other with </w:t>
      </w:r>
      <w:r>
        <w:rPr>
          <w:i/>
        </w:rPr>
        <w:t>c</w:t>
      </w:r>
      <w:r>
        <w:t>-1 children (see Supplementary Figure S2 for an example).</w:t>
      </w:r>
    </w:p>
    <w:p w:rsidR="00FF439C" w:rsidRDefault="00494061">
      <w:pPr>
        <w:widowControl w:val="0"/>
      </w:pPr>
      <w:r>
        <w:t xml:space="preserve">Given the initial tree and model parameters, the algorithm proceeds to </w:t>
      </w:r>
      <w:r>
        <w:t>search for the optimal tree and model parameters. In each Monte Carlo step, one of the following moves is considered and selected according to Metropolis acceptance:</w:t>
      </w:r>
    </w:p>
    <w:p w:rsidR="00FF439C" w:rsidRDefault="00494061">
      <w:pPr>
        <w:widowControl w:val="0"/>
        <w:numPr>
          <w:ilvl w:val="0"/>
          <w:numId w:val="2"/>
        </w:numPr>
      </w:pPr>
      <w:r>
        <w:t xml:space="preserve">There is an </w:t>
      </w:r>
      <w:r>
        <w:rPr>
          <w:i/>
        </w:rPr>
        <w:t>n</w:t>
      </w:r>
      <w:r>
        <w:rPr>
          <w:vertAlign w:val="superscript"/>
        </w:rPr>
        <w:t>-2</w:t>
      </w:r>
      <w:r>
        <w:t>/2 chance to mutate one of the parameters (</w:t>
      </w:r>
      <w:r>
        <w:rPr>
          <w:i/>
        </w:rPr>
        <w:t xml:space="preserve">ρ, θ, </w:t>
      </w:r>
      <w:proofErr w:type="spellStart"/>
      <w:r>
        <w:rPr>
          <w:i/>
        </w:rPr>
        <w:t>δ</w:t>
      </w:r>
      <w:r>
        <w:rPr>
          <w:i/>
          <w:vertAlign w:val="subscript"/>
        </w:rPr>
        <w:t>TE</w:t>
      </w:r>
      <w:proofErr w:type="spellEnd"/>
      <w:r>
        <w:t>). The algorithm consid</w:t>
      </w:r>
      <w:r>
        <w:t>ers one of six different parameter sets (</w:t>
      </w:r>
      <w:r>
        <w:rPr>
          <w:i/>
        </w:rPr>
        <w:t>ρ</w:t>
      </w:r>
      <w:r>
        <w:t>(1+</w:t>
      </w:r>
      <w:r>
        <w:rPr>
          <w:i/>
        </w:rPr>
        <w:t>ɛ</w:t>
      </w:r>
      <w:r>
        <w:rPr>
          <w:i/>
        </w:rPr>
        <w:t>​</w:t>
      </w:r>
      <w:r>
        <w:t>)</w:t>
      </w:r>
      <w:r>
        <w:rPr>
          <w:i/>
        </w:rPr>
        <w:t xml:space="preserve">, θ, </w:t>
      </w:r>
      <w:proofErr w:type="spellStart"/>
      <w:r>
        <w:rPr>
          <w:i/>
        </w:rPr>
        <w:t>δ</w:t>
      </w:r>
      <w:r>
        <w:rPr>
          <w:i/>
          <w:vertAlign w:val="subscript"/>
        </w:rPr>
        <w:t>TE</w:t>
      </w:r>
      <w:proofErr w:type="spellEnd"/>
      <w:r>
        <w:t>), (</w:t>
      </w:r>
      <w:r>
        <w:rPr>
          <w:i/>
        </w:rPr>
        <w:t>ρ</w:t>
      </w:r>
      <w:r>
        <w:t>(1-</w:t>
      </w:r>
      <w:r>
        <w:rPr>
          <w:i/>
        </w:rPr>
        <w:t>ɛ</w:t>
      </w:r>
      <w:r>
        <w:rPr>
          <w:i/>
        </w:rPr>
        <w:t>​</w:t>
      </w:r>
      <w:r>
        <w:t>)</w:t>
      </w:r>
      <w:r>
        <w:rPr>
          <w:i/>
        </w:rPr>
        <w:t xml:space="preserve">, θ, </w:t>
      </w:r>
      <w:proofErr w:type="spellStart"/>
      <w:r>
        <w:rPr>
          <w:i/>
        </w:rPr>
        <w:t>δ</w:t>
      </w:r>
      <w:r>
        <w:rPr>
          <w:i/>
          <w:vertAlign w:val="subscript"/>
        </w:rPr>
        <w:t>TE</w:t>
      </w:r>
      <w:proofErr w:type="spellEnd"/>
      <w:r>
        <w:t>), (</w:t>
      </w:r>
      <w:r>
        <w:rPr>
          <w:i/>
        </w:rPr>
        <w:t>ρ, θ</w:t>
      </w:r>
      <w:r>
        <w:t>(1+</w:t>
      </w:r>
      <w:r>
        <w:rPr>
          <w:i/>
        </w:rPr>
        <w:t>ɛ</w:t>
      </w:r>
      <w:r>
        <w:rPr>
          <w:i/>
        </w:rPr>
        <w:t>​</w:t>
      </w:r>
      <w:r>
        <w:t>)</w:t>
      </w:r>
      <w:r>
        <w:rPr>
          <w:i/>
        </w:rPr>
        <w:t xml:space="preserve">, </w:t>
      </w:r>
      <w:proofErr w:type="spellStart"/>
      <w:r>
        <w:rPr>
          <w:i/>
        </w:rPr>
        <w:t>δ</w:t>
      </w:r>
      <w:r>
        <w:rPr>
          <w:i/>
          <w:vertAlign w:val="subscript"/>
        </w:rPr>
        <w:t>TE</w:t>
      </w:r>
      <w:proofErr w:type="spellEnd"/>
      <w:r>
        <w:t>), (</w:t>
      </w:r>
      <w:r>
        <w:rPr>
          <w:i/>
        </w:rPr>
        <w:t>ρ, θ</w:t>
      </w:r>
      <w:r>
        <w:t>(1-</w:t>
      </w:r>
      <w:r>
        <w:rPr>
          <w:i/>
        </w:rPr>
        <w:t>ɛ</w:t>
      </w:r>
      <w:r>
        <w:rPr>
          <w:i/>
        </w:rPr>
        <w:t>​</w:t>
      </w:r>
      <w:r>
        <w:t>)</w:t>
      </w:r>
      <w:r>
        <w:rPr>
          <w:i/>
        </w:rPr>
        <w:t xml:space="preserve">, </w:t>
      </w:r>
      <w:proofErr w:type="spellStart"/>
      <w:r>
        <w:rPr>
          <w:i/>
        </w:rPr>
        <w:t>δ</w:t>
      </w:r>
      <w:r>
        <w:rPr>
          <w:i/>
          <w:vertAlign w:val="subscript"/>
        </w:rPr>
        <w:t>TE</w:t>
      </w:r>
      <w:proofErr w:type="spellEnd"/>
      <w:r>
        <w:t>), (</w:t>
      </w:r>
      <w:r>
        <w:rPr>
          <w:i/>
        </w:rPr>
        <w:t xml:space="preserve">ρ, θ, </w:t>
      </w:r>
      <w:proofErr w:type="spellStart"/>
      <w:r>
        <w:rPr>
          <w:i/>
        </w:rPr>
        <w:t>δ</w:t>
      </w:r>
      <w:r>
        <w:rPr>
          <w:i/>
          <w:vertAlign w:val="subscript"/>
        </w:rPr>
        <w:t>TE</w:t>
      </w:r>
      <w:proofErr w:type="spellEnd"/>
      <w:r>
        <w:t>(1+</w:t>
      </w:r>
      <w:r>
        <w:rPr>
          <w:i/>
        </w:rPr>
        <w:t>ɛ</w:t>
      </w:r>
      <w:r>
        <w:rPr>
          <w:i/>
        </w:rPr>
        <w:t>​</w:t>
      </w:r>
      <w:r>
        <w:t>)), (</w:t>
      </w:r>
      <w:r>
        <w:rPr>
          <w:i/>
        </w:rPr>
        <w:t xml:space="preserve">ρ, θ, </w:t>
      </w:r>
      <w:proofErr w:type="spellStart"/>
      <w:r>
        <w:rPr>
          <w:i/>
        </w:rPr>
        <w:t>δ</w:t>
      </w:r>
      <w:r>
        <w:rPr>
          <w:i/>
          <w:vertAlign w:val="subscript"/>
        </w:rPr>
        <w:t>TE</w:t>
      </w:r>
      <w:proofErr w:type="spellEnd"/>
      <w:r>
        <w:t>(1-</w:t>
      </w:r>
      <w:r>
        <w:rPr>
          <w:i/>
        </w:rPr>
        <w:t>ɛ</w:t>
      </w:r>
      <w:r>
        <w:rPr>
          <w:i/>
        </w:rPr>
        <w:t>​</w:t>
      </w:r>
      <w:r>
        <w:t xml:space="preserve">)), with random variable </w:t>
      </w:r>
      <w:r>
        <w:rPr>
          <w:i/>
        </w:rPr>
        <w:t>ɛ</w:t>
      </w:r>
      <w:sdt>
        <w:sdtPr>
          <w:tag w:val="goog_rdk_6"/>
          <w:id w:val="83509891"/>
        </w:sdtPr>
        <w:sdtEndPr/>
        <w:sdtContent>
          <w:r>
            <w:rPr>
              <w:rFonts w:ascii="Arial Unicode MS" w:eastAsia="Arial Unicode MS" w:hAnsi="Arial Unicode MS" w:cs="Arial Unicode MS"/>
            </w:rPr>
            <w:t>, 1≫</w:t>
          </w:r>
        </w:sdtContent>
      </w:sdt>
      <w:r>
        <w:rPr>
          <w:i/>
        </w:rPr>
        <w:t>ɛ</w:t>
      </w:r>
      <w:r>
        <w:t xml:space="preserve">&gt;0. Absolute upper limits are imposed for some of the parameters: </w:t>
      </w:r>
      <w:r>
        <w:rPr>
          <w:i/>
        </w:rPr>
        <w:t>ρ</w:t>
      </w:r>
      <w:r>
        <w:t>&lt;1</w:t>
      </w:r>
      <w:proofErr w:type="gramStart"/>
      <w:r>
        <w:t>,</w:t>
      </w:r>
      <w:r>
        <w:rPr>
          <w:i/>
        </w:rPr>
        <w:t>θ</w:t>
      </w:r>
      <w:proofErr w:type="gramEnd"/>
      <w:r>
        <w:t>&lt;</w:t>
      </w:r>
      <w:r>
        <w:t xml:space="preserve">100% and </w:t>
      </w:r>
      <w:proofErr w:type="spellStart"/>
      <w:r>
        <w:rPr>
          <w:i/>
        </w:rPr>
        <w:t>δ</w:t>
      </w:r>
      <w:r>
        <w:rPr>
          <w:i/>
          <w:vertAlign w:val="subscript"/>
        </w:rPr>
        <w:t>TE</w:t>
      </w:r>
      <w:proofErr w:type="spellEnd"/>
      <w:r>
        <w:t>&lt;100%.</w:t>
      </w:r>
    </w:p>
    <w:p w:rsidR="00FF439C" w:rsidRDefault="00494061">
      <w:pPr>
        <w:widowControl w:val="0"/>
        <w:numPr>
          <w:ilvl w:val="0"/>
          <w:numId w:val="2"/>
        </w:numPr>
      </w:pPr>
      <w:r>
        <w:t xml:space="preserve">There is an </w:t>
      </w:r>
      <w:r>
        <w:rPr>
          <w:i/>
        </w:rPr>
        <w:t>n</w:t>
      </w:r>
      <w:r>
        <w:rPr>
          <w:vertAlign w:val="superscript"/>
        </w:rPr>
        <w:t>-2</w:t>
      </w:r>
      <w:r>
        <w:t>/2 chance for a random branch of the tree to be cut and grafted to a different part of the tree. In this move, a branch with the younger internal node Y and older internal node O is picked randomly. With their ages denoted</w:t>
      </w:r>
      <w:r>
        <w:t xml:space="preserve"> as </w:t>
      </w:r>
      <w:proofErr w:type="spellStart"/>
      <w:r>
        <w:rPr>
          <w:i/>
        </w:rPr>
        <w:t>t</w:t>
      </w:r>
      <w:r>
        <w:rPr>
          <w:vertAlign w:val="subscript"/>
        </w:rPr>
        <w:t>Y</w:t>
      </w:r>
      <w:proofErr w:type="spellEnd"/>
      <w:r>
        <w:t xml:space="preserve"> and </w:t>
      </w:r>
      <w:proofErr w:type="spellStart"/>
      <w:r>
        <w:rPr>
          <w:i/>
        </w:rPr>
        <w:t>t</w:t>
      </w:r>
      <w:r>
        <w:rPr>
          <w:vertAlign w:val="subscript"/>
        </w:rPr>
        <w:t>O</w:t>
      </w:r>
      <w:proofErr w:type="spellEnd"/>
      <w:r>
        <w:t xml:space="preserve">, this branch is then cut at the height </w:t>
      </w:r>
      <w:proofErr w:type="spellStart"/>
      <w:r>
        <w:rPr>
          <w:i/>
        </w:rPr>
        <w:t>t</w:t>
      </w:r>
      <w:r>
        <w:rPr>
          <w:vertAlign w:val="subscript"/>
        </w:rPr>
        <w:t>O</w:t>
      </w:r>
      <w:proofErr w:type="spellEnd"/>
      <w:r>
        <w:t xml:space="preserve">, and the entire sub-clade is then grafted to another random branch on the tree that is present at height </w:t>
      </w:r>
      <w:proofErr w:type="spellStart"/>
      <w:r>
        <w:rPr>
          <w:i/>
        </w:rPr>
        <w:t>t</w:t>
      </w:r>
      <w:r>
        <w:rPr>
          <w:vertAlign w:val="subscript"/>
        </w:rPr>
        <w:t>O</w:t>
      </w:r>
      <w:proofErr w:type="spellEnd"/>
      <w:r>
        <w:t xml:space="preserve"> to generate a new ultrametric tree.</w:t>
      </w:r>
    </w:p>
    <w:p w:rsidR="00FF439C" w:rsidRDefault="00494061">
      <w:pPr>
        <w:widowControl w:val="0"/>
        <w:numPr>
          <w:ilvl w:val="0"/>
          <w:numId w:val="2"/>
        </w:numPr>
      </w:pPr>
      <w:r>
        <w:t>There is a 1-</w:t>
      </w:r>
      <w:r>
        <w:rPr>
          <w:i/>
        </w:rPr>
        <w:t>n</w:t>
      </w:r>
      <w:r>
        <w:rPr>
          <w:vertAlign w:val="superscript"/>
        </w:rPr>
        <w:t>-2</w:t>
      </w:r>
      <w:r>
        <w:t xml:space="preserve"> chance for an internal node to be picke</w:t>
      </w:r>
      <w:r>
        <w:t>d randomly. One of the possible local moves of the node described above is selected randomly to generate a new tree.</w:t>
      </w:r>
    </w:p>
    <w:p w:rsidR="00FF439C" w:rsidRDefault="00494061">
      <w:pPr>
        <w:widowControl w:val="0"/>
        <w:ind w:firstLine="0"/>
      </w:pPr>
      <w:r>
        <w:t xml:space="preserve">The simulation continues, and stops when the maximal score of the chain of Monte Carlo steps has not increased by more than 1 for the last </w:t>
      </w:r>
      <w:r>
        <w:t>200,000 steps. It also makes use of annealing, starting with an initial temperature that has magnitude of a twenty-thousandth of the initial score, and reducing by half every 50,000 steps.</w:t>
      </w:r>
    </w:p>
    <w:p w:rsidR="00FF439C" w:rsidRDefault="00494061">
      <w:pPr>
        <w:pStyle w:val="berschrift2"/>
        <w:widowControl w:val="0"/>
      </w:pPr>
      <w:bookmarkStart w:id="3" w:name="_heading=h.3znysh7" w:colFirst="0" w:colLast="0"/>
      <w:bookmarkEnd w:id="3"/>
      <w:r>
        <w:t>Preparing simulated and real genome sequences to test different phy</w:t>
      </w:r>
      <w:r>
        <w:t>logenetic algorithms</w:t>
      </w:r>
    </w:p>
    <w:p w:rsidR="00FF439C" w:rsidRDefault="00494061">
      <w:pPr>
        <w:pStyle w:val="berschrift3"/>
      </w:pPr>
      <w:bookmarkStart w:id="4" w:name="_heading=h.2et92p0" w:colFirst="0" w:colLast="0"/>
      <w:bookmarkEnd w:id="4"/>
      <w:r>
        <w:t>Fisher-Wright simulation</w:t>
      </w:r>
    </w:p>
    <w:p w:rsidR="00FF439C" w:rsidRDefault="00494061">
      <w:pPr>
        <w:ind w:firstLine="0"/>
      </w:pPr>
      <w:r>
        <w:t xml:space="preserve">We simulated Fisher-Wright populations that have micro and macro recombination. We set </w:t>
      </w:r>
      <w:r>
        <w:rPr>
          <w:i/>
        </w:rPr>
        <w:t>N</w:t>
      </w:r>
      <w:r>
        <w:rPr>
          <w:i/>
          <w:vertAlign w:val="subscript"/>
        </w:rPr>
        <w:t>e</w:t>
      </w:r>
      <w:r>
        <w:t>=1000, genome length 5Mb, and each site can have one of the four letters ATGC. In our simulation, mutation occurs at a ra</w:t>
      </w:r>
      <w:r>
        <w:t xml:space="preserve">te </w:t>
      </w:r>
      <w:r>
        <w:rPr>
          <w:i/>
        </w:rPr>
        <w:t>μ</w:t>
      </w:r>
      <w:r>
        <w:t xml:space="preserve"> per site, which randomly mutates a site to one of the other three nucleotides. </w:t>
      </w:r>
      <w:proofErr w:type="gramStart"/>
      <w:r>
        <w:t xml:space="preserve">A recombination-attempting DNA stretch initiates at a rate </w:t>
      </w:r>
      <w:proofErr w:type="spellStart"/>
      <w:r>
        <w:rPr>
          <w:i/>
        </w:rPr>
        <w:t>ρ</w:t>
      </w:r>
      <w:r>
        <w:rPr>
          <w:vertAlign w:val="subscript"/>
        </w:rPr>
        <w:t>ini</w:t>
      </w:r>
      <w:proofErr w:type="spellEnd"/>
      <w:r>
        <w:t xml:space="preserve"> per genome per time-step, which transfers a DNA stretch from a random donor that starts at a random site of </w:t>
      </w:r>
      <w:r>
        <w:t>the genome.</w:t>
      </w:r>
      <w:proofErr w:type="gramEnd"/>
      <w:r>
        <w:t xml:space="preserve"> The length of the stretch is drawn either from a micro distribution (geometric distribution, mean 100bp) or from a macro distribution (geometric distribution, mean 1kb), both with equal probability. The recombination attempt can either succeed </w:t>
      </w:r>
      <w:r>
        <w:t xml:space="preserve">(the donor stretch replaces the recipient stretch) or fail; the chance of success is </w:t>
      </w:r>
      <w:proofErr w:type="spellStart"/>
      <w:proofErr w:type="gramStart"/>
      <w:r>
        <w:t>exp</w:t>
      </w:r>
      <w:proofErr w:type="spellEnd"/>
      <w:r>
        <w:t>(</w:t>
      </w:r>
      <w:proofErr w:type="gramEnd"/>
      <w:r>
        <w:t>-</w:t>
      </w:r>
      <w:r>
        <w:rPr>
          <w:i/>
        </w:rPr>
        <w:t>δ</w:t>
      </w:r>
      <w:r>
        <w:t>/</w:t>
      </w:r>
      <w:proofErr w:type="spellStart"/>
      <w:r>
        <w:rPr>
          <w:i/>
        </w:rPr>
        <w:t>δ</w:t>
      </w:r>
      <w:r>
        <w:rPr>
          <w:vertAlign w:val="subscript"/>
        </w:rPr>
        <w:t>TE</w:t>
      </w:r>
      <w:proofErr w:type="spellEnd"/>
      <w:r>
        <w:t xml:space="preserve">), where </w:t>
      </w:r>
      <w:r>
        <w:rPr>
          <w:i/>
        </w:rPr>
        <w:t>δ</w:t>
      </w:r>
      <w:r>
        <w:t xml:space="preserve"> is the divergence between the incoming stretch and the host stretch. Throughout a simulation, we recorded the history of genome inheritance and have f</w:t>
      </w:r>
      <w:r>
        <w:t>ull knowledge of the population phylogenetic tree. A simulation continues for at least 10,000 steps, and then stops once the MRCA of the population has emerged.</w:t>
      </w:r>
    </w:p>
    <w:p w:rsidR="00FF439C" w:rsidRDefault="00494061">
      <w:r>
        <w:t>We performed Fisher-Wright simulation on three sets of parameters (</w:t>
      </w:r>
      <w:r>
        <w:rPr>
          <w:i/>
        </w:rPr>
        <w:t>μ</w:t>
      </w:r>
      <w:r>
        <w:t xml:space="preserve">, </w:t>
      </w:r>
      <w:r>
        <w:rPr>
          <w:i/>
        </w:rPr>
        <w:t>ρ</w:t>
      </w:r>
      <w:r>
        <w:t xml:space="preserve">, </w:t>
      </w:r>
      <w:r>
        <w:rPr>
          <w:i/>
        </w:rPr>
        <w:t>θ</w:t>
      </w:r>
      <w:r>
        <w:t xml:space="preserve">, </w:t>
      </w:r>
      <w:proofErr w:type="spellStart"/>
      <w:r>
        <w:rPr>
          <w:i/>
        </w:rPr>
        <w:t>δ</w:t>
      </w:r>
      <w:r>
        <w:rPr>
          <w:vertAlign w:val="subscript"/>
        </w:rPr>
        <w:t>TE</w:t>
      </w:r>
      <w:proofErr w:type="spellEnd"/>
      <w:r>
        <w:t xml:space="preserve">), representing prokaryotic species with low, intermediate and high levels of recombination; note that </w:t>
      </w:r>
      <w:r>
        <w:rPr>
          <w:i/>
        </w:rPr>
        <w:t>ρ</w:t>
      </w:r>
      <w:r>
        <w:t>=</w:t>
      </w:r>
      <w:proofErr w:type="spellStart"/>
      <w:r>
        <w:rPr>
          <w:i/>
        </w:rPr>
        <w:t>ρ</w:t>
      </w:r>
      <w:r>
        <w:rPr>
          <w:vertAlign w:val="subscript"/>
        </w:rPr>
        <w:t>ini</w:t>
      </w:r>
      <w:r>
        <w:rPr>
          <w:i/>
        </w:rPr>
        <w:t>L</w:t>
      </w:r>
      <w:proofErr w:type="spellEnd"/>
      <w:r>
        <w:t xml:space="preserve">, where </w:t>
      </w:r>
      <w:r>
        <w:rPr>
          <w:i/>
        </w:rPr>
        <w:t>L</w:t>
      </w:r>
      <w:r>
        <w:t xml:space="preserve"> is the average length of the transferred DNA stretch and is 550bp in our case. The parameters of the simulations are:</w:t>
      </w:r>
    </w:p>
    <w:p w:rsidR="00FF439C" w:rsidRDefault="00494061">
      <w:pPr>
        <w:numPr>
          <w:ilvl w:val="0"/>
          <w:numId w:val="3"/>
        </w:numPr>
      </w:pPr>
      <w:r>
        <w:t>(5E-5, 0.01,</w:t>
      </w:r>
      <w:sdt>
        <w:sdtPr>
          <w:tag w:val="goog_rdk_7"/>
          <w:id w:val="-599337513"/>
        </w:sdtPr>
        <w:sdtEndPr/>
        <w:sdtContent>
          <w:r>
            <w:rPr>
              <w:rFonts w:ascii="Arial Unicode MS" w:eastAsia="Arial Unicode MS" w:hAnsi="Arial Unicode MS" w:cs="Arial Unicode MS"/>
            </w:rPr>
            <w:t xml:space="preserve"> 10%, </w:t>
          </w:r>
          <w:r>
            <w:rPr>
              <w:rFonts w:ascii="Arial Unicode MS" w:eastAsia="Arial Unicode MS" w:hAnsi="Arial Unicode MS" w:cs="Arial Unicode MS"/>
            </w:rPr>
            <w:t>0.8%), r/m≈2</w:t>
          </w:r>
        </w:sdtContent>
      </w:sdt>
    </w:p>
    <w:p w:rsidR="00FF439C" w:rsidRDefault="00494061">
      <w:pPr>
        <w:numPr>
          <w:ilvl w:val="0"/>
          <w:numId w:val="3"/>
        </w:numPr>
      </w:pPr>
      <w:r>
        <w:lastRenderedPageBreak/>
        <w:t>(5E-5, 0.25,</w:t>
      </w:r>
      <w:sdt>
        <w:sdtPr>
          <w:tag w:val="goog_rdk_8"/>
          <w:id w:val="-181053320"/>
        </w:sdtPr>
        <w:sdtEndPr/>
        <w:sdtContent>
          <w:r>
            <w:rPr>
              <w:rFonts w:ascii="Arial Unicode MS" w:eastAsia="Arial Unicode MS" w:hAnsi="Arial Unicode MS" w:cs="Arial Unicode MS"/>
            </w:rPr>
            <w:t xml:space="preserve"> 10%, 0.8%), r/m≈40</w:t>
          </w:r>
        </w:sdtContent>
      </w:sdt>
    </w:p>
    <w:p w:rsidR="00FF439C" w:rsidRDefault="00494061">
      <w:pPr>
        <w:numPr>
          <w:ilvl w:val="0"/>
          <w:numId w:val="3"/>
        </w:numPr>
      </w:pPr>
      <w:r>
        <w:t>(2.5E-5, 0.25,</w:t>
      </w:r>
      <w:sdt>
        <w:sdtPr>
          <w:tag w:val="goog_rdk_9"/>
          <w:id w:val="1072246674"/>
        </w:sdtPr>
        <w:sdtEndPr/>
        <w:sdtContent>
          <w:r>
            <w:rPr>
              <w:rFonts w:ascii="Arial Unicode MS" w:eastAsia="Arial Unicode MS" w:hAnsi="Arial Unicode MS" w:cs="Arial Unicode MS"/>
            </w:rPr>
            <w:t xml:space="preserve"> 5%, 0.8%), r/m≈80</w:t>
          </w:r>
        </w:sdtContent>
      </w:sdt>
    </w:p>
    <w:p w:rsidR="00FF439C" w:rsidRDefault="00494061">
      <w:pPr>
        <w:ind w:firstLine="0"/>
      </w:pPr>
      <w:proofErr w:type="gramStart"/>
      <w:r>
        <w:t>r/m</w:t>
      </w:r>
      <w:proofErr w:type="gramEnd"/>
      <w:r>
        <w:t xml:space="preserve"> is the ratio between substitutions contributed by mutations and by </w:t>
      </w:r>
      <w:proofErr w:type="spellStart"/>
      <w:r>
        <w:t>recombinations</w:t>
      </w:r>
      <w:proofErr w:type="spellEnd"/>
      <w:r>
        <w:t xml:space="preserve">; these r/m values are estimated using Eq. (A2) of </w:t>
      </w:r>
      <w:r>
        <w:rPr>
          <w:i/>
        </w:rPr>
        <w:t>Dixit et al.</w:t>
      </w:r>
      <w:r>
        <w:t xml:space="preserve"> (Dixit et al. 2017). We set the transfer efficiency </w:t>
      </w:r>
      <w:proofErr w:type="spellStart"/>
      <w:r>
        <w:rPr>
          <w:i/>
        </w:rPr>
        <w:t>δ</w:t>
      </w:r>
      <w:r>
        <w:rPr>
          <w:vertAlign w:val="subscript"/>
        </w:rPr>
        <w:t>TE</w:t>
      </w:r>
      <w:proofErr w:type="spellEnd"/>
      <w:r>
        <w:t>=0.8%, which is close to previously reported values 2.4% (Fraser et al. 2007) and 0.8% (Dixit et al. 2015)</w:t>
      </w:r>
      <w:r>
        <w:rPr>
          <w:b/>
        </w:rPr>
        <w:t xml:space="preserve"> </w:t>
      </w:r>
      <w:r>
        <w:t xml:space="preserve">for </w:t>
      </w:r>
      <w:r>
        <w:rPr>
          <w:i/>
        </w:rPr>
        <w:t>E. coli</w:t>
      </w:r>
      <w:r>
        <w:t xml:space="preserve">. A previous study reports the r/m values of different prokaryotic species, which </w:t>
      </w:r>
      <w:r>
        <w:t>range from 0.02 to 63.6 (</w:t>
      </w:r>
      <w:proofErr w:type="spellStart"/>
      <w:r>
        <w:t>Didelot</w:t>
      </w:r>
      <w:proofErr w:type="spellEnd"/>
      <w:r>
        <w:t xml:space="preserve"> et al. 2009); hence the different levels of recombination of our simulated genomes are consistent with what observed in nature.</w:t>
      </w:r>
    </w:p>
    <w:p w:rsidR="00FF439C" w:rsidRDefault="00494061">
      <w:r>
        <w:t>We picked genomes from the simulated populations that can mimic inter-species recombination. If</w:t>
      </w:r>
      <w:r>
        <w:t xml:space="preserve"> we pick random genomes into a test-group, then their MRCA will have an average age </w:t>
      </w:r>
      <w:r>
        <w:rPr>
          <w:i/>
        </w:rPr>
        <w:t>t</w:t>
      </w:r>
      <w:r>
        <w:rPr>
          <w:i/>
          <w:vertAlign w:val="subscript"/>
        </w:rPr>
        <w:t>root</w:t>
      </w:r>
      <w:r>
        <w:t xml:space="preserve">~1000 because </w:t>
      </w:r>
      <w:r>
        <w:rPr>
          <w:i/>
        </w:rPr>
        <w:t>N</w:t>
      </w:r>
      <w:r>
        <w:rPr>
          <w:i/>
          <w:vertAlign w:val="subscript"/>
        </w:rPr>
        <w:t>e</w:t>
      </w:r>
      <w:r>
        <w:t>=1000. We would like to simulate the condition where a single lineage diverging from the rest of the population and forming its own subpopulation, so t</w:t>
      </w:r>
      <w:r>
        <w:t>hat the genomes in their subpopulation continue exchanging DNA among them and with the rest outside. Therefore, we need test-groups of genomes coming from a small clade of the population, and we constrained the MRCA of a genome-test-group to be small, i.e.</w:t>
      </w:r>
      <w:r>
        <w:t xml:space="preserve">, </w:t>
      </w:r>
      <w:r>
        <w:rPr>
          <w:i/>
        </w:rPr>
        <w:t>t</w:t>
      </w:r>
      <w:r>
        <w:rPr>
          <w:vertAlign w:val="subscript"/>
        </w:rPr>
        <w:t>test-group-root</w:t>
      </w:r>
      <w:sdt>
        <w:sdtPr>
          <w:tag w:val="goog_rdk_10"/>
          <w:id w:val="1040788963"/>
        </w:sdtPr>
        <w:sdtEndPr/>
        <w:sdtContent>
          <w:r>
            <w:rPr>
              <w:rFonts w:ascii="Arial Unicode MS" w:eastAsia="Arial Unicode MS" w:hAnsi="Arial Unicode MS" w:cs="Arial Unicode MS"/>
            </w:rPr>
            <w:t>≪1000.</w:t>
          </w:r>
        </w:sdtContent>
      </w:sdt>
    </w:p>
    <w:p w:rsidR="00FF439C" w:rsidRDefault="00494061">
      <w:r>
        <w:t xml:space="preserve">We performed Fisher-Wright simulations, repeating each parameter set ten times to get ten populations. We picked 10 test-groups in each population; each test-group has ~10 genomes and a constraint on the age of their MRCA: </w:t>
      </w:r>
      <w:r>
        <w:rPr>
          <w:i/>
        </w:rPr>
        <w:t>t</w:t>
      </w:r>
      <w:r>
        <w:rPr>
          <w:vertAlign w:val="subscript"/>
        </w:rPr>
        <w:t>test-</w:t>
      </w:r>
      <w:r>
        <w:rPr>
          <w:vertAlign w:val="subscript"/>
        </w:rPr>
        <w:t>group-root</w:t>
      </w:r>
      <w:r>
        <w:t>~10, 20</w:t>
      </w:r>
      <w:proofErr w:type="gramStart"/>
      <w:r>
        <w:t>, …,</w:t>
      </w:r>
      <w:proofErr w:type="gramEnd"/>
      <w:r>
        <w:t xml:space="preserve"> 100; the true phylogenetic tree of the genomes in each test-group is also recorded. In sum, this generates 100 test-groups for each of the three parameter sets. See Supplementary File S4 for the sequences and their tree for each test-</w:t>
      </w:r>
      <w:r>
        <w:t>group.</w:t>
      </w:r>
    </w:p>
    <w:p w:rsidR="00FF439C" w:rsidRDefault="00494061">
      <w:pPr>
        <w:rPr>
          <w:highlight w:val="yellow"/>
        </w:rPr>
      </w:pPr>
      <w:r>
        <w:t xml:space="preserve">A test-group with </w:t>
      </w:r>
      <w:r>
        <w:rPr>
          <w:i/>
        </w:rPr>
        <w:t>n</w:t>
      </w:r>
      <w:r>
        <w:t xml:space="preserve"> genomes has </w:t>
      </w:r>
      <w:proofErr w:type="gramStart"/>
      <w:r>
        <w:rPr>
          <w:i/>
        </w:rPr>
        <w:t>n</w:t>
      </w:r>
      <w:r>
        <w:t>(</w:t>
      </w:r>
      <w:proofErr w:type="gramEnd"/>
      <w:r>
        <w:rPr>
          <w:i/>
        </w:rPr>
        <w:t>n</w:t>
      </w:r>
      <w:r>
        <w:t xml:space="preserve">-1)/2 genome pairs, and we calculated the SSP distributions of these pairs to prepare for phylogenetic reconstruction using our model, with segment size </w:t>
      </w:r>
      <w:r>
        <w:rPr>
          <w:i/>
        </w:rPr>
        <w:t>l</w:t>
      </w:r>
      <w:r>
        <w:rPr>
          <w:i/>
          <w:vertAlign w:val="subscript"/>
        </w:rPr>
        <w:t>s</w:t>
      </w:r>
      <w:r>
        <w:t xml:space="preserve">=150 (and </w:t>
      </w:r>
      <w:proofErr w:type="spellStart"/>
      <w:r>
        <w:rPr>
          <w:i/>
        </w:rPr>
        <w:t>l</w:t>
      </w:r>
      <w:r>
        <w:rPr>
          <w:i/>
          <w:vertAlign w:val="subscript"/>
        </w:rPr>
        <w:t>s</w:t>
      </w:r>
      <w:r>
        <w:rPr>
          <w:i/>
          <w:vertAlign w:val="superscript"/>
        </w:rPr>
        <w:t>cutoff</w:t>
      </w:r>
      <w:proofErr w:type="spellEnd"/>
      <w:r>
        <w:t>=100); the last segment is discarded as i</w:t>
      </w:r>
      <w:r>
        <w:t>t is shorter than the others.</w:t>
      </w:r>
    </w:p>
    <w:p w:rsidR="00FF439C" w:rsidRDefault="00494061">
      <w:pPr>
        <w:pStyle w:val="berschrift3"/>
      </w:pPr>
      <w:bookmarkStart w:id="5" w:name="_heading=h.tyjcwt" w:colFirst="0" w:colLast="0"/>
      <w:bookmarkEnd w:id="5"/>
      <w:r>
        <w:t xml:space="preserve">Real </w:t>
      </w:r>
      <w:r>
        <w:rPr>
          <w:i/>
        </w:rPr>
        <w:t>E. coli</w:t>
      </w:r>
      <w:r>
        <w:t xml:space="preserve"> genomes</w:t>
      </w:r>
    </w:p>
    <w:p w:rsidR="00FF439C" w:rsidRDefault="00494061">
      <w:pPr>
        <w:ind w:firstLine="0"/>
      </w:pPr>
      <w:r>
        <w:t xml:space="preserve">We also made test-groups using different combinations of genome sequences chosen from the 55 </w:t>
      </w:r>
      <w:r>
        <w:rPr>
          <w:i/>
        </w:rPr>
        <w:t>E. coli</w:t>
      </w:r>
      <w:r>
        <w:t xml:space="preserve"> strains (see Supplementary Table S1 for their names and Genbank Accession IDs). We detected the orthologous gene families in these 55 genomes by performing the </w:t>
      </w:r>
      <w:proofErr w:type="spellStart"/>
      <w:r>
        <w:t>ProteinORTHO</w:t>
      </w:r>
      <w:proofErr w:type="spellEnd"/>
      <w:r>
        <w:t xml:space="preserve"> algorithm (v5.11) (</w:t>
      </w:r>
      <w:proofErr w:type="spellStart"/>
      <w:r>
        <w:t>Lechner</w:t>
      </w:r>
      <w:proofErr w:type="spellEnd"/>
      <w:r>
        <w:t xml:space="preserve"> et al. 2011) on their amino acid coding sequences (CDS)</w:t>
      </w:r>
      <w:r>
        <w:t xml:space="preserve">, which identifies 1,636 orthologous gene families that have one copy in each of these 55 strains; see Supplementary File S2 for a list of these core genes and Supplementary File S4 for the genes to orthologous gene families mapping provided by </w:t>
      </w:r>
      <w:proofErr w:type="spellStart"/>
      <w:r>
        <w:t>ProteinORTH</w:t>
      </w:r>
      <w:r>
        <w:t>O</w:t>
      </w:r>
      <w:proofErr w:type="spellEnd"/>
      <w:r>
        <w:t>. We aligned the nucleotide sequences of these 1,636 universal orthologous gene families using MAFFT (</w:t>
      </w:r>
      <w:proofErr w:type="spellStart"/>
      <w:r>
        <w:t>Katoh</w:t>
      </w:r>
      <w:proofErr w:type="spellEnd"/>
      <w:r>
        <w:t xml:space="preserve"> and </w:t>
      </w:r>
      <w:proofErr w:type="spellStart"/>
      <w:r>
        <w:t>Standley</w:t>
      </w:r>
      <w:proofErr w:type="spellEnd"/>
      <w:r>
        <w:t xml:space="preserve"> 2013) with options “--</w:t>
      </w:r>
      <w:proofErr w:type="spellStart"/>
      <w:r>
        <w:t>maxiterate</w:t>
      </w:r>
      <w:proofErr w:type="spellEnd"/>
      <w:r>
        <w:t xml:space="preserve"> 1000” and “--</w:t>
      </w:r>
      <w:proofErr w:type="spellStart"/>
      <w:r>
        <w:t>localpair</w:t>
      </w:r>
      <w:proofErr w:type="spellEnd"/>
      <w:r>
        <w:t>”; we performed another alignment on their amino acid sequences in the same way</w:t>
      </w:r>
      <w:r>
        <w:t>.</w:t>
      </w:r>
    </w:p>
    <w:p w:rsidR="00FF439C" w:rsidRDefault="00494061">
      <w:r>
        <w:t>To evaluate the accuracy of different phylogenetic algorithms using GLOOME, we made 100 test-groups, each with ten strains randomly chosen from the 55 strains. We concatenated the alignment of all universal orthologous gene families to make a ‘super-gene</w:t>
      </w:r>
      <w:r>
        <w:t>’ nucleotide sequence and a super-gene amino acid sequence for each strain (see Supplementary File S2 for the strains in each test-group, and Supplementary File S4 for their sequences). To prepare the pairwise SSP distributions, we removed all positions th</w:t>
      </w:r>
      <w:r>
        <w:t xml:space="preserve">at have </w:t>
      </w:r>
      <w:r>
        <w:lastRenderedPageBreak/>
        <w:t xml:space="preserve">dashes in the alignment of each core gene, and divided the alignment into segments with length </w:t>
      </w:r>
      <w:r>
        <w:rPr>
          <w:i/>
        </w:rPr>
        <w:t>l</w:t>
      </w:r>
      <w:r>
        <w:rPr>
          <w:vertAlign w:val="subscript"/>
        </w:rPr>
        <w:t>s</w:t>
      </w:r>
      <w:r>
        <w:t xml:space="preserve">, ignoring the last segment if it has fewer than </w:t>
      </w:r>
      <w:r>
        <w:rPr>
          <w:i/>
        </w:rPr>
        <w:t>l</w:t>
      </w:r>
      <w:r>
        <w:rPr>
          <w:vertAlign w:val="subscript"/>
        </w:rPr>
        <w:t>s</w:t>
      </w:r>
      <w:r>
        <w:t xml:space="preserve"> sites. For each pair of strains in a test-group, we collected their segments in different core gene</w:t>
      </w:r>
      <w:r>
        <w:t xml:space="preserve">s, enumerated the SSPs on each segment to get their pairwise SSP distribution; note that each pair of strain has a SNP distribution obtained from their nucleotide sequences, and a SAP distribution from their amino acid sequences. We used segment sizes </w:t>
      </w:r>
      <w:r>
        <w:rPr>
          <w:i/>
        </w:rPr>
        <w:t>l</w:t>
      </w:r>
      <w:r>
        <w:rPr>
          <w:i/>
          <w:vertAlign w:val="subscript"/>
        </w:rPr>
        <w:t>s</w:t>
      </w:r>
      <w:r>
        <w:t>=1</w:t>
      </w:r>
      <w:r>
        <w:t>50 (</w:t>
      </w:r>
      <w:proofErr w:type="spellStart"/>
      <w:r>
        <w:rPr>
          <w:i/>
        </w:rPr>
        <w:t>l</w:t>
      </w:r>
      <w:r>
        <w:rPr>
          <w:i/>
          <w:vertAlign w:val="subscript"/>
        </w:rPr>
        <w:t>s</w:t>
      </w:r>
      <w:r>
        <w:rPr>
          <w:i/>
          <w:vertAlign w:val="superscript"/>
        </w:rPr>
        <w:t>cutoff</w:t>
      </w:r>
      <w:proofErr w:type="spellEnd"/>
      <w:r>
        <w:t xml:space="preserve">=100) for nucleotide sequences, and </w:t>
      </w:r>
      <w:r>
        <w:rPr>
          <w:i/>
        </w:rPr>
        <w:t>l</w:t>
      </w:r>
      <w:r>
        <w:rPr>
          <w:i/>
          <w:vertAlign w:val="subscript"/>
        </w:rPr>
        <w:t>s</w:t>
      </w:r>
      <w:r>
        <w:t>=50 (</w:t>
      </w:r>
      <w:proofErr w:type="spellStart"/>
      <w:r>
        <w:rPr>
          <w:i/>
        </w:rPr>
        <w:t>l</w:t>
      </w:r>
      <w:r>
        <w:rPr>
          <w:i/>
          <w:vertAlign w:val="subscript"/>
        </w:rPr>
        <w:t>s</w:t>
      </w:r>
      <w:r>
        <w:rPr>
          <w:i/>
          <w:vertAlign w:val="superscript"/>
        </w:rPr>
        <w:t>cutoff</w:t>
      </w:r>
      <w:proofErr w:type="spellEnd"/>
      <w:r>
        <w:t>=50) for amino acid sequences.</w:t>
      </w:r>
    </w:p>
    <w:p w:rsidR="00FF439C" w:rsidRDefault="00494061">
      <w:r>
        <w:t>Alternatively, we evaluated the consistency of the phylogenetic algorithms by comparing pairs of phylogenetic trees reconstructed from sequences of different core</w:t>
      </w:r>
      <w:r>
        <w:t xml:space="preserve"> genes of identical strains. We made another 100 test-groups that are different from the 100 groups in the GLOOME-test, where each group has ten strains randomly chosen from the 55 strains. In each group, we randomly assigned a core gene to be either in se</w:t>
      </w:r>
      <w:r>
        <w:t>t A or set B. We concatenated the gene sequences in set A (B) of a strain to make its super-gene A (super-gene B); we then applied different phylogenetic algorithms to reconstruct tree A (tree B) from the super-gene A (super-gene B) of different strains in</w:t>
      </w:r>
      <w:r>
        <w:t xml:space="preserve"> the group. For each pair of strains in a test group, we also prepared the SSP distribution A and SSP distribution B, using the nucleotide sequences (or amino acid sequences) of the genes in set A and set B, in the same way that is done in the GLOOME-test;</w:t>
      </w:r>
      <w:r>
        <w:t xml:space="preserve"> we then reconstructed tree A and tree B using the CGP algorithm. See Supplementary File S4 for the strains in each test-group, the core genes of set A and set B, and also their sequences.</w:t>
      </w:r>
    </w:p>
    <w:p w:rsidR="00FF439C" w:rsidRDefault="00494061">
      <w:pPr>
        <w:pStyle w:val="berschrift2"/>
      </w:pPr>
      <w:bookmarkStart w:id="6" w:name="_heading=h.3dy6vkm" w:colFirst="0" w:colLast="0"/>
      <w:bookmarkEnd w:id="6"/>
      <w:r>
        <w:t>Reconstructing the phylogeny of the simulated / real genome sequenc</w:t>
      </w:r>
      <w:r>
        <w:t xml:space="preserve">es in each test-group using RAxML, ClonalFrameML and </w:t>
      </w:r>
      <w:proofErr w:type="spellStart"/>
      <w:r>
        <w:t>Gubbins</w:t>
      </w:r>
      <w:proofErr w:type="spellEnd"/>
    </w:p>
    <w:p w:rsidR="00FF439C" w:rsidRDefault="00494061">
      <w:pPr>
        <w:pStyle w:val="berschrift3"/>
      </w:pPr>
      <w:bookmarkStart w:id="7" w:name="_heading=h.1t3h5sf" w:colFirst="0" w:colLast="0"/>
      <w:bookmarkEnd w:id="7"/>
      <w:r>
        <w:t>Simulated genome sequences</w:t>
      </w:r>
    </w:p>
    <w:p w:rsidR="00FF439C" w:rsidRDefault="00494061">
      <w:pPr>
        <w:ind w:firstLine="0"/>
      </w:pPr>
      <w:r>
        <w:t>We applied RAxML (v8.2.9) (</w:t>
      </w:r>
      <w:proofErr w:type="spellStart"/>
      <w:r>
        <w:t>Stamatakis</w:t>
      </w:r>
      <w:proofErr w:type="spellEnd"/>
      <w:r>
        <w:t xml:space="preserve"> 2014), ClonalFrameML (v1.11) (</w:t>
      </w:r>
      <w:proofErr w:type="spellStart"/>
      <w:r>
        <w:t>Didelot</w:t>
      </w:r>
      <w:proofErr w:type="spellEnd"/>
      <w:r>
        <w:t xml:space="preserve"> and Wilson 2015) and </w:t>
      </w:r>
      <w:proofErr w:type="spellStart"/>
      <w:r>
        <w:t>Gubbins</w:t>
      </w:r>
      <w:proofErr w:type="spellEnd"/>
      <w:r>
        <w:t xml:space="preserve"> (v2.2.0) (</w:t>
      </w:r>
      <w:proofErr w:type="spellStart"/>
      <w:r>
        <w:t>Croucher</w:t>
      </w:r>
      <w:proofErr w:type="spellEnd"/>
      <w:r>
        <w:t xml:space="preserve"> et al. 2015). We used the model GTRGAMMA in </w:t>
      </w:r>
      <w:r>
        <w:t xml:space="preserve">RAxML. We mid-point-rooted the trees reconstructed by RAxML and </w:t>
      </w:r>
      <w:proofErr w:type="spellStart"/>
      <w:r>
        <w:t>Gubbins</w:t>
      </w:r>
      <w:proofErr w:type="spellEnd"/>
      <w:r>
        <w:t xml:space="preserve"> using RAxML (with option ‘-f I’). ClonalFrameML requires a tree as input, and we fed it with the rooted RAxML tree.</w:t>
      </w:r>
    </w:p>
    <w:p w:rsidR="00FF439C" w:rsidRDefault="00494061">
      <w:pPr>
        <w:pStyle w:val="berschrift3"/>
      </w:pPr>
      <w:bookmarkStart w:id="8" w:name="_heading=h.4d34og8" w:colFirst="0" w:colLast="0"/>
      <w:bookmarkEnd w:id="8"/>
      <w:r>
        <w:t xml:space="preserve">Real </w:t>
      </w:r>
      <w:r>
        <w:rPr>
          <w:i/>
        </w:rPr>
        <w:t>E. coli</w:t>
      </w:r>
      <w:r>
        <w:t xml:space="preserve"> genome sequences</w:t>
      </w:r>
    </w:p>
    <w:p w:rsidR="00FF439C" w:rsidRDefault="00494061">
      <w:pPr>
        <w:ind w:firstLine="0"/>
      </w:pPr>
      <w:r>
        <w:t xml:space="preserve">For the nucleotide sequences, we used </w:t>
      </w:r>
      <w:r>
        <w:t>the algorithms and settings same as the simulated sequences. For amino acid sequences, we used RAxML with the model PROTGAMMAAUTO; the resultant trees are mid-point-rooted by RAxML (option ‘-f I’).</w:t>
      </w:r>
    </w:p>
    <w:p w:rsidR="00FF439C" w:rsidRDefault="00494061">
      <w:pPr>
        <w:pStyle w:val="berschrift2"/>
      </w:pPr>
      <w:bookmarkStart w:id="9" w:name="_heading=h.2s8eyo1" w:colFirst="0" w:colLast="0"/>
      <w:bookmarkEnd w:id="9"/>
      <w:r>
        <w:t>Evaluating how the UPGMA assumption perturbs the coalescen</w:t>
      </w:r>
      <w:r>
        <w:t>t time inference in CGP algorithm</w:t>
      </w:r>
    </w:p>
    <w:p w:rsidR="00FF439C" w:rsidRDefault="00494061">
      <w:pPr>
        <w:ind w:firstLine="0"/>
      </w:pPr>
      <w:r>
        <w:t>To evaluate how the UPGMA assumption perturbs the coalescent time inference, we fitted our theoretical model to the SSP distributions of real genomes across the 100 GLOOME-test-groups. Based on the CGP phylogenetic reconst</w:t>
      </w:r>
      <w:r>
        <w:t>ruction performed on the pairwise SSP distributions in each group, we obtained the optimal set of model parameters (</w:t>
      </w:r>
      <w:r>
        <w:rPr>
          <w:i/>
        </w:rPr>
        <w:t>μ</w:t>
      </w:r>
      <w:r>
        <w:t xml:space="preserve">, </w:t>
      </w:r>
      <w:r>
        <w:rPr>
          <w:i/>
        </w:rPr>
        <w:t>ρ</w:t>
      </w:r>
      <w:r>
        <w:t xml:space="preserve">, </w:t>
      </w:r>
      <w:r>
        <w:rPr>
          <w:i/>
        </w:rPr>
        <w:t>θ</w:t>
      </w:r>
      <w:r>
        <w:t xml:space="preserve">, </w:t>
      </w:r>
      <w:proofErr w:type="spellStart"/>
      <w:r>
        <w:rPr>
          <w:i/>
        </w:rPr>
        <w:t>δ</w:t>
      </w:r>
      <w:r>
        <w:rPr>
          <w:vertAlign w:val="subscript"/>
        </w:rPr>
        <w:t>TE</w:t>
      </w:r>
      <w:proofErr w:type="spellEnd"/>
      <w:r>
        <w:t>) and also the optimal tree that maximize the fit score. We then simulated the theoretical distribution using this optimal param</w:t>
      </w:r>
      <w:r>
        <w:t xml:space="preserve">eter set, and fitted it to the empirical SSP distribution of different pairs of genomes to infer their coalescent times. For a pair of genomes, we defined the directly inferred coalescent time, </w:t>
      </w:r>
      <w:proofErr w:type="spellStart"/>
      <w:r>
        <w:rPr>
          <w:i/>
        </w:rPr>
        <w:t>t</w:t>
      </w:r>
      <w:r>
        <w:rPr>
          <w:vertAlign w:val="subscript"/>
        </w:rPr>
        <w:t>direct</w:t>
      </w:r>
      <w:proofErr w:type="spellEnd"/>
      <w:r>
        <w:t>, to be the time that minimizes the cross entropy betwe</w:t>
      </w:r>
      <w:r>
        <w:t xml:space="preserve">en the theoretical distribution and the empirical distribution of the pair; alternatively, the </w:t>
      </w:r>
      <w:r>
        <w:lastRenderedPageBreak/>
        <w:t>coalescent time of the pair reported by the optimal tree</w:t>
      </w:r>
      <w:bookmarkStart w:id="10" w:name="_GoBack"/>
      <w:bookmarkEnd w:id="10"/>
      <w:r>
        <w:t xml:space="preserve"> is denoted as </w:t>
      </w:r>
      <w:proofErr w:type="spellStart"/>
      <w:r>
        <w:rPr>
          <w:i/>
        </w:rPr>
        <w:t>t</w:t>
      </w:r>
      <w:r>
        <w:rPr>
          <w:vertAlign w:val="subscript"/>
        </w:rPr>
        <w:t>tree</w:t>
      </w:r>
      <w:proofErr w:type="spellEnd"/>
      <w:r>
        <w:t xml:space="preserve">. To quantify the perturbation caused by UPGMA assumption, we calculated </w:t>
      </w:r>
      <w:r>
        <w:rPr>
          <w:rFonts w:ascii="Times New Roman" w:eastAsia="Times New Roman" w:hAnsi="Times New Roman" w:cs="Times New Roman"/>
          <w:sz w:val="24"/>
          <w:szCs w:val="24"/>
        </w:rPr>
        <w:t xml:space="preserve">Δ, </w:t>
      </w:r>
      <w:r>
        <w:t>the devia</w:t>
      </w:r>
      <w:r>
        <w:t xml:space="preserve">tion between </w:t>
      </w:r>
      <w:proofErr w:type="spellStart"/>
      <w:r>
        <w:rPr>
          <w:i/>
        </w:rPr>
        <w:t>t</w:t>
      </w:r>
      <w:r>
        <w:rPr>
          <w:vertAlign w:val="subscript"/>
        </w:rPr>
        <w:t>direct</w:t>
      </w:r>
      <w:proofErr w:type="spellEnd"/>
      <w:r>
        <w:t xml:space="preserve"> and </w:t>
      </w:r>
      <w:proofErr w:type="spellStart"/>
      <w:r>
        <w:rPr>
          <w:i/>
        </w:rPr>
        <w:t>t</w:t>
      </w:r>
      <w:r>
        <w:rPr>
          <w:vertAlign w:val="subscript"/>
        </w:rPr>
        <w:t>tree</w:t>
      </w:r>
      <w:proofErr w:type="spellEnd"/>
      <w:r>
        <w:t xml:space="preserve">, defined </w:t>
      </w:r>
      <w:proofErr w:type="gramStart"/>
      <w:r>
        <w:t>as</w:t>
      </w:r>
      <w:r>
        <w:rPr>
          <w:rFonts w:ascii="Times New Roman" w:eastAsia="Times New Roman" w:hAnsi="Times New Roman" w:cs="Times New Roman"/>
          <w:sz w:val="24"/>
          <w:szCs w:val="24"/>
        </w:rPr>
        <w:t xml:space="preserve"> </w:t>
      </w:r>
      <w:proofErr w:type="gramEnd"/>
      <m:oMath>
        <m:r>
          <w:rPr>
            <w:rFonts w:ascii="Cambria Math" w:hAnsi="Cambria Math"/>
          </w:rPr>
          <m:t>Δ</m:t>
        </m:r>
        <m:r>
          <w:rPr>
            <w:rFonts w:ascii="Times New Roman" w:eastAsia="Times New Roman" w:hAnsi="Times New Roman" w:cs="Times New Roman"/>
            <w:sz w:val="24"/>
            <w:szCs w:val="24"/>
          </w:rPr>
          <m:t>=(</m:t>
        </m:r>
        <m:sSub>
          <m:sSubPr>
            <m:ctrlPr>
              <w:rPr>
                <w:rFonts w:ascii="Times New Roman" w:eastAsia="Times New Roman" w:hAnsi="Times New Roman" w:cs="Times New Roman"/>
                <w:sz w:val="24"/>
                <w:szCs w:val="24"/>
              </w:rPr>
            </m:ctrlPr>
          </m:sSubPr>
          <m:e>
            <m:r>
              <w:rPr>
                <w:rFonts w:ascii="Cambria Math" w:eastAsia="Times New Roman" w:hAnsi="Times New Roman" w:cs="Times New Roman"/>
                <w:sz w:val="24"/>
                <w:szCs w:val="24"/>
              </w:rPr>
              <m:t>t</m:t>
            </m:r>
          </m:e>
          <m:sub>
            <m:r>
              <w:rPr>
                <w:rFonts w:ascii="Cambria Math" w:eastAsia="Times New Roman" w:hAnsi="Times New Roman" w:cs="Times New Roman"/>
                <w:sz w:val="24"/>
                <w:szCs w:val="24"/>
              </w:rPr>
              <m:t>direct</m:t>
            </m:r>
          </m:sub>
        </m:sSub>
        <m:r>
          <w:rPr>
            <w:rFonts w:ascii="Times New Roman" w:eastAsia="Times New Roman" w:hAnsi="Times New Roman" w:cs="Times New Roman"/>
            <w:sz w:val="24"/>
            <w:szCs w:val="24"/>
          </w:rPr>
          <m:t>-</m:t>
        </m:r>
        <m:sSub>
          <m:sSubPr>
            <m:ctrlPr>
              <w:rPr>
                <w:rFonts w:ascii="Times New Roman" w:eastAsia="Times New Roman" w:hAnsi="Times New Roman" w:cs="Times New Roman"/>
                <w:sz w:val="24"/>
                <w:szCs w:val="24"/>
              </w:rPr>
            </m:ctrlPr>
          </m:sSubPr>
          <m:e>
            <m:r>
              <w:rPr>
                <w:rFonts w:ascii="Cambria Math" w:eastAsia="Times New Roman" w:hAnsi="Times New Roman" w:cs="Times New Roman"/>
                <w:sz w:val="24"/>
                <w:szCs w:val="24"/>
              </w:rPr>
              <m:t>t</m:t>
            </m:r>
          </m:e>
          <m:sub>
            <m:r>
              <w:rPr>
                <w:rFonts w:ascii="Cambria Math" w:eastAsia="Times New Roman" w:hAnsi="Times New Roman" w:cs="Times New Roman"/>
                <w:sz w:val="24"/>
                <w:szCs w:val="24"/>
              </w:rPr>
              <m:t>tree</m:t>
            </m:r>
          </m:sub>
        </m:sSub>
        <m:r>
          <w:rPr>
            <w:rFonts w:ascii="Times New Roman" w:eastAsia="Times New Roman" w:hAnsi="Times New Roman" w:cs="Times New Roman"/>
            <w:sz w:val="24"/>
            <w:szCs w:val="24"/>
          </w:rPr>
          <m:t>)/(</m:t>
        </m:r>
        <m:sSub>
          <m:sSubPr>
            <m:ctrlPr>
              <w:rPr>
                <w:rFonts w:ascii="Times New Roman" w:eastAsia="Times New Roman" w:hAnsi="Times New Roman" w:cs="Times New Roman"/>
                <w:sz w:val="24"/>
                <w:szCs w:val="24"/>
              </w:rPr>
            </m:ctrlPr>
          </m:sSubPr>
          <m:e>
            <m:r>
              <w:rPr>
                <w:rFonts w:ascii="Cambria Math" w:eastAsia="Times New Roman" w:hAnsi="Times New Roman" w:cs="Times New Roman"/>
                <w:sz w:val="24"/>
                <w:szCs w:val="24"/>
              </w:rPr>
              <m:t>t</m:t>
            </m:r>
          </m:e>
          <m:sub>
            <m:r>
              <w:rPr>
                <w:rFonts w:ascii="Cambria Math" w:eastAsia="Times New Roman" w:hAnsi="Times New Roman" w:cs="Times New Roman"/>
                <w:sz w:val="24"/>
                <w:szCs w:val="24"/>
              </w:rPr>
              <m:t>direct</m:t>
            </m:r>
          </m:sub>
        </m:sSub>
        <m:r>
          <w:rPr>
            <w:rFonts w:ascii="Times New Roman" w:eastAsia="Times New Roman" w:hAnsi="Times New Roman" w:cs="Times New Roman"/>
            <w:sz w:val="24"/>
            <w:szCs w:val="24"/>
          </w:rPr>
          <m:t>+</m:t>
        </m:r>
        <m:sSub>
          <m:sSubPr>
            <m:ctrlPr>
              <w:rPr>
                <w:rFonts w:ascii="Times New Roman" w:eastAsia="Times New Roman" w:hAnsi="Times New Roman" w:cs="Times New Roman"/>
                <w:sz w:val="24"/>
                <w:szCs w:val="24"/>
              </w:rPr>
            </m:ctrlPr>
          </m:sSubPr>
          <m:e>
            <m:r>
              <w:rPr>
                <w:rFonts w:ascii="Cambria Math" w:eastAsia="Times New Roman" w:hAnsi="Times New Roman" w:cs="Times New Roman"/>
                <w:sz w:val="24"/>
                <w:szCs w:val="24"/>
              </w:rPr>
              <m:t>t</m:t>
            </m:r>
          </m:e>
          <m:sub>
            <m:r>
              <w:rPr>
                <w:rFonts w:ascii="Cambria Math" w:eastAsia="Times New Roman" w:hAnsi="Times New Roman" w:cs="Times New Roman"/>
                <w:sz w:val="24"/>
                <w:szCs w:val="24"/>
              </w:rPr>
              <m:t>tree</m:t>
            </m:r>
          </m:sub>
        </m:sSub>
        <m:r>
          <w:rPr>
            <w:rFonts w:ascii="Times New Roman" w:eastAsia="Times New Roman" w:hAnsi="Times New Roman" w:cs="Times New Roman"/>
            <w:sz w:val="24"/>
            <w:szCs w:val="24"/>
          </w:rPr>
          <m:t>)</m:t>
        </m:r>
      </m:oMath>
      <w:r>
        <w:rPr>
          <w:rFonts w:ascii="Times New Roman" w:eastAsia="Times New Roman" w:hAnsi="Times New Roman" w:cs="Times New Roman"/>
          <w:sz w:val="24"/>
          <w:szCs w:val="24"/>
        </w:rPr>
        <w:t>.</w:t>
      </w:r>
    </w:p>
    <w:p w:rsidR="00FF439C" w:rsidRDefault="00494061">
      <w:pPr>
        <w:pStyle w:val="berschrift2"/>
      </w:pPr>
      <w:bookmarkStart w:id="11" w:name="_heading=h.bsrjjqc9xzop" w:colFirst="0" w:colLast="0"/>
      <w:bookmarkEnd w:id="11"/>
      <w:r>
        <w:t>Estimating the CPU time of phylogenetic reconstruction performed by different algorithms</w:t>
      </w:r>
    </w:p>
    <w:p w:rsidR="00FF439C" w:rsidRDefault="00494061">
      <w:pPr>
        <w:ind w:firstLine="0"/>
      </w:pPr>
      <w:r>
        <w:t>To assess and compare the CPU load of different phylogenetic rec</w:t>
      </w:r>
      <w:r>
        <w:t xml:space="preserve">onstruction algorithms, we executed the </w:t>
      </w:r>
      <w:proofErr w:type="spellStart"/>
      <w:r>
        <w:t>linux</w:t>
      </w:r>
      <w:proofErr w:type="spellEnd"/>
      <w:r>
        <w:t xml:space="preserve"> shell script for the reconstruction of a phylogenetic tree within the Perl environment, and used the Perl package “Benchmark” to help record the time at the start and at the end of each phylogenetic reconstruct</w:t>
      </w:r>
      <w:r>
        <w:t>ion. We then applied the function “</w:t>
      </w:r>
      <w:proofErr w:type="spellStart"/>
      <w:r>
        <w:t>timediff</w:t>
      </w:r>
      <w:proofErr w:type="spellEnd"/>
      <w:r>
        <w:t>” within package “Benchmark” to calculate the time difference between the start and the end, and then the function “</w:t>
      </w:r>
      <w:proofErr w:type="spellStart"/>
      <w:r>
        <w:t>timestr</w:t>
      </w:r>
      <w:proofErr w:type="spellEnd"/>
      <w:r>
        <w:t>” to print out the time measurement. “</w:t>
      </w:r>
      <w:proofErr w:type="spellStart"/>
      <w:proofErr w:type="gramStart"/>
      <w:r>
        <w:t>timestr</w:t>
      </w:r>
      <w:proofErr w:type="spellEnd"/>
      <w:proofErr w:type="gramEnd"/>
      <w:r>
        <w:t>” outputs the “</w:t>
      </w:r>
      <w:proofErr w:type="spellStart"/>
      <w:r>
        <w:t>wallclock</w:t>
      </w:r>
      <w:proofErr w:type="spellEnd"/>
      <w:r>
        <w:t xml:space="preserve"> time”, “user time”, </w:t>
      </w:r>
      <w:r>
        <w:t xml:space="preserve">“system time”, “user time of children”, and “system time of children”. The </w:t>
      </w:r>
      <w:proofErr w:type="spellStart"/>
      <w:r>
        <w:t>wallclock</w:t>
      </w:r>
      <w:proofErr w:type="spellEnd"/>
      <w:r>
        <w:t xml:space="preserve"> time corresponds to the time that physically elapsed between the start and the end of the script. However, not all the algorithms are executed in single-thread-mode: RAxML</w:t>
      </w:r>
      <w:r>
        <w:t xml:space="preserve"> uses at least two threads, and </w:t>
      </w:r>
      <w:proofErr w:type="spellStart"/>
      <w:r>
        <w:t>Gubbins</w:t>
      </w:r>
      <w:proofErr w:type="spellEnd"/>
      <w:r>
        <w:t xml:space="preserve"> calls RAxML and thus is also multi-threaded. Therefore, we summed up the user time, system time, user time of children and system time of children, and used this sum to represent the CPU load. We performed time measu</w:t>
      </w:r>
      <w:r>
        <w:t xml:space="preserve">rement for the phylogenetic reconstructions of the 100 GLOOME-test-groups using different algorithms, in a computer system with Linux distribution </w:t>
      </w:r>
      <w:proofErr w:type="spellStart"/>
      <w:r>
        <w:t>Debian</w:t>
      </w:r>
      <w:proofErr w:type="spellEnd"/>
      <w:r>
        <w:t xml:space="preserve"> GNU/Linux 10 (buster), kernel 4.19.98-1, and AMD EPYC 7601 CPU.</w:t>
      </w:r>
    </w:p>
    <w:p w:rsidR="00FF439C" w:rsidRDefault="00494061">
      <w:pPr>
        <w:pStyle w:val="berschrift2"/>
      </w:pPr>
      <w:bookmarkStart w:id="12" w:name="_heading=h.e7rdv6x1jlx" w:colFirst="0" w:colLast="0"/>
      <w:bookmarkEnd w:id="12"/>
      <w:r>
        <w:t>Evaluating the quality of a reconstruc</w:t>
      </w:r>
      <w:r>
        <w:t>ted tree</w:t>
      </w:r>
    </w:p>
    <w:p w:rsidR="00FF439C" w:rsidRDefault="00494061">
      <w:pPr>
        <w:pStyle w:val="berschrift3"/>
      </w:pPr>
      <w:bookmarkStart w:id="13" w:name="_heading=h.17dp8vu" w:colFirst="0" w:colLast="0"/>
      <w:bookmarkEnd w:id="13"/>
      <w:r>
        <w:t>Trees reconstructed from simulated genome sequences</w:t>
      </w:r>
    </w:p>
    <w:p w:rsidR="00FF439C" w:rsidRDefault="00494061">
      <w:pPr>
        <w:ind w:firstLine="0"/>
      </w:pPr>
      <w:r>
        <w:t xml:space="preserve">We measured the unrooted symmetric distance (SD) (Robinson and </w:t>
      </w:r>
      <w:proofErr w:type="spellStart"/>
      <w:r>
        <w:t>Foulds</w:t>
      </w:r>
      <w:proofErr w:type="spellEnd"/>
      <w:r>
        <w:t xml:space="preserve"> 1981)</w:t>
      </w:r>
      <w:r>
        <w:rPr>
          <w:b/>
        </w:rPr>
        <w:t xml:space="preserve"> </w:t>
      </w:r>
      <w:r>
        <w:t>between a reconstructed tree and the true tree to quantify the accuracy of topology. We measured the unrooted and rooted branch score distance (BSD) (</w:t>
      </w:r>
      <w:proofErr w:type="spellStart"/>
      <w:r>
        <w:t>Kuhner</w:t>
      </w:r>
      <w:proofErr w:type="spellEnd"/>
      <w:r>
        <w:t xml:space="preserve"> and </w:t>
      </w:r>
      <w:proofErr w:type="spellStart"/>
      <w:r>
        <w:t>Felsenstein</w:t>
      </w:r>
      <w:proofErr w:type="spellEnd"/>
      <w:r>
        <w:t xml:space="preserve"> 1994) between a reconstructed tree and the true tree to quantify the branch lengths</w:t>
      </w:r>
      <w:r>
        <w:t xml:space="preserve"> and root positioning of the reconstructed tree; before calculating the branch score distance of two trees, we normalized each tree by dividing the length of each branch by the total branch length.</w:t>
      </w:r>
    </w:p>
    <w:p w:rsidR="00FF439C" w:rsidRDefault="00494061">
      <w:pPr>
        <w:pStyle w:val="berschrift3"/>
      </w:pPr>
      <w:bookmarkStart w:id="14" w:name="_heading=h.3rdcrjn" w:colFirst="0" w:colLast="0"/>
      <w:bookmarkEnd w:id="14"/>
      <w:r>
        <w:t xml:space="preserve">Trees reconstructed from real </w:t>
      </w:r>
      <w:r>
        <w:rPr>
          <w:i/>
        </w:rPr>
        <w:t>E. coli</w:t>
      </w:r>
      <w:r>
        <w:t xml:space="preserve"> sequences</w:t>
      </w:r>
    </w:p>
    <w:p w:rsidR="00FF439C" w:rsidRDefault="00494061">
      <w:pPr>
        <w:ind w:firstLine="0"/>
      </w:pPr>
      <w:r>
        <w:t>We evaluat</w:t>
      </w:r>
      <w:r>
        <w:t>ed the accuracy of a reconstructed tree by comparing the tree to the phylogenetic signals encoded in the absence and presence of genes across different genomes. We considered each internal node of the tree to be an ancestral strain, and used the GLOOME alg</w:t>
      </w:r>
      <w:r>
        <w:t>orithm (VR01.266) (Cohen et al. 2010)along with the default parameters of the online version of GLOOME (Evolutionary model: fixed gain/loss ratio, rate distribution Gamma), to reconstruct the presence and absence of different orthologous gene families in t</w:t>
      </w:r>
      <w:r>
        <w:t>he ancestral strains. GLOOME takes a tree and the presence and absence of different orthologous gene families across the extant strains of the tree as input. As we have used Proteinortho (</w:t>
      </w:r>
      <w:proofErr w:type="spellStart"/>
      <w:r>
        <w:t>Le</w:t>
      </w:r>
      <w:r w:rsidR="00BD7E9F">
        <w:t>chner</w:t>
      </w:r>
      <w:proofErr w:type="spellEnd"/>
      <w:r w:rsidR="00BD7E9F">
        <w:t xml:space="preserve"> et al. 2011) to identify</w:t>
      </w:r>
      <w:r>
        <w:t xml:space="preserve"> the orthologous gene families in </w:t>
      </w:r>
      <w:r>
        <w:t xml:space="preserve">the 55 </w:t>
      </w:r>
      <w:r>
        <w:rPr>
          <w:i/>
        </w:rPr>
        <w:t xml:space="preserve">E. coli </w:t>
      </w:r>
      <w:r>
        <w:t xml:space="preserve">genomes, an orthologous gene family is present in an extant strain if there </w:t>
      </w:r>
      <w:proofErr w:type="gramStart"/>
      <w:r>
        <w:t>is</w:t>
      </w:r>
      <w:proofErr w:type="gramEnd"/>
      <w:r>
        <w:t xml:space="preserve"> one or more copies there, and absent otherwise. The GLOOME output includes the GLOOME posterior likelihood (GPL) for the ancestral genome reconstruction. We used </w:t>
      </w:r>
      <w:r>
        <w:t xml:space="preserve">GPL to quantify the accuracy of a reconstructed phylogenetic tree, because the higher is the GPL, the more consistent is the </w:t>
      </w:r>
      <w:r>
        <w:lastRenderedPageBreak/>
        <w:t>tree with the phylogeny inferred from the distribution of orthologous gene families across different extant genomes.</w:t>
      </w:r>
    </w:p>
    <w:p w:rsidR="00FF439C" w:rsidRDefault="00494061">
      <w:pPr>
        <w:pStyle w:val="berschrift1"/>
      </w:pPr>
      <w:bookmarkStart w:id="15" w:name="_heading=h.26in1rg" w:colFirst="0" w:colLast="0"/>
      <w:bookmarkEnd w:id="15"/>
      <w:r>
        <w:t xml:space="preserve">SUPPLEMENTARY </w:t>
      </w:r>
      <w:r>
        <w:t>FIGURES</w:t>
      </w:r>
    </w:p>
    <w:p w:rsidR="00FF439C" w:rsidRDefault="00FF439C"/>
    <w:p w:rsidR="00FF439C" w:rsidRDefault="00494061">
      <w:pPr>
        <w:widowControl w:val="0"/>
        <w:ind w:firstLine="0"/>
        <w:jc w:val="center"/>
      </w:pPr>
      <w:r>
        <w:rPr>
          <w:noProof/>
          <w:lang w:val="de-DE"/>
        </w:rPr>
        <w:drawing>
          <wp:inline distT="114300" distB="114300" distL="114300" distR="114300">
            <wp:extent cx="4776788" cy="2723607"/>
            <wp:effectExtent l="0" t="0" r="0" b="0"/>
            <wp:docPr id="6" name="image4.png" descr="plot_f_dist.png"/>
            <wp:cNvGraphicFramePr/>
            <a:graphic xmlns:a="http://schemas.openxmlformats.org/drawingml/2006/main">
              <a:graphicData uri="http://schemas.openxmlformats.org/drawingml/2006/picture">
                <pic:pic xmlns:pic="http://schemas.openxmlformats.org/drawingml/2006/picture">
                  <pic:nvPicPr>
                    <pic:cNvPr id="0" name="image4.png" descr="plot_f_dist.png"/>
                    <pic:cNvPicPr preferRelativeResize="0"/>
                  </pic:nvPicPr>
                  <pic:blipFill>
                    <a:blip r:embed="rId9"/>
                    <a:srcRect/>
                    <a:stretch>
                      <a:fillRect/>
                    </a:stretch>
                  </pic:blipFill>
                  <pic:spPr>
                    <a:xfrm>
                      <a:off x="0" y="0"/>
                      <a:ext cx="4776788" cy="2723607"/>
                    </a:xfrm>
                    <a:prstGeom prst="rect">
                      <a:avLst/>
                    </a:prstGeom>
                    <a:ln/>
                  </pic:spPr>
                </pic:pic>
              </a:graphicData>
            </a:graphic>
          </wp:inline>
        </w:drawing>
      </w:r>
    </w:p>
    <w:p w:rsidR="00FF439C" w:rsidRDefault="00494061">
      <w:pPr>
        <w:widowControl w:val="0"/>
        <w:spacing w:after="200"/>
        <w:ind w:firstLine="0"/>
      </w:pPr>
      <w:proofErr w:type="gramStart"/>
      <w:r>
        <w:rPr>
          <w:b/>
        </w:rPr>
        <w:t>Supplementary Figure S1.</w:t>
      </w:r>
      <w:proofErr w:type="gramEnd"/>
      <w:r>
        <w:t xml:space="preserve"> SSP distribution curves at different time </w:t>
      </w:r>
      <w:r>
        <w:rPr>
          <w:i/>
        </w:rPr>
        <w:t>t</w:t>
      </w:r>
      <w:r>
        <w:t xml:space="preserve"> predicted by the model (Eq. (1)), using the parameters </w:t>
      </w:r>
      <w:proofErr w:type="spellStart"/>
      <w:r>
        <w:rPr>
          <w:i/>
        </w:rPr>
        <w:t>μl</w:t>
      </w:r>
      <w:r>
        <w:rPr>
          <w:i/>
          <w:vertAlign w:val="subscript"/>
        </w:rPr>
        <w:t>s</w:t>
      </w:r>
      <w:proofErr w:type="spellEnd"/>
      <w:r>
        <w:t xml:space="preserve">=0.01, </w:t>
      </w:r>
      <w:r>
        <w:rPr>
          <w:i/>
        </w:rPr>
        <w:t>ρ</w:t>
      </w:r>
      <w:r>
        <w:t xml:space="preserve">=0.01, </w:t>
      </w:r>
      <w:r>
        <w:rPr>
          <w:i/>
        </w:rPr>
        <w:t>θ</w:t>
      </w:r>
      <w:r>
        <w:t xml:space="preserve">=2%, </w:t>
      </w:r>
      <w:proofErr w:type="spellStart"/>
      <w:r>
        <w:rPr>
          <w:i/>
        </w:rPr>
        <w:t>δ</w:t>
      </w:r>
      <w:r>
        <w:rPr>
          <w:vertAlign w:val="subscript"/>
        </w:rPr>
        <w:t>TE</w:t>
      </w:r>
      <w:proofErr w:type="spellEnd"/>
      <w:r>
        <w:t xml:space="preserve">=1%, </w:t>
      </w:r>
      <w:r>
        <w:rPr>
          <w:i/>
        </w:rPr>
        <w:t>l</w:t>
      </w:r>
      <w:r>
        <w:rPr>
          <w:i/>
          <w:vertAlign w:val="subscript"/>
        </w:rPr>
        <w:t>s</w:t>
      </w:r>
      <w:r>
        <w:t>=1,000.</w:t>
      </w:r>
    </w:p>
    <w:p w:rsidR="00FF439C" w:rsidRDefault="00FF439C">
      <w:pPr>
        <w:widowControl w:val="0"/>
        <w:spacing w:after="200"/>
        <w:ind w:firstLine="0"/>
      </w:pPr>
    </w:p>
    <w:p w:rsidR="00FF439C" w:rsidRDefault="00494061">
      <w:pPr>
        <w:widowControl w:val="0"/>
        <w:ind w:firstLine="0"/>
        <w:jc w:val="center"/>
      </w:pPr>
      <w:r>
        <w:rPr>
          <w:noProof/>
          <w:lang w:val="de-DE"/>
        </w:rPr>
        <w:drawing>
          <wp:inline distT="114300" distB="114300" distL="114300" distR="114300">
            <wp:extent cx="5526032" cy="2909888"/>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526032" cy="2909888"/>
                    </a:xfrm>
                    <a:prstGeom prst="rect">
                      <a:avLst/>
                    </a:prstGeom>
                    <a:ln/>
                  </pic:spPr>
                </pic:pic>
              </a:graphicData>
            </a:graphic>
          </wp:inline>
        </w:drawing>
      </w:r>
    </w:p>
    <w:p w:rsidR="00FF439C" w:rsidRDefault="00494061">
      <w:pPr>
        <w:widowControl w:val="0"/>
        <w:ind w:firstLine="0"/>
      </w:pPr>
      <w:proofErr w:type="gramStart"/>
      <w:r>
        <w:rPr>
          <w:b/>
        </w:rPr>
        <w:t>Supplementary Figure S2.</w:t>
      </w:r>
      <w:proofErr w:type="gramEnd"/>
      <w:r>
        <w:t xml:space="preserve"> Illustration of the possible local moves of an internal node with three children. Apart from moving the entire node upwards or downwards by one time step (move not shown), our algorithm also considers moving one of its downstream branches upwards or downw</w:t>
      </w:r>
      <w:r>
        <w:t>ards by one step, splitting the internal node into two.</w:t>
      </w:r>
    </w:p>
    <w:p w:rsidR="00FF439C" w:rsidRDefault="00FF439C">
      <w:pPr>
        <w:widowControl w:val="0"/>
        <w:ind w:firstLine="0"/>
      </w:pPr>
    </w:p>
    <w:p w:rsidR="00FF439C" w:rsidRDefault="00494061">
      <w:pPr>
        <w:ind w:firstLine="0"/>
        <w:jc w:val="center"/>
        <w:rPr>
          <w:color w:val="222222"/>
        </w:rPr>
      </w:pPr>
      <w:r>
        <w:rPr>
          <w:noProof/>
          <w:color w:val="222222"/>
          <w:lang w:val="de-DE"/>
        </w:rPr>
        <w:lastRenderedPageBreak/>
        <w:drawing>
          <wp:inline distT="114300" distB="114300" distL="114300" distR="114300">
            <wp:extent cx="4510459" cy="3595688"/>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4510459" cy="3595688"/>
                    </a:xfrm>
                    <a:prstGeom prst="rect">
                      <a:avLst/>
                    </a:prstGeom>
                    <a:ln/>
                  </pic:spPr>
                </pic:pic>
              </a:graphicData>
            </a:graphic>
          </wp:inline>
        </w:drawing>
      </w:r>
    </w:p>
    <w:p w:rsidR="00FF439C" w:rsidRDefault="00494061">
      <w:pPr>
        <w:ind w:firstLine="0"/>
      </w:pPr>
      <w:proofErr w:type="gramStart"/>
      <w:r>
        <w:rPr>
          <w:b/>
          <w:color w:val="222222"/>
        </w:rPr>
        <w:t>Supplementary Figure S3.</w:t>
      </w:r>
      <w:proofErr w:type="gramEnd"/>
      <w:r>
        <w:rPr>
          <w:color w:val="222222"/>
        </w:rPr>
        <w:t xml:space="preserve"> An example of phylogenetic trees of 10 E. coli / Shigella strains reconstructed by CGP, RAxML, ClonalFrameML and </w:t>
      </w:r>
      <w:proofErr w:type="spellStart"/>
      <w:r>
        <w:rPr>
          <w:color w:val="222222"/>
        </w:rPr>
        <w:t>Gubbins</w:t>
      </w:r>
      <w:proofErr w:type="spellEnd"/>
      <w:r>
        <w:rPr>
          <w:color w:val="222222"/>
        </w:rPr>
        <w:t xml:space="preserve"> from the nucleotide sequences and also from the ami</w:t>
      </w:r>
      <w:r>
        <w:rPr>
          <w:color w:val="222222"/>
        </w:rPr>
        <w:t>no acid sequences. This group is one of the one hundred groups of real genome sequences prepared for the GLOOME-test.</w:t>
      </w:r>
    </w:p>
    <w:p w:rsidR="00FF439C" w:rsidRDefault="00FF439C">
      <w:pPr>
        <w:widowControl w:val="0"/>
        <w:ind w:firstLine="0"/>
      </w:pPr>
    </w:p>
    <w:p w:rsidR="00FF439C" w:rsidRDefault="00494061">
      <w:pPr>
        <w:ind w:firstLine="0"/>
        <w:jc w:val="center"/>
        <w:rPr>
          <w:color w:val="222222"/>
          <w:u w:val="single"/>
        </w:rPr>
      </w:pPr>
      <w:r>
        <w:rPr>
          <w:noProof/>
          <w:color w:val="222222"/>
          <w:u w:val="single"/>
          <w:lang w:val="de-DE"/>
        </w:rPr>
        <w:drawing>
          <wp:inline distT="114300" distB="114300" distL="114300" distR="114300">
            <wp:extent cx="4319588" cy="3279687"/>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4319588" cy="3279687"/>
                    </a:xfrm>
                    <a:prstGeom prst="rect">
                      <a:avLst/>
                    </a:prstGeom>
                    <a:ln/>
                  </pic:spPr>
                </pic:pic>
              </a:graphicData>
            </a:graphic>
          </wp:inline>
        </w:drawing>
      </w:r>
    </w:p>
    <w:p w:rsidR="00FF439C" w:rsidRDefault="00494061">
      <w:pPr>
        <w:widowControl w:val="0"/>
        <w:ind w:firstLine="0"/>
      </w:pPr>
      <w:proofErr w:type="gramStart"/>
      <w:r>
        <w:rPr>
          <w:b/>
        </w:rPr>
        <w:t>Supplementary Figure S4.</w:t>
      </w:r>
      <w:proofErr w:type="gramEnd"/>
      <w:r>
        <w:t xml:space="preserve"> Distribution of CPU time for the reconstruction of a phylogenetic tree, by CGP, RAxML, ClonalFrameML, and </w:t>
      </w:r>
      <w:proofErr w:type="spellStart"/>
      <w:r>
        <w:t>Gubb</w:t>
      </w:r>
      <w:r>
        <w:t>ins</w:t>
      </w:r>
      <w:proofErr w:type="spellEnd"/>
      <w:r>
        <w:t xml:space="preserve"> applied to nucleotide </w:t>
      </w:r>
      <w:proofErr w:type="gramStart"/>
      <w:r>
        <w:t>sequences,</w:t>
      </w:r>
      <w:proofErr w:type="gramEnd"/>
      <w:r>
        <w:t xml:space="preserve"> and by CGP and RAxML to amino acid sequences. Note that ClonalFrameML takes the RAxML tree as input, and rescales the tree’s branch lengths. See Supplementary Text for details.</w:t>
      </w:r>
    </w:p>
    <w:p w:rsidR="00FF439C" w:rsidRDefault="00FF439C">
      <w:pPr>
        <w:widowControl w:val="0"/>
        <w:ind w:firstLine="0"/>
      </w:pPr>
    </w:p>
    <w:p w:rsidR="00FF439C" w:rsidRDefault="00494061">
      <w:pPr>
        <w:ind w:firstLine="0"/>
        <w:rPr>
          <w:color w:val="222222"/>
        </w:rPr>
      </w:pPr>
      <w:r>
        <w:rPr>
          <w:noProof/>
          <w:color w:val="222222"/>
          <w:lang w:val="de-DE"/>
        </w:rPr>
        <w:lastRenderedPageBreak/>
        <w:drawing>
          <wp:inline distT="114300" distB="114300" distL="114300" distR="114300">
            <wp:extent cx="5734050" cy="76073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734050" cy="7607300"/>
                    </a:xfrm>
                    <a:prstGeom prst="rect">
                      <a:avLst/>
                    </a:prstGeom>
                    <a:ln/>
                  </pic:spPr>
                </pic:pic>
              </a:graphicData>
            </a:graphic>
          </wp:inline>
        </w:drawing>
      </w:r>
    </w:p>
    <w:p w:rsidR="00FF439C" w:rsidRDefault="00494061">
      <w:pPr>
        <w:widowControl w:val="0"/>
        <w:ind w:firstLine="0"/>
      </w:pPr>
      <w:proofErr w:type="gramStart"/>
      <w:r>
        <w:rPr>
          <w:b/>
        </w:rPr>
        <w:t>Supplementary Figure S5.</w:t>
      </w:r>
      <w:proofErr w:type="gramEnd"/>
      <w:r>
        <w:t xml:space="preserve"> Box plot showi</w:t>
      </w:r>
      <w:r>
        <w:t xml:space="preserve">ng the distribution of unrooted SD, unrooted BSD, rooted BSD, as well as the distribution of their z-score, of pairs of trees inferred from the same group of strains to evaluate the consistency of reconstruction by CGP, RAxML, ClonalFrameML, and </w:t>
      </w:r>
      <w:proofErr w:type="spellStart"/>
      <w:r>
        <w:t>Gubbins</w:t>
      </w:r>
      <w:proofErr w:type="spellEnd"/>
      <w:r>
        <w:t xml:space="preserve"> ap</w:t>
      </w:r>
      <w:r>
        <w:t>plied to nucleotide sequences, and also CGP and RAxML applied to amino acid sequences.</w:t>
      </w:r>
    </w:p>
    <w:p w:rsidR="00FF439C" w:rsidRDefault="00FF439C">
      <w:pPr>
        <w:widowControl w:val="0"/>
        <w:ind w:firstLine="0"/>
      </w:pPr>
    </w:p>
    <w:p w:rsidR="00FF439C" w:rsidRDefault="00494061">
      <w:pPr>
        <w:ind w:firstLine="0"/>
        <w:rPr>
          <w:color w:val="222222"/>
          <w:highlight w:val="white"/>
        </w:rPr>
      </w:pPr>
      <w:r>
        <w:rPr>
          <w:noProof/>
          <w:color w:val="222222"/>
          <w:highlight w:val="white"/>
          <w:lang w:val="de-DE"/>
        </w:rPr>
        <w:lastRenderedPageBreak/>
        <w:drawing>
          <wp:inline distT="114300" distB="114300" distL="114300" distR="114300">
            <wp:extent cx="5734050" cy="37973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5734050" cy="3797300"/>
                    </a:xfrm>
                    <a:prstGeom prst="rect">
                      <a:avLst/>
                    </a:prstGeom>
                    <a:ln/>
                  </pic:spPr>
                </pic:pic>
              </a:graphicData>
            </a:graphic>
          </wp:inline>
        </w:drawing>
      </w:r>
    </w:p>
    <w:p w:rsidR="00FF439C" w:rsidRDefault="00494061">
      <w:pPr>
        <w:widowControl w:val="0"/>
        <w:ind w:firstLine="0"/>
        <w:rPr>
          <w:rFonts w:ascii="Times New Roman" w:eastAsia="Times New Roman" w:hAnsi="Times New Roman" w:cs="Times New Roman"/>
          <w:sz w:val="24"/>
          <w:szCs w:val="24"/>
        </w:rPr>
      </w:pPr>
      <w:proofErr w:type="gramStart"/>
      <w:r>
        <w:rPr>
          <w:b/>
        </w:rPr>
        <w:t>Supplementary Figure S6.</w:t>
      </w:r>
      <w:proofErr w:type="gramEnd"/>
      <w:r>
        <w:t xml:space="preserve"> Distribution of </w:t>
      </w:r>
      <w:r>
        <w:rPr>
          <w:rFonts w:ascii="Times New Roman" w:eastAsia="Times New Roman" w:hAnsi="Times New Roman" w:cs="Times New Roman"/>
          <w:sz w:val="24"/>
          <w:szCs w:val="24"/>
        </w:rPr>
        <w:t xml:space="preserve">Δ—the perturbation on branch lengths / coalescent times caused by the UPGMA assumption in the CGP algorithm. </w:t>
      </w:r>
      <w:r>
        <w:rPr>
          <w:rFonts w:ascii="Times New Roman" w:eastAsia="Times New Roman" w:hAnsi="Times New Roman" w:cs="Times New Roman"/>
          <w:sz w:val="24"/>
          <w:szCs w:val="24"/>
        </w:rPr>
        <w:t>See Supplementary Text for details.</w:t>
      </w:r>
    </w:p>
    <w:p w:rsidR="00FF439C" w:rsidRDefault="00FF439C">
      <w:pPr>
        <w:widowControl w:val="0"/>
        <w:ind w:firstLine="0"/>
        <w:rPr>
          <w:rFonts w:ascii="Times New Roman" w:eastAsia="Times New Roman" w:hAnsi="Times New Roman" w:cs="Times New Roman"/>
          <w:sz w:val="24"/>
          <w:szCs w:val="24"/>
          <w:highlight w:val="yellow"/>
        </w:rPr>
      </w:pPr>
    </w:p>
    <w:p w:rsidR="00FF439C" w:rsidRDefault="00FF439C">
      <w:pPr>
        <w:ind w:firstLine="0"/>
        <w:rPr>
          <w:color w:val="222222"/>
          <w:highlight w:val="yellow"/>
        </w:rPr>
      </w:pPr>
    </w:p>
    <w:p w:rsidR="00FF439C" w:rsidRDefault="00FF439C">
      <w:pPr>
        <w:ind w:firstLine="0"/>
        <w:rPr>
          <w:color w:val="222222"/>
          <w:highlight w:val="white"/>
        </w:rPr>
      </w:pPr>
    </w:p>
    <w:p w:rsidR="00FF439C" w:rsidRDefault="00494061">
      <w:pPr>
        <w:pStyle w:val="berschrift1"/>
      </w:pPr>
      <w:bookmarkStart w:id="16" w:name="_heading=h.s23gysuritat" w:colFirst="0" w:colLast="0"/>
      <w:bookmarkEnd w:id="16"/>
      <w:r>
        <w:br w:type="page"/>
      </w:r>
      <w:r>
        <w:lastRenderedPageBreak/>
        <w:t>SUPPLEMENTARY TABLES</w:t>
      </w:r>
    </w:p>
    <w:p w:rsidR="00FF439C" w:rsidRDefault="00494061">
      <w:pPr>
        <w:ind w:firstLine="0"/>
      </w:pPr>
      <w:proofErr w:type="gramStart"/>
      <w:r>
        <w:rPr>
          <w:b/>
        </w:rPr>
        <w:t>Supplementary Table S1.</w:t>
      </w:r>
      <w:proofErr w:type="gramEnd"/>
      <w:r>
        <w:t xml:space="preserve"> List of 55 genomes of </w:t>
      </w:r>
      <w:r>
        <w:rPr>
          <w:i/>
        </w:rPr>
        <w:t>E. coli</w:t>
      </w:r>
      <w:r>
        <w:t xml:space="preserve"> and </w:t>
      </w:r>
      <w:r>
        <w:rPr>
          <w:i/>
        </w:rPr>
        <w:t>Shigella</w:t>
      </w:r>
      <w:r>
        <w:t xml:space="preserve"> used in this study.</w:t>
      </w:r>
    </w:p>
    <w:tbl>
      <w:tblPr>
        <w:tblStyle w:val="a6"/>
        <w:tblW w:w="8970" w:type="dxa"/>
        <w:jc w:val="center"/>
        <w:tblInd w:w="0"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Look w:val="0600" w:firstRow="0" w:lastRow="0" w:firstColumn="0" w:lastColumn="0" w:noHBand="1" w:noVBand="1"/>
      </w:tblPr>
      <w:tblGrid>
        <w:gridCol w:w="6450"/>
        <w:gridCol w:w="2520"/>
      </w:tblGrid>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b/>
                <w:sz w:val="20"/>
                <w:szCs w:val="20"/>
              </w:rPr>
            </w:pPr>
            <w:r>
              <w:rPr>
                <w:b/>
                <w:sz w:val="20"/>
                <w:szCs w:val="20"/>
              </w:rPr>
              <w:t>Strain Name</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ind w:firstLine="0"/>
              <w:jc w:val="center"/>
              <w:rPr>
                <w:b/>
                <w:sz w:val="20"/>
                <w:szCs w:val="20"/>
              </w:rPr>
            </w:pPr>
            <w:r>
              <w:rPr>
                <w:b/>
                <w:sz w:val="20"/>
                <w:szCs w:val="20"/>
              </w:rPr>
              <w:t>Genbank Accession ID</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Escherichia-coli-LF82</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CU651637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Escherichia-coli-O83:H1-str.-NRG-857C</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CP001855</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Escherichia-coli-UM146</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CP002167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Escherichia-coli-APEC-O1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CP000468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Escherichia-coli-ATCC-8739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CP000946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Escherichia-coli-B-str.-REL606</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CP000819</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Escherichia-coli-BL21(DE3)-BL21-Gold(DE3)</w:t>
            </w:r>
            <w:proofErr w:type="spellStart"/>
            <w:r>
              <w:rPr>
                <w:sz w:val="20"/>
                <w:szCs w:val="20"/>
              </w:rPr>
              <w:t>pLysS</w:t>
            </w:r>
            <w:proofErr w:type="spellEnd"/>
            <w:r>
              <w:rPr>
                <w:sz w:val="20"/>
                <w:szCs w:val="20"/>
              </w:rPr>
              <w:t>-AG</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CP001665</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Escherichia-coli-BL21(DE3)-AM946981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AM946981</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Escherichia-coli-BL21(DE3)-CP001509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CP001509</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Escherichia-coli-BW2952</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CP001396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Escherichia-coli-DH1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CP001637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Escherichia-coli-DH1-ME8569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AP012030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Escherichia-coli-ED1a</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CU928162</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Escherichia-coli-HS</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CP000802</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Escherichia-coli-IAI1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CU928160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Escherichia-coli-KO11FL</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CP002516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Escherichia-coli-SE15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AP009378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Escherichia-coli-str.-K-12-substr.-DH10B</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CP000948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Escherichia-coli-str.-K-12-substr.-MG1655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U00096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Escherichia-coli-str.-K-12-substr.-W3110</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AP009048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Escherichia-coli-W-CP002185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CP002185</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Escherichia-coli-W</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CP002967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Escherichia-coli-042</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FN554766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Escherichia-coli-O103:H2-str.-12009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AP010958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Escherichia-coli-O111:H--str.-11128</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AP010960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Escherichia-coli-O157:H7-str.-EC4115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CP001164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Escherichia-coli-O157:H7-EDL933</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AE005174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Escherichia-coli-O157:H7-str.-Sakai</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BA000007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Escherichia-coli-O157:H7-str.-TW14359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CP001368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Escherichia-coli-O26:H11-str.-11368</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AP010953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Escherichia-coli-O55:H7-str.-CB9615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CP001846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Escherichia-coli-SMS-3-5</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CP000970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Pr="00CC77B0" w:rsidRDefault="00494061">
            <w:pPr>
              <w:rPr>
                <w:sz w:val="20"/>
                <w:szCs w:val="20"/>
                <w:lang w:val="de-DE"/>
              </w:rPr>
            </w:pPr>
            <w:r w:rsidRPr="00CC77B0">
              <w:rPr>
                <w:sz w:val="20"/>
                <w:szCs w:val="20"/>
                <w:lang w:val="de-DE"/>
              </w:rPr>
              <w:t>Escherichia-coli-O127:H6-str.-E2348/69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FM180568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Escherichia-coli-E24377A</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CP000800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lastRenderedPageBreak/>
              <w:t>Escherichia-coli-ETEC-H10407</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FN649414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Escherichia-coli-UMNK88</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CP002729</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Escherichia-coli-IHE3034</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CP001969</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Escherichia-coli-S88</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CU928161</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Escherichia-coli-536</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CP000247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Escherichia-coli-ABU-83972</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CP001671</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Escherichia-coli-CFT073</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AE014075</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Escherichia-coli-IAI39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CU928164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Escherichia-coli-NA114</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CP002797</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Escherichia-coli-UMN026</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CU928163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Escherichia-coli-UTI89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CP000243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Shigella-boydii-CDC-3083-94</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CP001063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Shigella-boydii-Sb227</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CP000036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Shigella-dysenteriae-Sd197</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CP000034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Shigella-flexneri-2002017</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CP001383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Shigella-flexneri-2a-str.-2457T</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AE014073</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Shigella-flexneri-2a-str.-301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AE005674</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Shigella-flexneri-5-str.-8401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CP000266</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Shigella-sonnei-Ss046</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CP000038</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Escherichia-coli-SE11</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AP009240</w:t>
            </w:r>
          </w:p>
        </w:tc>
      </w:tr>
      <w:tr w:rsidR="00FF439C">
        <w:trPr>
          <w:jc w:val="center"/>
        </w:trPr>
        <w:tc>
          <w:tcPr>
            <w:tcW w:w="645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Escherichia-coli-55989</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rsidR="00FF439C" w:rsidRDefault="00494061">
            <w:pPr>
              <w:rPr>
                <w:sz w:val="20"/>
                <w:szCs w:val="20"/>
              </w:rPr>
            </w:pPr>
            <w:r>
              <w:rPr>
                <w:sz w:val="20"/>
                <w:szCs w:val="20"/>
              </w:rPr>
              <w:t>CU928145</w:t>
            </w:r>
          </w:p>
        </w:tc>
      </w:tr>
    </w:tbl>
    <w:p w:rsidR="00FF439C" w:rsidRDefault="00494061">
      <w:pPr>
        <w:pStyle w:val="berschrift1"/>
      </w:pPr>
      <w:bookmarkStart w:id="17" w:name="_heading=h.35nkun2" w:colFirst="0" w:colLast="0"/>
      <w:bookmarkEnd w:id="17"/>
      <w:r>
        <w:br w:type="page"/>
      </w:r>
    </w:p>
    <w:p w:rsidR="00FF439C" w:rsidRDefault="00494061">
      <w:pPr>
        <w:pStyle w:val="berschrift1"/>
      </w:pPr>
      <w:bookmarkStart w:id="18" w:name="_heading=h.1ksv4uv" w:colFirst="0" w:colLast="0"/>
      <w:bookmarkEnd w:id="18"/>
      <w:r>
        <w:lastRenderedPageBreak/>
        <w:t>REFERENCES</w:t>
      </w:r>
    </w:p>
    <w:p w:rsidR="00FF439C" w:rsidRDefault="00494061">
      <w:pPr>
        <w:pBdr>
          <w:top w:val="nil"/>
          <w:left w:val="nil"/>
          <w:bottom w:val="nil"/>
          <w:right w:val="nil"/>
          <w:between w:val="nil"/>
        </w:pBdr>
        <w:spacing w:after="240"/>
        <w:ind w:left="720" w:hanging="720"/>
        <w:rPr>
          <w:color w:val="000000"/>
        </w:rPr>
      </w:pPr>
      <w:r>
        <w:rPr>
          <w:color w:val="000000"/>
        </w:rPr>
        <w:t xml:space="preserve">Cohen O., Ashkenazy H., </w:t>
      </w:r>
      <w:proofErr w:type="spellStart"/>
      <w:r>
        <w:rPr>
          <w:color w:val="000000"/>
        </w:rPr>
        <w:t>Belinky</w:t>
      </w:r>
      <w:proofErr w:type="spellEnd"/>
      <w:r>
        <w:rPr>
          <w:color w:val="000000"/>
        </w:rPr>
        <w:t xml:space="preserve"> F., </w:t>
      </w:r>
      <w:proofErr w:type="spellStart"/>
      <w:r>
        <w:rPr>
          <w:color w:val="000000"/>
        </w:rPr>
        <w:t>Huchon</w:t>
      </w:r>
      <w:proofErr w:type="spellEnd"/>
      <w:r>
        <w:rPr>
          <w:color w:val="000000"/>
        </w:rPr>
        <w:t xml:space="preserve"> D., </w:t>
      </w:r>
      <w:proofErr w:type="spellStart"/>
      <w:r>
        <w:rPr>
          <w:color w:val="000000"/>
        </w:rPr>
        <w:t>Pupko</w:t>
      </w:r>
      <w:proofErr w:type="spellEnd"/>
      <w:r>
        <w:rPr>
          <w:color w:val="000000"/>
        </w:rPr>
        <w:t xml:space="preserve"> T. 2010. GLOOME: gain loss mapping engine. </w:t>
      </w:r>
      <w:proofErr w:type="gramStart"/>
      <w:r>
        <w:rPr>
          <w:color w:val="000000"/>
        </w:rPr>
        <w:t>Bioinformatics.</w:t>
      </w:r>
      <w:proofErr w:type="gramEnd"/>
      <w:r>
        <w:rPr>
          <w:color w:val="000000"/>
        </w:rPr>
        <w:t xml:space="preserve"> 26:2914–2915.</w:t>
      </w:r>
    </w:p>
    <w:p w:rsidR="00FF439C" w:rsidRDefault="00494061">
      <w:pPr>
        <w:pBdr>
          <w:top w:val="nil"/>
          <w:left w:val="nil"/>
          <w:bottom w:val="nil"/>
          <w:right w:val="nil"/>
          <w:between w:val="nil"/>
        </w:pBdr>
        <w:spacing w:after="240"/>
        <w:ind w:left="720" w:hanging="720"/>
        <w:rPr>
          <w:color w:val="000000"/>
        </w:rPr>
      </w:pPr>
      <w:proofErr w:type="spellStart"/>
      <w:r>
        <w:rPr>
          <w:color w:val="000000"/>
        </w:rPr>
        <w:t>Croucher</w:t>
      </w:r>
      <w:proofErr w:type="spellEnd"/>
      <w:r>
        <w:rPr>
          <w:color w:val="000000"/>
        </w:rPr>
        <w:t xml:space="preserve"> N.J., Page A.J., Connor T.R., Delaney A.J., Keane J.A., Bentley S.D., Parkhill J., Harris S.R. 2015. Rapid phylogenetic analysis of large samples of recombinant bacterial whole genome sequences using </w:t>
      </w:r>
      <w:proofErr w:type="spellStart"/>
      <w:r>
        <w:rPr>
          <w:color w:val="000000"/>
        </w:rPr>
        <w:t>Gubbins</w:t>
      </w:r>
      <w:proofErr w:type="spellEnd"/>
      <w:r>
        <w:rPr>
          <w:color w:val="000000"/>
        </w:rPr>
        <w:t>. Nucleic Acids Res. 43:e15–e15.</w:t>
      </w:r>
    </w:p>
    <w:p w:rsidR="00FF439C" w:rsidRDefault="00494061">
      <w:pPr>
        <w:pBdr>
          <w:top w:val="nil"/>
          <w:left w:val="nil"/>
          <w:bottom w:val="nil"/>
          <w:right w:val="nil"/>
          <w:between w:val="nil"/>
        </w:pBdr>
        <w:spacing w:after="240"/>
        <w:ind w:left="720" w:hanging="720"/>
        <w:rPr>
          <w:color w:val="000000"/>
        </w:rPr>
      </w:pPr>
      <w:proofErr w:type="spellStart"/>
      <w:proofErr w:type="gramStart"/>
      <w:r>
        <w:rPr>
          <w:color w:val="000000"/>
        </w:rPr>
        <w:t>Didelot</w:t>
      </w:r>
      <w:proofErr w:type="spellEnd"/>
      <w:r>
        <w:rPr>
          <w:color w:val="000000"/>
        </w:rPr>
        <w:t xml:space="preserve"> X., Lawson D., </w:t>
      </w:r>
      <w:proofErr w:type="spellStart"/>
      <w:r>
        <w:rPr>
          <w:color w:val="000000"/>
        </w:rPr>
        <w:t>Falush</w:t>
      </w:r>
      <w:proofErr w:type="spellEnd"/>
      <w:r>
        <w:rPr>
          <w:color w:val="000000"/>
        </w:rPr>
        <w:t xml:space="preserve"> D. 2009.</w:t>
      </w:r>
      <w:proofErr w:type="gramEnd"/>
      <w:r>
        <w:rPr>
          <w:color w:val="000000"/>
        </w:rPr>
        <w:t xml:space="preserve"> </w:t>
      </w:r>
      <w:proofErr w:type="spellStart"/>
      <w:r>
        <w:rPr>
          <w:color w:val="000000"/>
        </w:rPr>
        <w:t>SimMLST</w:t>
      </w:r>
      <w:proofErr w:type="spellEnd"/>
      <w:r>
        <w:rPr>
          <w:color w:val="000000"/>
        </w:rPr>
        <w:t xml:space="preserve">: simulation of multi-locus sequence typing data under a neutral model. </w:t>
      </w:r>
      <w:proofErr w:type="spellStart"/>
      <w:proofErr w:type="gramStart"/>
      <w:r>
        <w:rPr>
          <w:color w:val="000000"/>
        </w:rPr>
        <w:t>Bioinforma</w:t>
      </w:r>
      <w:proofErr w:type="spellEnd"/>
      <w:r>
        <w:rPr>
          <w:color w:val="000000"/>
        </w:rPr>
        <w:t>.</w:t>
      </w:r>
      <w:proofErr w:type="gramEnd"/>
      <w:r>
        <w:rPr>
          <w:color w:val="000000"/>
        </w:rPr>
        <w:t xml:space="preserve"> </w:t>
      </w:r>
      <w:proofErr w:type="spellStart"/>
      <w:proofErr w:type="gramStart"/>
      <w:r>
        <w:rPr>
          <w:color w:val="000000"/>
        </w:rPr>
        <w:t>Oxf</w:t>
      </w:r>
      <w:proofErr w:type="spellEnd"/>
      <w:r>
        <w:rPr>
          <w:color w:val="000000"/>
        </w:rPr>
        <w:t>.</w:t>
      </w:r>
      <w:proofErr w:type="gramEnd"/>
      <w:r>
        <w:rPr>
          <w:color w:val="000000"/>
        </w:rPr>
        <w:t xml:space="preserve"> Engl. 25:1442–1444.</w:t>
      </w:r>
    </w:p>
    <w:p w:rsidR="00FF439C" w:rsidRDefault="00494061">
      <w:pPr>
        <w:pBdr>
          <w:top w:val="nil"/>
          <w:left w:val="nil"/>
          <w:bottom w:val="nil"/>
          <w:right w:val="nil"/>
          <w:between w:val="nil"/>
        </w:pBdr>
        <w:spacing w:after="240"/>
        <w:ind w:left="720" w:hanging="720"/>
        <w:rPr>
          <w:color w:val="000000"/>
        </w:rPr>
      </w:pPr>
      <w:proofErr w:type="spellStart"/>
      <w:proofErr w:type="gramStart"/>
      <w:r>
        <w:rPr>
          <w:color w:val="000000"/>
        </w:rPr>
        <w:t>Didelot</w:t>
      </w:r>
      <w:proofErr w:type="spellEnd"/>
      <w:r>
        <w:rPr>
          <w:color w:val="000000"/>
        </w:rPr>
        <w:t xml:space="preserve"> X., Wilson D.J. 2015.</w:t>
      </w:r>
      <w:proofErr w:type="gramEnd"/>
      <w:r>
        <w:rPr>
          <w:color w:val="000000"/>
        </w:rPr>
        <w:t xml:space="preserve"> ClonalFrameML: Efficient Inference of Recombination in Whole Bacterial </w:t>
      </w:r>
      <w:r>
        <w:rPr>
          <w:color w:val="000000"/>
        </w:rPr>
        <w:t xml:space="preserve">Genomes. PLOS </w:t>
      </w:r>
      <w:proofErr w:type="spellStart"/>
      <w:r>
        <w:rPr>
          <w:color w:val="000000"/>
        </w:rPr>
        <w:t>Comput</w:t>
      </w:r>
      <w:proofErr w:type="spellEnd"/>
      <w:r>
        <w:rPr>
          <w:color w:val="000000"/>
        </w:rPr>
        <w:t xml:space="preserve"> Biol. 11:e1004041.</w:t>
      </w:r>
    </w:p>
    <w:p w:rsidR="00FF439C" w:rsidRDefault="00494061">
      <w:pPr>
        <w:pBdr>
          <w:top w:val="nil"/>
          <w:left w:val="nil"/>
          <w:bottom w:val="nil"/>
          <w:right w:val="nil"/>
          <w:between w:val="nil"/>
        </w:pBdr>
        <w:spacing w:after="240"/>
        <w:ind w:left="720" w:hanging="720"/>
        <w:rPr>
          <w:color w:val="000000"/>
        </w:rPr>
      </w:pPr>
      <w:r>
        <w:rPr>
          <w:color w:val="000000"/>
        </w:rPr>
        <w:t xml:space="preserve">Dixit P.D., Pang T.Y., </w:t>
      </w:r>
      <w:proofErr w:type="spellStart"/>
      <w:r>
        <w:rPr>
          <w:color w:val="000000"/>
        </w:rPr>
        <w:t>Maslov</w:t>
      </w:r>
      <w:proofErr w:type="spellEnd"/>
      <w:r>
        <w:rPr>
          <w:color w:val="000000"/>
        </w:rPr>
        <w:t xml:space="preserve"> S. 2017. </w:t>
      </w:r>
      <w:proofErr w:type="gramStart"/>
      <w:r>
        <w:rPr>
          <w:color w:val="000000"/>
        </w:rPr>
        <w:t>Recombination-Driven Genome Evolution and Stability of Bacterial Species.</w:t>
      </w:r>
      <w:proofErr w:type="gramEnd"/>
      <w:r>
        <w:rPr>
          <w:color w:val="000000"/>
        </w:rPr>
        <w:t xml:space="preserve"> </w:t>
      </w:r>
      <w:proofErr w:type="gramStart"/>
      <w:r>
        <w:rPr>
          <w:color w:val="000000"/>
        </w:rPr>
        <w:t>Genetics.:genetics.300061.2017</w:t>
      </w:r>
      <w:proofErr w:type="gramEnd"/>
      <w:r>
        <w:rPr>
          <w:color w:val="000000"/>
        </w:rPr>
        <w:t>.</w:t>
      </w:r>
    </w:p>
    <w:p w:rsidR="00FF439C" w:rsidRDefault="00494061">
      <w:pPr>
        <w:pBdr>
          <w:top w:val="nil"/>
          <w:left w:val="nil"/>
          <w:bottom w:val="nil"/>
          <w:right w:val="nil"/>
          <w:between w:val="nil"/>
        </w:pBdr>
        <w:spacing w:after="240"/>
        <w:ind w:left="720" w:hanging="720"/>
        <w:rPr>
          <w:color w:val="000000"/>
        </w:rPr>
      </w:pPr>
      <w:r>
        <w:rPr>
          <w:color w:val="000000"/>
        </w:rPr>
        <w:t xml:space="preserve">Dixit P.D., Pang T.Y., Studier F.W., </w:t>
      </w:r>
      <w:proofErr w:type="spellStart"/>
      <w:r>
        <w:rPr>
          <w:color w:val="000000"/>
        </w:rPr>
        <w:t>Maslov</w:t>
      </w:r>
      <w:proofErr w:type="spellEnd"/>
      <w:r>
        <w:rPr>
          <w:color w:val="000000"/>
        </w:rPr>
        <w:t xml:space="preserve"> S. 2015. </w:t>
      </w:r>
      <w:proofErr w:type="gramStart"/>
      <w:r>
        <w:rPr>
          <w:color w:val="000000"/>
        </w:rPr>
        <w:t>Recombinant transf</w:t>
      </w:r>
      <w:r>
        <w:rPr>
          <w:color w:val="000000"/>
        </w:rPr>
        <w:t>er in the basic genome of Escherichia coli.</w:t>
      </w:r>
      <w:proofErr w:type="gramEnd"/>
      <w:r>
        <w:rPr>
          <w:color w:val="000000"/>
        </w:rPr>
        <w:t xml:space="preserve"> Proc. Natl. Acad. Sci. U. S. A. 112:9070–9075.</w:t>
      </w:r>
    </w:p>
    <w:p w:rsidR="00FF439C" w:rsidRDefault="00494061">
      <w:pPr>
        <w:pBdr>
          <w:top w:val="nil"/>
          <w:left w:val="nil"/>
          <w:bottom w:val="nil"/>
          <w:right w:val="nil"/>
          <w:between w:val="nil"/>
        </w:pBdr>
        <w:spacing w:after="240"/>
        <w:ind w:left="720" w:hanging="720"/>
        <w:rPr>
          <w:color w:val="000000"/>
        </w:rPr>
      </w:pPr>
      <w:r w:rsidRPr="00CC77B0">
        <w:rPr>
          <w:color w:val="000000"/>
          <w:lang w:val="de-DE"/>
        </w:rPr>
        <w:t xml:space="preserve">Fraser C., </w:t>
      </w:r>
      <w:proofErr w:type="spellStart"/>
      <w:r w:rsidRPr="00CC77B0">
        <w:rPr>
          <w:color w:val="000000"/>
          <w:lang w:val="de-DE"/>
        </w:rPr>
        <w:t>Hanage</w:t>
      </w:r>
      <w:proofErr w:type="spellEnd"/>
      <w:r w:rsidRPr="00CC77B0">
        <w:rPr>
          <w:color w:val="000000"/>
          <w:lang w:val="de-DE"/>
        </w:rPr>
        <w:t xml:space="preserve"> W.P., </w:t>
      </w:r>
      <w:proofErr w:type="spellStart"/>
      <w:r w:rsidRPr="00CC77B0">
        <w:rPr>
          <w:color w:val="000000"/>
          <w:lang w:val="de-DE"/>
        </w:rPr>
        <w:t>Spratt</w:t>
      </w:r>
      <w:proofErr w:type="spellEnd"/>
      <w:r w:rsidRPr="00CC77B0">
        <w:rPr>
          <w:color w:val="000000"/>
          <w:lang w:val="de-DE"/>
        </w:rPr>
        <w:t xml:space="preserve"> B.G. 2007. </w:t>
      </w:r>
      <w:proofErr w:type="gramStart"/>
      <w:r>
        <w:rPr>
          <w:color w:val="000000"/>
        </w:rPr>
        <w:t>Recombination and the nature of bacterial speciation.</w:t>
      </w:r>
      <w:proofErr w:type="gramEnd"/>
      <w:r>
        <w:rPr>
          <w:color w:val="000000"/>
        </w:rPr>
        <w:t xml:space="preserve"> </w:t>
      </w:r>
      <w:proofErr w:type="gramStart"/>
      <w:r>
        <w:rPr>
          <w:color w:val="000000"/>
        </w:rPr>
        <w:t>Science.</w:t>
      </w:r>
      <w:proofErr w:type="gramEnd"/>
      <w:r>
        <w:rPr>
          <w:color w:val="000000"/>
        </w:rPr>
        <w:t xml:space="preserve"> 315:476–480.</w:t>
      </w:r>
    </w:p>
    <w:p w:rsidR="00FF439C" w:rsidRDefault="00494061">
      <w:pPr>
        <w:pBdr>
          <w:top w:val="nil"/>
          <w:left w:val="nil"/>
          <w:bottom w:val="nil"/>
          <w:right w:val="nil"/>
          <w:between w:val="nil"/>
        </w:pBdr>
        <w:spacing w:after="240"/>
        <w:ind w:left="720" w:hanging="720"/>
        <w:rPr>
          <w:color w:val="000000"/>
        </w:rPr>
      </w:pPr>
      <w:proofErr w:type="spellStart"/>
      <w:r>
        <w:rPr>
          <w:color w:val="000000"/>
        </w:rPr>
        <w:t>Katoh</w:t>
      </w:r>
      <w:proofErr w:type="spellEnd"/>
      <w:r>
        <w:rPr>
          <w:color w:val="000000"/>
        </w:rPr>
        <w:t xml:space="preserve"> K., </w:t>
      </w:r>
      <w:proofErr w:type="spellStart"/>
      <w:r>
        <w:rPr>
          <w:color w:val="000000"/>
        </w:rPr>
        <w:t>Standley</w:t>
      </w:r>
      <w:proofErr w:type="spellEnd"/>
      <w:r>
        <w:rPr>
          <w:color w:val="000000"/>
        </w:rPr>
        <w:t xml:space="preserve"> D.M. 2013. MAFFT multiple sequence alignment software </w:t>
      </w:r>
      <w:proofErr w:type="gramStart"/>
      <w:r>
        <w:rPr>
          <w:color w:val="000000"/>
        </w:rPr>
        <w:t>version</w:t>
      </w:r>
      <w:proofErr w:type="gramEnd"/>
      <w:r>
        <w:rPr>
          <w:color w:val="000000"/>
        </w:rPr>
        <w:t xml:space="preserve"> 7: improvements in performance and usability. Mol. Biol. </w:t>
      </w:r>
      <w:proofErr w:type="spellStart"/>
      <w:r>
        <w:rPr>
          <w:color w:val="000000"/>
        </w:rPr>
        <w:t>Evol</w:t>
      </w:r>
      <w:proofErr w:type="spellEnd"/>
      <w:r>
        <w:rPr>
          <w:color w:val="000000"/>
        </w:rPr>
        <w:t>. 30:772–780.</w:t>
      </w:r>
    </w:p>
    <w:p w:rsidR="00FF439C" w:rsidRPr="00CC77B0" w:rsidRDefault="00494061">
      <w:pPr>
        <w:pBdr>
          <w:top w:val="nil"/>
          <w:left w:val="nil"/>
          <w:bottom w:val="nil"/>
          <w:right w:val="nil"/>
          <w:between w:val="nil"/>
        </w:pBdr>
        <w:spacing w:after="240"/>
        <w:ind w:left="720" w:hanging="720"/>
        <w:rPr>
          <w:color w:val="000000"/>
          <w:lang w:val="de-DE"/>
        </w:rPr>
      </w:pPr>
      <w:proofErr w:type="spellStart"/>
      <w:r>
        <w:rPr>
          <w:color w:val="000000"/>
        </w:rPr>
        <w:t>Kuhner</w:t>
      </w:r>
      <w:proofErr w:type="spellEnd"/>
      <w:r>
        <w:rPr>
          <w:color w:val="000000"/>
        </w:rPr>
        <w:t xml:space="preserve"> M.K., </w:t>
      </w:r>
      <w:proofErr w:type="spellStart"/>
      <w:r>
        <w:rPr>
          <w:color w:val="000000"/>
        </w:rPr>
        <w:t>Felsenstein</w:t>
      </w:r>
      <w:proofErr w:type="spellEnd"/>
      <w:r>
        <w:rPr>
          <w:color w:val="000000"/>
        </w:rPr>
        <w:t xml:space="preserve"> J. 1994. </w:t>
      </w:r>
      <w:proofErr w:type="gramStart"/>
      <w:r>
        <w:rPr>
          <w:color w:val="000000"/>
        </w:rPr>
        <w:t>A simulation comparison of phylogeny algorithms under equal and un</w:t>
      </w:r>
      <w:r>
        <w:rPr>
          <w:color w:val="000000"/>
        </w:rPr>
        <w:t>equal evolutionary rates.</w:t>
      </w:r>
      <w:proofErr w:type="gramEnd"/>
      <w:r>
        <w:rPr>
          <w:color w:val="000000"/>
        </w:rPr>
        <w:t xml:space="preserve"> </w:t>
      </w:r>
      <w:r w:rsidRPr="00CC77B0">
        <w:rPr>
          <w:color w:val="000000"/>
          <w:lang w:val="de-DE"/>
        </w:rPr>
        <w:t xml:space="preserve">Mol. </w:t>
      </w:r>
      <w:proofErr w:type="spellStart"/>
      <w:r w:rsidRPr="00CC77B0">
        <w:rPr>
          <w:color w:val="000000"/>
          <w:lang w:val="de-DE"/>
        </w:rPr>
        <w:t>Biol</w:t>
      </w:r>
      <w:proofErr w:type="spellEnd"/>
      <w:r w:rsidRPr="00CC77B0">
        <w:rPr>
          <w:color w:val="000000"/>
          <w:lang w:val="de-DE"/>
        </w:rPr>
        <w:t xml:space="preserve">. </w:t>
      </w:r>
      <w:proofErr w:type="spellStart"/>
      <w:r w:rsidRPr="00CC77B0">
        <w:rPr>
          <w:color w:val="000000"/>
          <w:lang w:val="de-DE"/>
        </w:rPr>
        <w:t>Evol</w:t>
      </w:r>
      <w:proofErr w:type="spellEnd"/>
      <w:r w:rsidRPr="00CC77B0">
        <w:rPr>
          <w:color w:val="000000"/>
          <w:lang w:val="de-DE"/>
        </w:rPr>
        <w:t>. 11:459–468.</w:t>
      </w:r>
    </w:p>
    <w:p w:rsidR="00FF439C" w:rsidRDefault="00494061">
      <w:pPr>
        <w:pBdr>
          <w:top w:val="nil"/>
          <w:left w:val="nil"/>
          <w:bottom w:val="nil"/>
          <w:right w:val="nil"/>
          <w:between w:val="nil"/>
        </w:pBdr>
        <w:spacing w:after="240"/>
        <w:ind w:left="720" w:hanging="720"/>
        <w:rPr>
          <w:color w:val="000000"/>
        </w:rPr>
      </w:pPr>
      <w:r w:rsidRPr="00CC77B0">
        <w:rPr>
          <w:color w:val="000000"/>
          <w:lang w:val="de-DE"/>
        </w:rPr>
        <w:t xml:space="preserve">Lechner M., </w:t>
      </w:r>
      <w:proofErr w:type="spellStart"/>
      <w:r w:rsidRPr="00CC77B0">
        <w:rPr>
          <w:color w:val="000000"/>
          <w:lang w:val="de-DE"/>
        </w:rPr>
        <w:t>Findeiß</w:t>
      </w:r>
      <w:proofErr w:type="spellEnd"/>
      <w:r w:rsidRPr="00CC77B0">
        <w:rPr>
          <w:color w:val="000000"/>
          <w:lang w:val="de-DE"/>
        </w:rPr>
        <w:t xml:space="preserve"> S., Steiner L., Marz M., Stadler P.F., Prohaska S.J. 2011. </w:t>
      </w:r>
      <w:r>
        <w:rPr>
          <w:color w:val="000000"/>
        </w:rPr>
        <w:t>Proteinortho: Detection of (Co-</w:t>
      </w:r>
      <w:proofErr w:type="gramStart"/>
      <w:r>
        <w:rPr>
          <w:color w:val="000000"/>
        </w:rPr>
        <w:t>)</w:t>
      </w:r>
      <w:proofErr w:type="spellStart"/>
      <w:r>
        <w:rPr>
          <w:color w:val="000000"/>
        </w:rPr>
        <w:t>orthologs</w:t>
      </w:r>
      <w:proofErr w:type="spellEnd"/>
      <w:proofErr w:type="gramEnd"/>
      <w:r>
        <w:rPr>
          <w:color w:val="000000"/>
        </w:rPr>
        <w:t xml:space="preserve"> in large-scale analysis. </w:t>
      </w:r>
      <w:proofErr w:type="gramStart"/>
      <w:r>
        <w:rPr>
          <w:color w:val="000000"/>
        </w:rPr>
        <w:t>BMC Bioinformatics.</w:t>
      </w:r>
      <w:proofErr w:type="gramEnd"/>
      <w:r>
        <w:rPr>
          <w:color w:val="000000"/>
        </w:rPr>
        <w:t xml:space="preserve"> 12:1–9.</w:t>
      </w:r>
    </w:p>
    <w:p w:rsidR="00FF439C" w:rsidRDefault="00494061">
      <w:pPr>
        <w:pBdr>
          <w:top w:val="nil"/>
          <w:left w:val="nil"/>
          <w:bottom w:val="nil"/>
          <w:right w:val="nil"/>
          <w:between w:val="nil"/>
        </w:pBdr>
        <w:spacing w:after="240"/>
        <w:ind w:left="720" w:hanging="720"/>
        <w:rPr>
          <w:color w:val="000000"/>
        </w:rPr>
      </w:pPr>
      <w:r>
        <w:rPr>
          <w:color w:val="000000"/>
        </w:rPr>
        <w:t xml:space="preserve">Robinson D.F., </w:t>
      </w:r>
      <w:proofErr w:type="spellStart"/>
      <w:r>
        <w:rPr>
          <w:color w:val="000000"/>
        </w:rPr>
        <w:t>Foulds</w:t>
      </w:r>
      <w:proofErr w:type="spellEnd"/>
      <w:r>
        <w:rPr>
          <w:color w:val="000000"/>
        </w:rPr>
        <w:t xml:space="preserve"> L.R. </w:t>
      </w:r>
      <w:r>
        <w:rPr>
          <w:color w:val="000000"/>
        </w:rPr>
        <w:t xml:space="preserve">1981. </w:t>
      </w:r>
      <w:proofErr w:type="gramStart"/>
      <w:r>
        <w:rPr>
          <w:color w:val="000000"/>
        </w:rPr>
        <w:t>Comparison of phylogenetic trees.</w:t>
      </w:r>
      <w:proofErr w:type="gramEnd"/>
      <w:r>
        <w:rPr>
          <w:color w:val="000000"/>
        </w:rPr>
        <w:t xml:space="preserve"> </w:t>
      </w:r>
      <w:proofErr w:type="gramStart"/>
      <w:r>
        <w:rPr>
          <w:color w:val="000000"/>
        </w:rPr>
        <w:t>Math.</w:t>
      </w:r>
      <w:proofErr w:type="gramEnd"/>
      <w:r>
        <w:rPr>
          <w:color w:val="000000"/>
        </w:rPr>
        <w:t xml:space="preserve"> </w:t>
      </w:r>
      <w:proofErr w:type="spellStart"/>
      <w:proofErr w:type="gramStart"/>
      <w:r>
        <w:rPr>
          <w:color w:val="000000"/>
        </w:rPr>
        <w:t>Biosci</w:t>
      </w:r>
      <w:proofErr w:type="spellEnd"/>
      <w:r>
        <w:rPr>
          <w:color w:val="000000"/>
        </w:rPr>
        <w:t>.</w:t>
      </w:r>
      <w:proofErr w:type="gramEnd"/>
      <w:r>
        <w:rPr>
          <w:color w:val="000000"/>
        </w:rPr>
        <w:t xml:space="preserve"> 53:131–147.</w:t>
      </w:r>
    </w:p>
    <w:p w:rsidR="00FF439C" w:rsidRDefault="00494061">
      <w:pPr>
        <w:pBdr>
          <w:top w:val="nil"/>
          <w:left w:val="nil"/>
          <w:bottom w:val="nil"/>
          <w:right w:val="nil"/>
          <w:between w:val="nil"/>
        </w:pBdr>
        <w:spacing w:after="240"/>
        <w:ind w:left="720" w:hanging="720"/>
        <w:rPr>
          <w:color w:val="000000"/>
        </w:rPr>
      </w:pPr>
      <w:proofErr w:type="spellStart"/>
      <w:r>
        <w:rPr>
          <w:color w:val="000000"/>
        </w:rPr>
        <w:t>Stamatakis</w:t>
      </w:r>
      <w:proofErr w:type="spellEnd"/>
      <w:r>
        <w:rPr>
          <w:color w:val="000000"/>
        </w:rPr>
        <w:t xml:space="preserve"> A. 2014. RAxML Version 8: A tool for Phylogenetic Analysis and Post-Analysis of Large Phylogenies. </w:t>
      </w:r>
      <w:proofErr w:type="gramStart"/>
      <w:r>
        <w:rPr>
          <w:color w:val="000000"/>
        </w:rPr>
        <w:t>Bioinformatics.:btu033</w:t>
      </w:r>
      <w:proofErr w:type="gramEnd"/>
      <w:r>
        <w:rPr>
          <w:color w:val="000000"/>
        </w:rPr>
        <w:t>.</w:t>
      </w:r>
    </w:p>
    <w:p w:rsidR="00FF439C" w:rsidRDefault="00FF439C">
      <w:pPr>
        <w:ind w:firstLine="0"/>
      </w:pPr>
    </w:p>
    <w:p w:rsidR="00FF439C" w:rsidRDefault="00FF439C"/>
    <w:sectPr w:rsidR="00FF439C">
      <w:footerReference w:type="default" r:id="rId15"/>
      <w:footerReference w:type="first" r:id="rId16"/>
      <w:pgSz w:w="11909" w:h="16834"/>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061" w:rsidRDefault="00494061">
      <w:pPr>
        <w:spacing w:line="240" w:lineRule="auto"/>
      </w:pPr>
      <w:r>
        <w:separator/>
      </w:r>
    </w:p>
  </w:endnote>
  <w:endnote w:type="continuationSeparator" w:id="0">
    <w:p w:rsidR="00494061" w:rsidRDefault="004940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9C" w:rsidRDefault="00494061">
    <w:pPr>
      <w:jc w:val="right"/>
    </w:pPr>
    <w:r>
      <w:rPr>
        <w:b/>
        <w:sz w:val="28"/>
        <w:szCs w:val="28"/>
      </w:rPr>
      <w:fldChar w:fldCharType="begin"/>
    </w:r>
    <w:r>
      <w:rPr>
        <w:b/>
        <w:sz w:val="28"/>
        <w:szCs w:val="28"/>
      </w:rPr>
      <w:instrText>PAGE</w:instrText>
    </w:r>
    <w:r w:rsidR="00CC77B0">
      <w:rPr>
        <w:b/>
        <w:sz w:val="28"/>
        <w:szCs w:val="28"/>
      </w:rPr>
      <w:fldChar w:fldCharType="separate"/>
    </w:r>
    <w:r w:rsidR="00283FBA">
      <w:rPr>
        <w:b/>
        <w:noProof/>
        <w:sz w:val="28"/>
        <w:szCs w:val="28"/>
      </w:rPr>
      <w:t>6</w:t>
    </w:r>
    <w:r>
      <w:rPr>
        <w:b/>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39C" w:rsidRDefault="00494061">
    <w:pPr>
      <w:jc w:val="right"/>
    </w:pPr>
    <w:r>
      <w:fldChar w:fldCharType="begin"/>
    </w:r>
    <w:r>
      <w:instrText>PAGE</w:instrText>
    </w:r>
    <w:r w:rsidR="00CC77B0">
      <w:fldChar w:fldCharType="separate"/>
    </w:r>
    <w:r w:rsidR="00283FBA">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061" w:rsidRDefault="00494061">
      <w:pPr>
        <w:spacing w:line="240" w:lineRule="auto"/>
      </w:pPr>
      <w:r>
        <w:separator/>
      </w:r>
    </w:p>
  </w:footnote>
  <w:footnote w:type="continuationSeparator" w:id="0">
    <w:p w:rsidR="00494061" w:rsidRDefault="0049406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42DF3"/>
    <w:multiLevelType w:val="multilevel"/>
    <w:tmpl w:val="E67850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340E3C62"/>
    <w:multiLevelType w:val="multilevel"/>
    <w:tmpl w:val="630AE7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62B04862"/>
    <w:multiLevelType w:val="multilevel"/>
    <w:tmpl w:val="205CCE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FF439C"/>
    <w:rsid w:val="00283FBA"/>
    <w:rsid w:val="00450F21"/>
    <w:rsid w:val="00494061"/>
    <w:rsid w:val="00BD7E9F"/>
    <w:rsid w:val="00CC77B0"/>
    <w:rsid w:val="00FF439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de-DE" w:bidi="ar-SA"/>
      </w:rPr>
    </w:rPrDefault>
    <w:pPrDefault>
      <w:pPr>
        <w:spacing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style>
  <w:style w:type="paragraph" w:styleId="berschrift1">
    <w:name w:val="heading 1"/>
    <w:basedOn w:val="Standard"/>
    <w:next w:val="Standard"/>
    <w:pPr>
      <w:keepNext/>
      <w:keepLines/>
      <w:spacing w:before="400" w:after="200"/>
      <w:ind w:firstLine="0"/>
      <w:outlineLvl w:val="0"/>
    </w:pPr>
    <w:rPr>
      <w:b/>
      <w:sz w:val="28"/>
      <w:szCs w:val="28"/>
    </w:rPr>
  </w:style>
  <w:style w:type="paragraph" w:styleId="berschrift2">
    <w:name w:val="heading 2"/>
    <w:basedOn w:val="Standard"/>
    <w:next w:val="Standard"/>
    <w:pPr>
      <w:keepNext/>
      <w:keepLines/>
      <w:spacing w:before="360"/>
      <w:ind w:firstLine="0"/>
      <w:outlineLvl w:val="1"/>
    </w:pPr>
    <w:rPr>
      <w:b/>
      <w:sz w:val="24"/>
      <w:szCs w:val="24"/>
    </w:rPr>
  </w:style>
  <w:style w:type="paragraph" w:styleId="berschrift3">
    <w:name w:val="heading 3"/>
    <w:basedOn w:val="Standard"/>
    <w:next w:val="Standard"/>
    <w:pPr>
      <w:keepNext/>
      <w:keepLines/>
      <w:spacing w:before="200"/>
      <w:ind w:firstLine="0"/>
      <w:outlineLvl w:val="2"/>
    </w:pPr>
    <w:rPr>
      <w:color w:val="434343"/>
    </w:rPr>
  </w:style>
  <w:style w:type="paragraph" w:styleId="berschrift4">
    <w:name w:val="heading 4"/>
    <w:basedOn w:val="Standard"/>
    <w:next w:val="Standard"/>
    <w:pPr>
      <w:keepNext/>
      <w:keepLines/>
      <w:spacing w:before="280" w:after="80"/>
      <w:outlineLvl w:val="3"/>
    </w:pPr>
    <w:rPr>
      <w:color w:val="666666"/>
      <w:sz w:val="24"/>
      <w:szCs w:val="24"/>
    </w:rPr>
  </w:style>
  <w:style w:type="paragraph" w:styleId="berschrift5">
    <w:name w:val="heading 5"/>
    <w:basedOn w:val="Standard"/>
    <w:next w:val="Standard"/>
    <w:pPr>
      <w:keepNext/>
      <w:keepLines/>
      <w:spacing w:before="240" w:after="80"/>
      <w:outlineLvl w:val="4"/>
    </w:pPr>
    <w:rPr>
      <w:color w:val="666666"/>
    </w:rPr>
  </w:style>
  <w:style w:type="paragraph" w:styleId="berschrift6">
    <w:name w:val="heading 6"/>
    <w:basedOn w:val="Standard"/>
    <w:next w:val="Standard"/>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Untertitel">
    <w:name w:val="Subtitle"/>
    <w:basedOn w:val="Standard"/>
    <w:next w:val="Standard"/>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paragraph" w:styleId="Sprechblasentext">
    <w:name w:val="Balloon Text"/>
    <w:basedOn w:val="Standard"/>
    <w:link w:val="SprechblasentextZchn"/>
    <w:uiPriority w:val="99"/>
    <w:semiHidden/>
    <w:unhideWhenUsed/>
    <w:rsid w:val="00155733"/>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55733"/>
    <w:rPr>
      <w:rFonts w:ascii="Tahoma" w:hAnsi="Tahoma" w:cs="Tahoma"/>
      <w:sz w:val="16"/>
      <w:szCs w:val="16"/>
    </w:rPr>
  </w:style>
  <w:style w:type="paragraph" w:styleId="Literaturverzeichnis">
    <w:name w:val="Bibliography"/>
    <w:basedOn w:val="Standard"/>
    <w:next w:val="Standard"/>
    <w:uiPriority w:val="37"/>
    <w:unhideWhenUsed/>
    <w:rsid w:val="00D973D7"/>
    <w:pPr>
      <w:spacing w:after="240" w:line="240" w:lineRule="auto"/>
      <w:ind w:left="720" w:hanging="720"/>
    </w:p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de-DE" w:bidi="ar-SA"/>
      </w:rPr>
    </w:rPrDefault>
    <w:pPrDefault>
      <w:pPr>
        <w:spacing w:line="276"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style>
  <w:style w:type="paragraph" w:styleId="berschrift1">
    <w:name w:val="heading 1"/>
    <w:basedOn w:val="Standard"/>
    <w:next w:val="Standard"/>
    <w:pPr>
      <w:keepNext/>
      <w:keepLines/>
      <w:spacing w:before="400" w:after="200"/>
      <w:ind w:firstLine="0"/>
      <w:outlineLvl w:val="0"/>
    </w:pPr>
    <w:rPr>
      <w:b/>
      <w:sz w:val="28"/>
      <w:szCs w:val="28"/>
    </w:rPr>
  </w:style>
  <w:style w:type="paragraph" w:styleId="berschrift2">
    <w:name w:val="heading 2"/>
    <w:basedOn w:val="Standard"/>
    <w:next w:val="Standard"/>
    <w:pPr>
      <w:keepNext/>
      <w:keepLines/>
      <w:spacing w:before="360"/>
      <w:ind w:firstLine="0"/>
      <w:outlineLvl w:val="1"/>
    </w:pPr>
    <w:rPr>
      <w:b/>
      <w:sz w:val="24"/>
      <w:szCs w:val="24"/>
    </w:rPr>
  </w:style>
  <w:style w:type="paragraph" w:styleId="berschrift3">
    <w:name w:val="heading 3"/>
    <w:basedOn w:val="Standard"/>
    <w:next w:val="Standard"/>
    <w:pPr>
      <w:keepNext/>
      <w:keepLines/>
      <w:spacing w:before="200"/>
      <w:ind w:firstLine="0"/>
      <w:outlineLvl w:val="2"/>
    </w:pPr>
    <w:rPr>
      <w:color w:val="434343"/>
    </w:rPr>
  </w:style>
  <w:style w:type="paragraph" w:styleId="berschrift4">
    <w:name w:val="heading 4"/>
    <w:basedOn w:val="Standard"/>
    <w:next w:val="Standard"/>
    <w:pPr>
      <w:keepNext/>
      <w:keepLines/>
      <w:spacing w:before="280" w:after="80"/>
      <w:outlineLvl w:val="3"/>
    </w:pPr>
    <w:rPr>
      <w:color w:val="666666"/>
      <w:sz w:val="24"/>
      <w:szCs w:val="24"/>
    </w:rPr>
  </w:style>
  <w:style w:type="paragraph" w:styleId="berschrift5">
    <w:name w:val="heading 5"/>
    <w:basedOn w:val="Standard"/>
    <w:next w:val="Standard"/>
    <w:pPr>
      <w:keepNext/>
      <w:keepLines/>
      <w:spacing w:before="240" w:after="80"/>
      <w:outlineLvl w:val="4"/>
    </w:pPr>
    <w:rPr>
      <w:color w:val="666666"/>
    </w:rPr>
  </w:style>
  <w:style w:type="paragraph" w:styleId="berschrift6">
    <w:name w:val="heading 6"/>
    <w:basedOn w:val="Standard"/>
    <w:next w:val="Standard"/>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Untertitel">
    <w:name w:val="Subtitle"/>
    <w:basedOn w:val="Standard"/>
    <w:next w:val="Standard"/>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paragraph" w:styleId="Sprechblasentext">
    <w:name w:val="Balloon Text"/>
    <w:basedOn w:val="Standard"/>
    <w:link w:val="SprechblasentextZchn"/>
    <w:uiPriority w:val="99"/>
    <w:semiHidden/>
    <w:unhideWhenUsed/>
    <w:rsid w:val="00155733"/>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55733"/>
    <w:rPr>
      <w:rFonts w:ascii="Tahoma" w:hAnsi="Tahoma" w:cs="Tahoma"/>
      <w:sz w:val="16"/>
      <w:szCs w:val="16"/>
    </w:rPr>
  </w:style>
  <w:style w:type="paragraph" w:styleId="Literaturverzeichnis">
    <w:name w:val="Bibliography"/>
    <w:basedOn w:val="Standard"/>
    <w:next w:val="Standard"/>
    <w:uiPriority w:val="37"/>
    <w:unhideWhenUsed/>
    <w:rsid w:val="00D973D7"/>
    <w:pPr>
      <w:spacing w:after="240" w:line="240" w:lineRule="auto"/>
      <w:ind w:left="720" w:hanging="720"/>
    </w:p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f0A66VIM/QMPjXyf4f8I3OHlw==">AMUW2mXfr5D69EQARVvQzXQVWxrQ/69KpzPGOMQPuGhloEScyXHsiO9J+FbYUtFKSdRoqYnDiUdupY6PvmjsYMBgcn192ucQRngkRHCJDQkFz4MMPmSv8a9uuiAJHjfw3TIPe+62CoG+/NXrHTtpqdcZ+urBz+VjDmcJMvwlkS6FsI2F/yJpfA1WnBc9JbeQnBIjqetLL7nYHNJMJ7gQZNLgstI3i/tXcJEp9mt4xrAJeh0D3+vyW21UyxIAAg6gk40E1pAH4fj3ZOUPuupEx+b5tYyoT4xqTi3slF4Xl1IOtrPM1SthYKK+8/dMS2KYRZIqpgIORC84mJQqk24Okmw0UBzP/ehe/s4svN7hK8yqP0po00iOIoIErNC22Lk0Pt7+Mx/zIjtaDVZaACmaYSGoGkCtzIeBkMLzYt3L2XZa7G/dVNVx4IELxdYYjlbYsVYpYu531/EP/y/69Mb4MSjwKQAxYNd2WYrkcWJxexI434ePrJEg3k+W6IeRAU2UmflB7SRkumr96oOeY556B8yXGPmtE2x5WoulW5WRG8p3XP1lrQqZFau1GMzMMTeZ7VtVuQIW2lHFMmd/djSwPFZaslEsMaxEdE7Ur5pA8YNf2lN6bB4FYAjkaKy+l27XH14BF+Bt7mYC7NS3c9tZoQK1GPHSd6CyjiqE+3fZ2VKobXJ0kDu56uX5zOnPzNJ9Yah7Js9YpgXaf5zmE7iHboO68qY/SuFUWHHvIRUvKw5m/oO4l6s5pNrWk5UMHlRh/diz832K1ZS+Uz89cx+jBvnUAox32aLTCV2vjn7Zc393KCLlNn7Gtrvz8Ln2ZcK+3CDgzAYYnyer4emXVewWe29R/hHmqokmHX4hVpchYuFdwTf65IJbyApSal89wwVgaHBxhY7l482kIi7Q2PN/QAao3jnpQ6ai2cPoMFzKq/l9A9rYqBXwhP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3564</Words>
  <Characters>22455</Characters>
  <Application>Microsoft Office Word</Application>
  <DocSecurity>0</DocSecurity>
  <Lines>187</Lines>
  <Paragraphs>51</Paragraphs>
  <ScaleCrop>false</ScaleCrop>
  <Company/>
  <LinksUpToDate>false</LinksUpToDate>
  <CharactersWithSpaces>25968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bioinformatik</cp:lastModifiedBy>
  <cp:revision>5</cp:revision>
  <dcterms:created xsi:type="dcterms:W3CDTF">2017-12-04T18:00:00Z</dcterms:created>
  <dcterms:modified xsi:type="dcterms:W3CDTF">2020-03-15T15:47:00Z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zotero-version="4.0.29.17"&gt;&lt;session id="h1MtZ72y"/&gt;&lt;style id="http://www.zotero.org/styles/systematic-biology" hasBibliography="1" bibliographyStyleHasBeenSet="1"/&gt;&lt;prefs&gt;&lt;pref name="fieldType" value="Field"/&gt;&lt;pref name="storeRefere</vt:lpwstr>
  </property>
  <property fmtid="{D5CDD505-2E9C-101B-9397-08002B2CF9AE}" pid="3" name="ZOTERO_PREF_2">
    <vt:lpwstr>nces" value="true"/&gt;&lt;pref name="automaticJournalAbbreviations" value="true"/&gt;&lt;pref name="noteType" value=""/&gt;&lt;/prefs&gt;&lt;/data&gt;</vt:lpwstr>
  </property>
</Properties>
</file>