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DAA0F" w14:textId="35D66261" w:rsidR="00427E39" w:rsidRPr="00C51946" w:rsidRDefault="004F7C0B" w:rsidP="004F7C0B">
      <w:pPr>
        <w:pStyle w:val="Heading1"/>
        <w:rPr>
          <w:rFonts w:asciiTheme="minorHAnsi" w:hAnsiTheme="minorHAnsi"/>
        </w:rPr>
      </w:pPr>
      <w:bookmarkStart w:id="0" w:name="_Toc182840487"/>
      <w:r w:rsidRPr="00C51946">
        <w:rPr>
          <w:rFonts w:asciiTheme="minorHAnsi" w:hAnsiTheme="minorHAnsi"/>
        </w:rPr>
        <w:t xml:space="preserve">Supplementary </w:t>
      </w:r>
      <w:r w:rsidR="00115FD3">
        <w:rPr>
          <w:rFonts w:asciiTheme="minorHAnsi" w:hAnsiTheme="minorHAnsi"/>
        </w:rPr>
        <w:t>note</w:t>
      </w:r>
      <w:bookmarkEnd w:id="0"/>
    </w:p>
    <w:p w14:paraId="7090754F" w14:textId="77777777" w:rsidR="00227A7E" w:rsidRDefault="00227A7E" w:rsidP="00402F69">
      <w:pPr>
        <w:pStyle w:val="TOCHeading"/>
      </w:pPr>
    </w:p>
    <w:p w14:paraId="3E31066C" w14:textId="5F9FFC61" w:rsidR="006C13EF" w:rsidRPr="00F82646" w:rsidRDefault="00F82646" w:rsidP="006C13EF">
      <w:pPr>
        <w:rPr>
          <w:b/>
          <w:bCs/>
        </w:rPr>
      </w:pPr>
      <w:r w:rsidRPr="00516A3B">
        <w:rPr>
          <w:b/>
          <w:bCs/>
        </w:rPr>
        <w:t>School-level administrative data is associated with childhood and young adult mental health: Evidence from a UK longitudinal cohort</w:t>
      </w:r>
      <w:r w:rsidR="006C13EF" w:rsidRPr="006C13EF">
        <w:rPr>
          <w:lang w:eastAsia="en-GB"/>
        </w:rPr>
        <w:t> </w:t>
      </w:r>
    </w:p>
    <w:p w14:paraId="77C1241D" w14:textId="5A6E5EEB" w:rsidR="006C13EF" w:rsidRPr="006C13EF" w:rsidRDefault="006C13EF" w:rsidP="006C13EF">
      <w:pPr>
        <w:rPr>
          <w:lang w:eastAsia="en-GB"/>
        </w:rPr>
        <w:sectPr w:rsidR="006C13EF" w:rsidRPr="006C13E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6C13EF">
        <w:rPr>
          <w:b/>
          <w:bCs/>
          <w:lang w:val="it-IT" w:eastAsia="en-GB"/>
        </w:rPr>
        <w:t>Rebecca Ferdinand, Anna Suarez, Agnieszka Musial, Kathleen Rastle, Andrew McMillan, Margherita Malanchini, Dawn Watling, and Kaili Rimf</w:t>
      </w:r>
      <w:r>
        <w:rPr>
          <w:b/>
          <w:bCs/>
          <w:lang w:val="it-IT" w:eastAsia="en-GB"/>
        </w:rPr>
        <w:t>eld</w:t>
      </w:r>
    </w:p>
    <w:p w14:paraId="64D3B890" w14:textId="299685DB" w:rsidR="00227A7E" w:rsidRPr="00227A7E" w:rsidRDefault="00C51946" w:rsidP="00227A7E">
      <w:pPr>
        <w:pStyle w:val="Heading3"/>
      </w:pPr>
      <w:bookmarkStart w:id="1" w:name="_Toc182840488"/>
      <w:r>
        <w:lastRenderedPageBreak/>
        <w:t xml:space="preserve">Supplementary </w:t>
      </w:r>
      <w:r w:rsidR="00342C0C">
        <w:t>N</w:t>
      </w:r>
      <w:r w:rsidR="001E292C">
        <w:t>ote</w:t>
      </w:r>
      <w:r>
        <w:t>:</w:t>
      </w:r>
      <w:r w:rsidR="00227A7E">
        <w:t xml:space="preserve"> </w:t>
      </w:r>
      <w:r w:rsidR="008041B5">
        <w:t>Data linkage</w:t>
      </w:r>
      <w:bookmarkEnd w:id="1"/>
    </w:p>
    <w:p w14:paraId="14E06BB2" w14:textId="77777777" w:rsidR="00EE0871" w:rsidRPr="006C13EF" w:rsidRDefault="008041B5" w:rsidP="00C94AA3">
      <w:pPr>
        <w:jc w:val="both"/>
        <w:rPr>
          <w:rFonts w:cs="Arial"/>
          <w:sz w:val="22"/>
          <w:szCs w:val="22"/>
        </w:rPr>
      </w:pPr>
      <w:r w:rsidRPr="006C13EF">
        <w:rPr>
          <w:rFonts w:cs="Arial"/>
          <w:sz w:val="22"/>
          <w:szCs w:val="22"/>
        </w:rPr>
        <w:t>We linked mental health data collected on participants in</w:t>
      </w:r>
      <w:r w:rsidR="00664C88" w:rsidRPr="006C13EF">
        <w:rPr>
          <w:rFonts w:cs="Arial"/>
          <w:sz w:val="22"/>
          <w:szCs w:val="22"/>
        </w:rPr>
        <w:t xml:space="preserve"> TEDS (Twins Early Development Study) to school environment data from two sources: the National Pupil Database and Ofsted. </w:t>
      </w:r>
    </w:p>
    <w:p w14:paraId="393B9B6E" w14:textId="7AD1A40D" w:rsidR="00C94AA3" w:rsidRPr="006C13EF" w:rsidRDefault="007532EB" w:rsidP="00C94AA3">
      <w:pPr>
        <w:jc w:val="both"/>
        <w:rPr>
          <w:rFonts w:cs="Arial"/>
          <w:sz w:val="22"/>
          <w:szCs w:val="22"/>
        </w:rPr>
      </w:pPr>
      <w:r w:rsidRPr="006C13EF">
        <w:rPr>
          <w:rFonts w:cs="Arial"/>
          <w:sz w:val="22"/>
          <w:szCs w:val="22"/>
        </w:rPr>
        <w:t>For merging with the National Pupil Database, a</w:t>
      </w:r>
      <w:r w:rsidR="00664C88" w:rsidRPr="006C13EF">
        <w:rPr>
          <w:rFonts w:cs="Arial"/>
          <w:sz w:val="22"/>
          <w:szCs w:val="22"/>
        </w:rPr>
        <w:t xml:space="preserve"> list of</w:t>
      </w:r>
      <w:r w:rsidR="00EE0871" w:rsidRPr="006C13EF">
        <w:rPr>
          <w:rFonts w:cs="Arial"/>
          <w:sz w:val="22"/>
          <w:szCs w:val="22"/>
        </w:rPr>
        <w:t xml:space="preserve"> consenting participants was provided to the Department for Education</w:t>
      </w:r>
      <w:r w:rsidR="009733DE">
        <w:rPr>
          <w:rFonts w:cs="Arial"/>
          <w:sz w:val="22"/>
          <w:szCs w:val="22"/>
        </w:rPr>
        <w:t>,</w:t>
      </w:r>
      <w:r w:rsidR="00EE0871" w:rsidRPr="006C13EF">
        <w:rPr>
          <w:rFonts w:cs="Arial"/>
          <w:sz w:val="22"/>
          <w:szCs w:val="22"/>
        </w:rPr>
        <w:t xml:space="preserve"> </w:t>
      </w:r>
      <w:r w:rsidR="009733DE" w:rsidRPr="006C13EF">
        <w:rPr>
          <w:rFonts w:cs="Arial"/>
          <w:sz w:val="22"/>
          <w:szCs w:val="22"/>
        </w:rPr>
        <w:t>wh</w:t>
      </w:r>
      <w:r w:rsidR="009733DE">
        <w:rPr>
          <w:rFonts w:cs="Arial"/>
          <w:sz w:val="22"/>
          <w:szCs w:val="22"/>
        </w:rPr>
        <w:t xml:space="preserve">ich </w:t>
      </w:r>
      <w:r w:rsidR="00EE0871" w:rsidRPr="006C13EF">
        <w:rPr>
          <w:rFonts w:cs="Arial"/>
          <w:sz w:val="22"/>
          <w:szCs w:val="22"/>
        </w:rPr>
        <w:t>assigned each participant an anonymous matching reference ID and matched them to their corresponding individual absence data and local authority establishment number (LAESTAB)</w:t>
      </w:r>
      <w:r w:rsidR="003F0095" w:rsidRPr="006C13EF">
        <w:rPr>
          <w:rFonts w:cs="Arial"/>
          <w:sz w:val="22"/>
          <w:szCs w:val="22"/>
        </w:rPr>
        <w:t>, which is unique to each school</w:t>
      </w:r>
      <w:r w:rsidR="00EE0871" w:rsidRPr="006C13EF">
        <w:rPr>
          <w:rFonts w:cs="Arial"/>
          <w:sz w:val="22"/>
          <w:szCs w:val="22"/>
        </w:rPr>
        <w:t>.</w:t>
      </w:r>
      <w:r w:rsidR="00342C0C" w:rsidRPr="006C13EF">
        <w:rPr>
          <w:rFonts w:cs="Arial"/>
          <w:sz w:val="22"/>
          <w:szCs w:val="22"/>
        </w:rPr>
        <w:t xml:space="preserve"> Ofsted data from 2005 to 2015 is publicly available. During this period, school inspections took place every 3-6 years. Participants were matched to the closest inspection available to the academic years in which they were 12 and 16</w:t>
      </w:r>
      <w:r w:rsidR="009733DE">
        <w:rPr>
          <w:rFonts w:cs="Arial"/>
          <w:sz w:val="22"/>
          <w:szCs w:val="22"/>
        </w:rPr>
        <w:t>,</w:t>
      </w:r>
      <w:r w:rsidR="00342C0C" w:rsidRPr="006C13EF">
        <w:rPr>
          <w:rFonts w:cs="Arial"/>
          <w:sz w:val="22"/>
          <w:szCs w:val="22"/>
        </w:rPr>
        <w:t xml:space="preserve"> using the LAESTAB as the identifying variable.</w:t>
      </w:r>
    </w:p>
    <w:p w14:paraId="32471D67" w14:textId="6DEFA5EC" w:rsidR="008041B5" w:rsidRPr="006C13EF" w:rsidRDefault="00EE0871" w:rsidP="00C94AA3">
      <w:pPr>
        <w:jc w:val="both"/>
        <w:rPr>
          <w:sz w:val="22"/>
          <w:szCs w:val="22"/>
        </w:rPr>
      </w:pPr>
      <w:r w:rsidRPr="006C13EF">
        <w:rPr>
          <w:sz w:val="22"/>
          <w:szCs w:val="22"/>
        </w:rPr>
        <w:t xml:space="preserve">The TEDS dataset was </w:t>
      </w:r>
      <w:r w:rsidR="00294EAF" w:rsidRPr="006C13EF">
        <w:rPr>
          <w:sz w:val="22"/>
          <w:szCs w:val="22"/>
        </w:rPr>
        <w:t xml:space="preserve">split </w:t>
      </w:r>
      <w:r w:rsidRPr="006C13EF">
        <w:rPr>
          <w:sz w:val="22"/>
          <w:szCs w:val="22"/>
        </w:rPr>
        <w:t xml:space="preserve">into 4 school cohort sets based on the twins’ birth dates: cohort 1 (born between January 1994 </w:t>
      </w:r>
      <w:r w:rsidR="009733DE">
        <w:rPr>
          <w:sz w:val="22"/>
          <w:szCs w:val="22"/>
        </w:rPr>
        <w:t xml:space="preserve">and </w:t>
      </w:r>
      <w:r w:rsidRPr="006C13EF">
        <w:rPr>
          <w:sz w:val="22"/>
          <w:szCs w:val="22"/>
        </w:rPr>
        <w:t>August 1994); cohort 2 (born between September 1994</w:t>
      </w:r>
      <w:r w:rsidR="009733DE">
        <w:rPr>
          <w:sz w:val="22"/>
          <w:szCs w:val="22"/>
        </w:rPr>
        <w:t xml:space="preserve"> and </w:t>
      </w:r>
      <w:r w:rsidRPr="006C13EF">
        <w:rPr>
          <w:sz w:val="22"/>
          <w:szCs w:val="22"/>
        </w:rPr>
        <w:t>August 1995); cohort 3 (born between September 1995</w:t>
      </w:r>
      <w:r w:rsidR="009733DE">
        <w:rPr>
          <w:sz w:val="22"/>
          <w:szCs w:val="22"/>
        </w:rPr>
        <w:t xml:space="preserve"> and </w:t>
      </w:r>
      <w:r w:rsidRPr="006C13EF">
        <w:rPr>
          <w:sz w:val="22"/>
          <w:szCs w:val="22"/>
        </w:rPr>
        <w:t>August 1996), and cohort 4 (born between September 1996</w:t>
      </w:r>
      <w:r w:rsidR="009733DE">
        <w:rPr>
          <w:sz w:val="22"/>
          <w:szCs w:val="22"/>
        </w:rPr>
        <w:t xml:space="preserve"> and </w:t>
      </w:r>
      <w:r w:rsidRPr="006C13EF">
        <w:rPr>
          <w:sz w:val="22"/>
          <w:szCs w:val="22"/>
        </w:rPr>
        <w:t>December 1996).</w:t>
      </w:r>
    </w:p>
    <w:p w14:paraId="30F9E8EE" w14:textId="2D4B56B1" w:rsidR="00EE0871" w:rsidRPr="006C13EF" w:rsidRDefault="003F0095" w:rsidP="00C94AA3">
      <w:pPr>
        <w:jc w:val="both"/>
        <w:rPr>
          <w:sz w:val="22"/>
          <w:szCs w:val="22"/>
        </w:rPr>
      </w:pPr>
      <w:r w:rsidRPr="006C13EF">
        <w:rPr>
          <w:sz w:val="22"/>
          <w:szCs w:val="22"/>
        </w:rPr>
        <w:t>Participants from cohort 1 (N=2,958) were tested at age 12 in academic year 2005-06 and at age 16 in academic year 2009-10. Based on their anonymous matching reference ID and LAESTAB, this cohort was merged with relevant individual</w:t>
      </w:r>
      <w:r w:rsidR="009733DE">
        <w:rPr>
          <w:sz w:val="22"/>
          <w:szCs w:val="22"/>
        </w:rPr>
        <w:t>- l</w:t>
      </w:r>
      <w:r w:rsidRPr="006C13EF">
        <w:rPr>
          <w:sz w:val="22"/>
          <w:szCs w:val="22"/>
        </w:rPr>
        <w:t>evel absence</w:t>
      </w:r>
      <w:r w:rsidR="00E645EC" w:rsidRPr="006C13EF">
        <w:rPr>
          <w:sz w:val="22"/>
          <w:szCs w:val="22"/>
        </w:rPr>
        <w:t>,</w:t>
      </w:r>
      <w:r w:rsidRPr="006C13EF">
        <w:rPr>
          <w:sz w:val="22"/>
          <w:szCs w:val="22"/>
        </w:rPr>
        <w:t xml:space="preserve"> school-level</w:t>
      </w:r>
      <w:r w:rsidR="00E645EC" w:rsidRPr="006C13EF">
        <w:rPr>
          <w:sz w:val="22"/>
          <w:szCs w:val="22"/>
        </w:rPr>
        <w:t>, and Ofsted data</w:t>
      </w:r>
      <w:r w:rsidRPr="006C13EF">
        <w:rPr>
          <w:sz w:val="22"/>
          <w:szCs w:val="22"/>
        </w:rPr>
        <w:t xml:space="preserve"> </w:t>
      </w:r>
      <w:r w:rsidR="00E645EC" w:rsidRPr="006C13EF">
        <w:rPr>
          <w:sz w:val="22"/>
          <w:szCs w:val="22"/>
        </w:rPr>
        <w:t>for</w:t>
      </w:r>
      <w:r w:rsidRPr="006C13EF">
        <w:rPr>
          <w:sz w:val="22"/>
          <w:szCs w:val="22"/>
        </w:rPr>
        <w:t xml:space="preserve"> those academic years.</w:t>
      </w:r>
    </w:p>
    <w:p w14:paraId="590426EB" w14:textId="69993437" w:rsidR="003F0095" w:rsidRPr="006C13EF" w:rsidRDefault="003F0095" w:rsidP="00C94AA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C13EF">
        <w:rPr>
          <w:sz w:val="22"/>
          <w:szCs w:val="22"/>
        </w:rPr>
        <w:t>Participants from cohort 2 (N=4,561) were tested at age 12 in academic year 2006-07 and at age 16 in academic year 2010-11. Based on their anonymous matching reference ID and LAESTAB, this cohort was merged with relevant individual</w:t>
      </w:r>
      <w:r w:rsidR="009733DE">
        <w:rPr>
          <w:sz w:val="22"/>
          <w:szCs w:val="22"/>
        </w:rPr>
        <w:t>-</w:t>
      </w:r>
      <w:r w:rsidRPr="006C13EF">
        <w:rPr>
          <w:sz w:val="22"/>
          <w:szCs w:val="22"/>
        </w:rPr>
        <w:t>level absence</w:t>
      </w:r>
      <w:r w:rsidR="00402F69" w:rsidRPr="006C13EF">
        <w:rPr>
          <w:sz w:val="22"/>
          <w:szCs w:val="22"/>
        </w:rPr>
        <w:t>,</w:t>
      </w:r>
      <w:r w:rsidRPr="006C13EF">
        <w:rPr>
          <w:sz w:val="22"/>
          <w:szCs w:val="22"/>
        </w:rPr>
        <w:t xml:space="preserve"> school-level</w:t>
      </w:r>
      <w:r w:rsidR="00402F69" w:rsidRPr="006C13EF">
        <w:rPr>
          <w:sz w:val="22"/>
          <w:szCs w:val="22"/>
        </w:rPr>
        <w:t>, and Ofsted</w:t>
      </w:r>
      <w:r w:rsidR="00294EAF" w:rsidRPr="006C13EF">
        <w:rPr>
          <w:sz w:val="22"/>
          <w:szCs w:val="22"/>
        </w:rPr>
        <w:t xml:space="preserve"> data</w:t>
      </w:r>
      <w:r w:rsidRPr="006C13EF">
        <w:rPr>
          <w:sz w:val="22"/>
          <w:szCs w:val="22"/>
        </w:rPr>
        <w:t xml:space="preserve"> </w:t>
      </w:r>
      <w:r w:rsidR="00294EAF" w:rsidRPr="006C13EF">
        <w:rPr>
          <w:sz w:val="22"/>
          <w:szCs w:val="22"/>
        </w:rPr>
        <w:t>for</w:t>
      </w:r>
      <w:r w:rsidRPr="006C13EF">
        <w:rPr>
          <w:sz w:val="22"/>
          <w:szCs w:val="22"/>
        </w:rPr>
        <w:t xml:space="preserve"> those academic years. </w:t>
      </w:r>
    </w:p>
    <w:p w14:paraId="0AD2354F" w14:textId="6D529F7D" w:rsidR="007532EB" w:rsidRPr="006C13EF" w:rsidRDefault="007532EB" w:rsidP="007532EB">
      <w:pPr>
        <w:jc w:val="both"/>
        <w:rPr>
          <w:sz w:val="22"/>
          <w:szCs w:val="22"/>
        </w:rPr>
      </w:pPr>
      <w:r w:rsidRPr="006C13EF">
        <w:rPr>
          <w:sz w:val="22"/>
          <w:szCs w:val="22"/>
        </w:rPr>
        <w:t>Participants from cohort 3 (N=4,272) were tested at age 11-12 also in academic year 2006-07 and at age 16 in academic year 2011-12. Based on their anonymous matching reference ID and LAESTAB, this cohort was merged with relevant individual</w:t>
      </w:r>
      <w:r w:rsidR="009733DE">
        <w:rPr>
          <w:sz w:val="22"/>
          <w:szCs w:val="22"/>
        </w:rPr>
        <w:t>-</w:t>
      </w:r>
      <w:r w:rsidRPr="006C13EF">
        <w:rPr>
          <w:sz w:val="22"/>
          <w:szCs w:val="22"/>
        </w:rPr>
        <w:t>level absence</w:t>
      </w:r>
      <w:r w:rsidR="00402F69" w:rsidRPr="006C13EF">
        <w:rPr>
          <w:sz w:val="22"/>
          <w:szCs w:val="22"/>
        </w:rPr>
        <w:t>,</w:t>
      </w:r>
      <w:r w:rsidRPr="006C13EF">
        <w:rPr>
          <w:sz w:val="22"/>
          <w:szCs w:val="22"/>
        </w:rPr>
        <w:t xml:space="preserve"> school-level</w:t>
      </w:r>
      <w:r w:rsidR="00402F69" w:rsidRPr="006C13EF">
        <w:rPr>
          <w:sz w:val="22"/>
          <w:szCs w:val="22"/>
        </w:rPr>
        <w:t xml:space="preserve"> and Ofsted</w:t>
      </w:r>
      <w:r w:rsidRPr="006C13EF">
        <w:rPr>
          <w:sz w:val="22"/>
          <w:szCs w:val="22"/>
        </w:rPr>
        <w:t xml:space="preserve"> </w:t>
      </w:r>
      <w:r w:rsidR="009733DE">
        <w:rPr>
          <w:sz w:val="22"/>
          <w:szCs w:val="22"/>
        </w:rPr>
        <w:t>data for</w:t>
      </w:r>
      <w:r w:rsidRPr="006C13EF">
        <w:rPr>
          <w:sz w:val="22"/>
          <w:szCs w:val="22"/>
        </w:rPr>
        <w:t xml:space="preserve"> those academic years.  </w:t>
      </w:r>
    </w:p>
    <w:p w14:paraId="25FF93A7" w14:textId="430CD8A7" w:rsidR="008041B5" w:rsidRPr="006C13EF" w:rsidRDefault="00BA5CA2" w:rsidP="00C94AA3">
      <w:pPr>
        <w:jc w:val="both"/>
        <w:rPr>
          <w:sz w:val="22"/>
          <w:szCs w:val="22"/>
        </w:rPr>
      </w:pPr>
      <w:r w:rsidRPr="006C13EF">
        <w:rPr>
          <w:sz w:val="22"/>
          <w:szCs w:val="22"/>
        </w:rPr>
        <w:t>Participants from cohort 4 (N=1,495</w:t>
      </w:r>
      <w:r w:rsidR="003A5566" w:rsidRPr="006C13EF">
        <w:rPr>
          <w:sz w:val="22"/>
          <w:szCs w:val="22"/>
        </w:rPr>
        <w:t>)</w:t>
      </w:r>
      <w:r w:rsidRPr="006C13EF">
        <w:rPr>
          <w:sz w:val="22"/>
          <w:szCs w:val="22"/>
        </w:rPr>
        <w:t xml:space="preserve"> were tested at age</w:t>
      </w:r>
      <w:r w:rsidR="009733DE">
        <w:rPr>
          <w:sz w:val="22"/>
          <w:szCs w:val="22"/>
        </w:rPr>
        <w:t>s</w:t>
      </w:r>
      <w:r w:rsidRPr="006C13EF">
        <w:rPr>
          <w:sz w:val="22"/>
          <w:szCs w:val="22"/>
        </w:rPr>
        <w:t xml:space="preserve"> 11-12 in academic year 2007-8 and at age 16 in academic year 2012-13. Based on their anonymous matching reference ID and LAESTAB, this cohort was merged with relevant individual</w:t>
      </w:r>
      <w:r w:rsidR="009733DE">
        <w:rPr>
          <w:sz w:val="22"/>
          <w:szCs w:val="22"/>
        </w:rPr>
        <w:t>-</w:t>
      </w:r>
      <w:r w:rsidRPr="006C13EF">
        <w:rPr>
          <w:sz w:val="22"/>
          <w:szCs w:val="22"/>
        </w:rPr>
        <w:t>level absence</w:t>
      </w:r>
      <w:r w:rsidR="00402F69" w:rsidRPr="006C13EF">
        <w:rPr>
          <w:sz w:val="22"/>
          <w:szCs w:val="22"/>
        </w:rPr>
        <w:t>,</w:t>
      </w:r>
      <w:r w:rsidRPr="006C13EF">
        <w:rPr>
          <w:sz w:val="22"/>
          <w:szCs w:val="22"/>
        </w:rPr>
        <w:t xml:space="preserve"> school-level data</w:t>
      </w:r>
      <w:r w:rsidR="00402F69" w:rsidRPr="006C13EF">
        <w:rPr>
          <w:sz w:val="22"/>
          <w:szCs w:val="22"/>
        </w:rPr>
        <w:t xml:space="preserve"> and Ofsted</w:t>
      </w:r>
      <w:r w:rsidRPr="006C13EF">
        <w:rPr>
          <w:sz w:val="22"/>
          <w:szCs w:val="22"/>
        </w:rPr>
        <w:t xml:space="preserve"> </w:t>
      </w:r>
      <w:r w:rsidR="009733DE">
        <w:rPr>
          <w:sz w:val="22"/>
          <w:szCs w:val="22"/>
        </w:rPr>
        <w:t>data for</w:t>
      </w:r>
      <w:r w:rsidR="009733DE" w:rsidRPr="006C13EF">
        <w:rPr>
          <w:sz w:val="22"/>
          <w:szCs w:val="22"/>
        </w:rPr>
        <w:t xml:space="preserve"> </w:t>
      </w:r>
      <w:r w:rsidRPr="006C13EF">
        <w:rPr>
          <w:sz w:val="22"/>
          <w:szCs w:val="22"/>
        </w:rPr>
        <w:t xml:space="preserve">those academic years.  </w:t>
      </w:r>
    </w:p>
    <w:sectPr w:rsidR="008041B5" w:rsidRPr="006C13EF" w:rsidSect="006C13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B"/>
    <w:rsid w:val="0000615F"/>
    <w:rsid w:val="000134ED"/>
    <w:rsid w:val="000143DF"/>
    <w:rsid w:val="00043631"/>
    <w:rsid w:val="000720B2"/>
    <w:rsid w:val="000A2D43"/>
    <w:rsid w:val="000A5187"/>
    <w:rsid w:val="00115FD3"/>
    <w:rsid w:val="0013240B"/>
    <w:rsid w:val="00133C64"/>
    <w:rsid w:val="00180CB1"/>
    <w:rsid w:val="001824D1"/>
    <w:rsid w:val="00183805"/>
    <w:rsid w:val="0018576E"/>
    <w:rsid w:val="001E292C"/>
    <w:rsid w:val="001E7CF8"/>
    <w:rsid w:val="002034A7"/>
    <w:rsid w:val="002137B3"/>
    <w:rsid w:val="00227A7E"/>
    <w:rsid w:val="00232074"/>
    <w:rsid w:val="00262150"/>
    <w:rsid w:val="00263A3B"/>
    <w:rsid w:val="00276858"/>
    <w:rsid w:val="00286C97"/>
    <w:rsid w:val="00294EAF"/>
    <w:rsid w:val="002F6F90"/>
    <w:rsid w:val="00342C0C"/>
    <w:rsid w:val="0038546A"/>
    <w:rsid w:val="003A5566"/>
    <w:rsid w:val="003B6787"/>
    <w:rsid w:val="003E28F6"/>
    <w:rsid w:val="003F0095"/>
    <w:rsid w:val="00402F69"/>
    <w:rsid w:val="00427E39"/>
    <w:rsid w:val="004556A1"/>
    <w:rsid w:val="00466473"/>
    <w:rsid w:val="00487B0A"/>
    <w:rsid w:val="004A64F8"/>
    <w:rsid w:val="004E0250"/>
    <w:rsid w:val="004F7C0B"/>
    <w:rsid w:val="00504843"/>
    <w:rsid w:val="0051075C"/>
    <w:rsid w:val="00516E98"/>
    <w:rsid w:val="0057719F"/>
    <w:rsid w:val="005F42EF"/>
    <w:rsid w:val="005F71EC"/>
    <w:rsid w:val="00606B42"/>
    <w:rsid w:val="00610160"/>
    <w:rsid w:val="006329CF"/>
    <w:rsid w:val="00634E06"/>
    <w:rsid w:val="00655216"/>
    <w:rsid w:val="00663F11"/>
    <w:rsid w:val="00664C88"/>
    <w:rsid w:val="006B1693"/>
    <w:rsid w:val="006C13EF"/>
    <w:rsid w:val="006D4001"/>
    <w:rsid w:val="006E183B"/>
    <w:rsid w:val="0074491D"/>
    <w:rsid w:val="007532EB"/>
    <w:rsid w:val="00755E0D"/>
    <w:rsid w:val="00764308"/>
    <w:rsid w:val="00794CDA"/>
    <w:rsid w:val="007A5946"/>
    <w:rsid w:val="007C36AE"/>
    <w:rsid w:val="008041B5"/>
    <w:rsid w:val="00810009"/>
    <w:rsid w:val="008159AF"/>
    <w:rsid w:val="0083210E"/>
    <w:rsid w:val="00836A98"/>
    <w:rsid w:val="008417C7"/>
    <w:rsid w:val="008A1205"/>
    <w:rsid w:val="008E6698"/>
    <w:rsid w:val="00906093"/>
    <w:rsid w:val="00954570"/>
    <w:rsid w:val="00964CBA"/>
    <w:rsid w:val="009733DE"/>
    <w:rsid w:val="009B1B00"/>
    <w:rsid w:val="009C4059"/>
    <w:rsid w:val="009F696C"/>
    <w:rsid w:val="00A00D0C"/>
    <w:rsid w:val="00A32D40"/>
    <w:rsid w:val="00A44B86"/>
    <w:rsid w:val="00A606C0"/>
    <w:rsid w:val="00A62645"/>
    <w:rsid w:val="00AB6718"/>
    <w:rsid w:val="00AE3E5C"/>
    <w:rsid w:val="00AE6497"/>
    <w:rsid w:val="00B14B66"/>
    <w:rsid w:val="00B972E8"/>
    <w:rsid w:val="00BA5CA2"/>
    <w:rsid w:val="00BF4E6A"/>
    <w:rsid w:val="00C23CE5"/>
    <w:rsid w:val="00C51946"/>
    <w:rsid w:val="00C52E36"/>
    <w:rsid w:val="00C85B1F"/>
    <w:rsid w:val="00C94AA3"/>
    <w:rsid w:val="00CA33D6"/>
    <w:rsid w:val="00D205CF"/>
    <w:rsid w:val="00D41ADF"/>
    <w:rsid w:val="00D5234E"/>
    <w:rsid w:val="00D63516"/>
    <w:rsid w:val="00D63F70"/>
    <w:rsid w:val="00D70AB8"/>
    <w:rsid w:val="00D8074D"/>
    <w:rsid w:val="00D80C84"/>
    <w:rsid w:val="00D9218E"/>
    <w:rsid w:val="00DB7E31"/>
    <w:rsid w:val="00DC3F70"/>
    <w:rsid w:val="00DE1F39"/>
    <w:rsid w:val="00DE7D00"/>
    <w:rsid w:val="00DF250B"/>
    <w:rsid w:val="00DF46A1"/>
    <w:rsid w:val="00E13A2C"/>
    <w:rsid w:val="00E3549D"/>
    <w:rsid w:val="00E63157"/>
    <w:rsid w:val="00E645EC"/>
    <w:rsid w:val="00EC26E8"/>
    <w:rsid w:val="00EC5F36"/>
    <w:rsid w:val="00EE0871"/>
    <w:rsid w:val="00F05DB9"/>
    <w:rsid w:val="00F332DE"/>
    <w:rsid w:val="00F532F9"/>
    <w:rsid w:val="00F77B33"/>
    <w:rsid w:val="00F82646"/>
    <w:rsid w:val="00F96692"/>
    <w:rsid w:val="00FC13A1"/>
    <w:rsid w:val="00FD3AFD"/>
    <w:rsid w:val="00FD5706"/>
    <w:rsid w:val="00FE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17695"/>
  <w15:chartTrackingRefBased/>
  <w15:docId w15:val="{95515222-278D-4EA6-B3BC-0F59C1EE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7C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7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7C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C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C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C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C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C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F7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F7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C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C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C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C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C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C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7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7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C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C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7C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C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C0B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C51946"/>
    <w:pPr>
      <w:spacing w:before="240" w:after="0" w:line="259" w:lineRule="auto"/>
      <w:outlineLvl w:val="9"/>
    </w:pPr>
    <w:rPr>
      <w:kern w:val="0"/>
      <w:sz w:val="32"/>
      <w:szCs w:val="32"/>
      <w:lang w:eastAsia="en-GB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C5194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51946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227A7E"/>
    <w:pPr>
      <w:spacing w:after="100"/>
      <w:ind w:left="480"/>
    </w:pPr>
  </w:style>
  <w:style w:type="table" w:styleId="TableGrid">
    <w:name w:val="Table Grid"/>
    <w:basedOn w:val="TableNormal"/>
    <w:uiPriority w:val="39"/>
    <w:rsid w:val="00133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E6497"/>
    <w:rPr>
      <w:color w:val="954F72"/>
      <w:u w:val="single"/>
    </w:rPr>
  </w:style>
  <w:style w:type="paragraph" w:customStyle="1" w:styleId="msonormal0">
    <w:name w:val="msonormal"/>
    <w:basedOn w:val="Normal"/>
    <w:rsid w:val="00AE6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C94AA3"/>
    <w:pPr>
      <w:spacing w:after="0" w:line="240" w:lineRule="auto"/>
    </w:pPr>
    <w:rPr>
      <w:rFonts w:eastAsia="Times New Roman" w:cs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C3F70"/>
  </w:style>
  <w:style w:type="paragraph" w:customStyle="1" w:styleId="paragraph">
    <w:name w:val="paragraph"/>
    <w:basedOn w:val="Normal"/>
    <w:rsid w:val="00DC3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eop">
    <w:name w:val="eop"/>
    <w:basedOn w:val="DefaultParagraphFont"/>
    <w:rsid w:val="00DC3F70"/>
  </w:style>
  <w:style w:type="paragraph" w:styleId="Revision">
    <w:name w:val="Revision"/>
    <w:hidden/>
    <w:uiPriority w:val="99"/>
    <w:semiHidden/>
    <w:rsid w:val="009733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8B58F-83EA-45C8-8343-B7EB769B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Ferdinand</dc:creator>
  <cp:keywords/>
  <dc:description/>
  <cp:lastModifiedBy>Rebecca Ferdinand</cp:lastModifiedBy>
  <cp:revision>2</cp:revision>
  <dcterms:created xsi:type="dcterms:W3CDTF">2026-01-23T13:49:00Z</dcterms:created>
  <dcterms:modified xsi:type="dcterms:W3CDTF">2026-01-23T13:49:00Z</dcterms:modified>
</cp:coreProperties>
</file>