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D5317" w14:textId="77777777" w:rsidR="00066077" w:rsidRDefault="00000000">
      <w:pPr>
        <w:pStyle w:val="Heading1"/>
        <w:shd w:val="clear" w:color="auto" w:fill="FFFFFF"/>
        <w:spacing w:before="240" w:after="240"/>
      </w:pPr>
      <w:bookmarkStart w:id="0" w:name="_5c70pcs203fu" w:colFirst="0" w:colLast="0"/>
      <w:bookmarkEnd w:id="0"/>
      <w:r>
        <w:t>Supplemental Information</w:t>
      </w:r>
    </w:p>
    <w:p w14:paraId="59896661" w14:textId="77777777" w:rsidR="00066077" w:rsidRDefault="00000000">
      <w:pPr>
        <w:rPr>
          <w:b/>
          <w:bCs/>
        </w:rPr>
      </w:pPr>
      <w:r>
        <w:rPr>
          <w:b/>
          <w:bCs/>
        </w:rPr>
        <w:t>SI Table 1. Baseline weekly nocturnal hot flashes (HFs) by HRT and menopausal status</w:t>
      </w:r>
    </w:p>
    <w:tbl>
      <w:tblPr>
        <w:tblStyle w:val="a"/>
        <w:tblpPr w:leftFromText="180" w:rightFromText="180" w:vertAnchor="text" w:horzAnchor="margin" w:tblpY="217"/>
        <w:tblW w:w="963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25"/>
        <w:gridCol w:w="1305"/>
        <w:gridCol w:w="1320"/>
        <w:gridCol w:w="1350"/>
        <w:gridCol w:w="1260"/>
        <w:gridCol w:w="1440"/>
        <w:gridCol w:w="1530"/>
      </w:tblGrid>
      <w:tr w:rsidR="00246B15" w14:paraId="0C410A44" w14:textId="77777777" w:rsidTr="00246B15">
        <w:trPr>
          <w:trHeight w:val="470"/>
        </w:trPr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C643C" w14:textId="77777777" w:rsidR="00246B15" w:rsidRDefault="00246B15" w:rsidP="00246B15">
            <w:r>
              <w:rPr>
                <w:b/>
                <w:bCs/>
              </w:rPr>
              <w:t>Weekly nocturnal HF frequency</w:t>
            </w:r>
          </w:p>
        </w:tc>
        <w:tc>
          <w:tcPr>
            <w:tcW w:w="1305" w:type="dxa"/>
            <w:tcBorders>
              <w:top w:val="nil"/>
              <w:left w:val="single" w:sz="12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E3575" w14:textId="77777777" w:rsidR="00246B15" w:rsidRDefault="00246B15" w:rsidP="00246B15">
            <w:r>
              <w:rPr>
                <w:b/>
                <w:bCs/>
              </w:rPr>
              <w:t>No HRT (n=52)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57A94" w14:textId="77777777" w:rsidR="00246B15" w:rsidRDefault="00246B15" w:rsidP="00246B15">
            <w:r>
              <w:rPr>
                <w:b/>
                <w:bCs/>
              </w:rPr>
              <w:t>HRT (n=35)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C7EFE" w14:textId="77777777" w:rsidR="00246B15" w:rsidRDefault="00246B15" w:rsidP="00246B15">
            <w:r>
              <w:rPr>
                <w:b/>
                <w:bCs/>
              </w:rPr>
              <w:t>HRT Status Total (n=87)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0C073" w14:textId="77777777" w:rsidR="00246B15" w:rsidRDefault="00246B15" w:rsidP="00246B15">
            <w:r>
              <w:rPr>
                <w:b/>
                <w:bCs/>
              </w:rPr>
              <w:t>Perimenopausal (n=15)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3BE17" w14:textId="77777777" w:rsidR="00246B15" w:rsidRDefault="00246B15" w:rsidP="00246B15">
            <w:r>
              <w:rPr>
                <w:b/>
                <w:bCs/>
              </w:rPr>
              <w:t>Postmenopausal (n=83)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048AD" w14:textId="77777777" w:rsidR="00246B15" w:rsidRDefault="00246B15" w:rsidP="00246B15">
            <w:r>
              <w:rPr>
                <w:b/>
                <w:bCs/>
              </w:rPr>
              <w:t>Menopausal Status Total (n=98)</w:t>
            </w:r>
          </w:p>
        </w:tc>
      </w:tr>
      <w:tr w:rsidR="00246B15" w14:paraId="0042F51A" w14:textId="77777777" w:rsidTr="00246B15">
        <w:trPr>
          <w:trHeight w:val="470"/>
        </w:trPr>
        <w:tc>
          <w:tcPr>
            <w:tcW w:w="14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37818" w14:textId="77777777" w:rsidR="00246B15" w:rsidRDefault="00246B15" w:rsidP="00246B15">
            <w:r>
              <w:t>None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2FCB2" w14:textId="77777777" w:rsidR="00246B15" w:rsidRDefault="00246B15" w:rsidP="00246B15">
            <w:r>
              <w:t>8 (15.3%)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5198B" w14:textId="77777777" w:rsidR="00246B15" w:rsidRDefault="00246B15" w:rsidP="00246B15">
            <w:r>
              <w:t>14 (40.0%)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1E473" w14:textId="77777777" w:rsidR="00246B15" w:rsidRDefault="00246B15" w:rsidP="00246B15">
            <w:r>
              <w:t>22 (25.3%)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612D3" w14:textId="77777777" w:rsidR="00246B15" w:rsidRDefault="00246B15" w:rsidP="00246B15">
            <w:r>
              <w:t>0 (0.0%)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D1D05" w14:textId="77777777" w:rsidR="00246B15" w:rsidRDefault="00246B15" w:rsidP="00246B15">
            <w:r>
              <w:t>22 (26.5%)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EFFAA" w14:textId="77777777" w:rsidR="00246B15" w:rsidRDefault="00246B15" w:rsidP="00246B15">
            <w:r>
              <w:t>22 (22.4%)</w:t>
            </w:r>
          </w:p>
        </w:tc>
      </w:tr>
      <w:tr w:rsidR="00246B15" w14:paraId="3FDA2CBA" w14:textId="77777777" w:rsidTr="00246B15">
        <w:trPr>
          <w:trHeight w:val="470"/>
        </w:trPr>
        <w:tc>
          <w:tcPr>
            <w:tcW w:w="14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19FD8" w14:textId="77777777" w:rsidR="00246B15" w:rsidRDefault="00246B15" w:rsidP="00246B15">
            <w:r>
              <w:t>1-4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DDA31" w14:textId="77777777" w:rsidR="00246B15" w:rsidRDefault="00246B15" w:rsidP="00246B15">
            <w:r>
              <w:t>2 (3.8%)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85EEB" w14:textId="77777777" w:rsidR="00246B15" w:rsidRDefault="00246B15" w:rsidP="00246B15">
            <w:r>
              <w:t>5 (14.3%)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E4466" w14:textId="77777777" w:rsidR="00246B15" w:rsidRDefault="00246B15" w:rsidP="00246B15">
            <w:r>
              <w:t>7 (8.0%)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2CD87" w14:textId="77777777" w:rsidR="00246B15" w:rsidRDefault="00246B15" w:rsidP="00246B15">
            <w:r>
              <w:t>0 (0.0%)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39107" w14:textId="77777777" w:rsidR="00246B15" w:rsidRDefault="00246B15" w:rsidP="00246B15">
            <w:r>
              <w:t>7 (8.4%)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FA357" w14:textId="77777777" w:rsidR="00246B15" w:rsidRDefault="00246B15" w:rsidP="00246B15">
            <w:r>
              <w:t>7 (7.1%)</w:t>
            </w:r>
          </w:p>
        </w:tc>
      </w:tr>
      <w:tr w:rsidR="00246B15" w14:paraId="1FC249B7" w14:textId="77777777" w:rsidTr="00246B15">
        <w:trPr>
          <w:trHeight w:val="470"/>
        </w:trPr>
        <w:tc>
          <w:tcPr>
            <w:tcW w:w="14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2B99B" w14:textId="77777777" w:rsidR="00246B15" w:rsidRDefault="00246B15" w:rsidP="00246B15">
            <w:r>
              <w:t>5-10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74794" w14:textId="77777777" w:rsidR="00246B15" w:rsidRDefault="00246B15" w:rsidP="00246B15">
            <w:r>
              <w:t>29 (55.7%)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11AB32" w14:textId="77777777" w:rsidR="00246B15" w:rsidRDefault="00246B15" w:rsidP="00246B15">
            <w:r>
              <w:t>15 (42.9%)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15A02" w14:textId="77777777" w:rsidR="00246B15" w:rsidRDefault="00246B15" w:rsidP="00246B15">
            <w:r>
              <w:t>44 (50.6%)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6C516" w14:textId="77777777" w:rsidR="00246B15" w:rsidRDefault="00246B15" w:rsidP="00246B15">
            <w:r>
              <w:t>14 (93.3%)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3A5F9" w14:textId="77777777" w:rsidR="00246B15" w:rsidRDefault="00246B15" w:rsidP="00246B15">
            <w:r>
              <w:t>40 (48.1%)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31826" w14:textId="77777777" w:rsidR="00246B15" w:rsidRDefault="00246B15" w:rsidP="00246B15">
            <w:r>
              <w:t>54 (55.1%)</w:t>
            </w:r>
          </w:p>
        </w:tc>
      </w:tr>
      <w:tr w:rsidR="00246B15" w14:paraId="050C3CD2" w14:textId="77777777" w:rsidTr="00246B15">
        <w:trPr>
          <w:trHeight w:val="470"/>
        </w:trPr>
        <w:tc>
          <w:tcPr>
            <w:tcW w:w="1425" w:type="dxa"/>
            <w:tcBorders>
              <w:top w:val="single" w:sz="8" w:space="0" w:color="000000"/>
              <w:left w:val="nil"/>
              <w:bottom w:val="nil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2B822" w14:textId="77777777" w:rsidR="00246B15" w:rsidRDefault="00246B15" w:rsidP="00246B15">
            <w:r>
              <w:rPr>
                <w:rFonts w:ascii="Arial Unicode MS" w:eastAsia="Arial Unicode MS" w:hAnsi="Arial Unicode MS" w:cs="Arial Unicode MS"/>
              </w:rPr>
              <w:t>≥10</w:t>
            </w:r>
          </w:p>
        </w:tc>
        <w:tc>
          <w:tcPr>
            <w:tcW w:w="1305" w:type="dxa"/>
            <w:tcBorders>
              <w:top w:val="single" w:sz="8" w:space="0" w:color="000000"/>
              <w:left w:val="single" w:sz="12" w:space="0" w:color="000000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EFB91" w14:textId="77777777" w:rsidR="00246B15" w:rsidRDefault="00246B15" w:rsidP="00246B15">
            <w:r>
              <w:t>13 (25.0%)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5D63F" w14:textId="77777777" w:rsidR="00246B15" w:rsidRDefault="00246B15" w:rsidP="00246B15">
            <w:r>
              <w:t>1 (2.9%)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9104C" w14:textId="77777777" w:rsidR="00246B15" w:rsidRDefault="00246B15" w:rsidP="00246B15">
            <w:r>
              <w:t>14 (16.1%)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2EC2E" w14:textId="77777777" w:rsidR="00246B15" w:rsidRDefault="00246B15" w:rsidP="00246B15">
            <w:r>
              <w:t>1 (6.7%)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B7FDF" w14:textId="77777777" w:rsidR="00246B15" w:rsidRDefault="00246B15" w:rsidP="00246B15">
            <w:r>
              <w:t>14 (16.9%)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55BB6" w14:textId="77777777" w:rsidR="00246B15" w:rsidRDefault="00246B15" w:rsidP="00246B15">
            <w:r>
              <w:t>15 (15.3%)</w:t>
            </w:r>
          </w:p>
        </w:tc>
      </w:tr>
    </w:tbl>
    <w:p w14:paraId="07298CF4" w14:textId="77777777" w:rsidR="00066077" w:rsidRDefault="00066077">
      <w:pPr>
        <w:rPr>
          <w:b/>
          <w:bCs/>
        </w:rPr>
      </w:pPr>
    </w:p>
    <w:p w14:paraId="140D8E41" w14:textId="77777777" w:rsidR="00066077" w:rsidRDefault="00066077">
      <w:pPr>
        <w:rPr>
          <w:i/>
          <w:iCs/>
          <w:sz w:val="20"/>
          <w:szCs w:val="20"/>
        </w:rPr>
      </w:pPr>
    </w:p>
    <w:p w14:paraId="6717060A" w14:textId="77777777" w:rsidR="00066077" w:rsidRDefault="00000000">
      <w:pPr>
        <w:rPr>
          <w:sz w:val="20"/>
          <w:szCs w:val="20"/>
        </w:rPr>
      </w:pPr>
      <w:r>
        <w:rPr>
          <w:i/>
          <w:iCs/>
          <w:sz w:val="20"/>
          <w:szCs w:val="20"/>
        </w:rPr>
        <w:t>Note</w:t>
      </w:r>
      <w:r>
        <w:rPr>
          <w:sz w:val="20"/>
          <w:szCs w:val="20"/>
        </w:rPr>
        <w:t xml:space="preserve">: All participants (n=98) have a menopausal status, but only n=87/98 participants have a hormone replacement therapy (HRT) status. Before study start, among both menopausal and HRT statuses, </w:t>
      </w:r>
      <w:proofErr w:type="gramStart"/>
      <w:r>
        <w:rPr>
          <w:sz w:val="20"/>
          <w:szCs w:val="20"/>
        </w:rPr>
        <w:t>the majority of</w:t>
      </w:r>
      <w:proofErr w:type="gramEnd"/>
      <w:r>
        <w:rPr>
          <w:sz w:val="20"/>
          <w:szCs w:val="20"/>
        </w:rPr>
        <w:t xml:space="preserve"> women experienced 5-10 weekly nocturnal HFs (55.1% and 50.6%, respectively). Within menopausal status, most perimenopausal (93.3%) and postmenopausal (48.2%) women experienced 5-10 weekly nocturnal HFs. Within HRT status, a larger percent of the HRT group experienced no weekly nocturnal HFs at baseline, compared to the No HRT group (40.0% vs. 15.3%). </w:t>
      </w:r>
    </w:p>
    <w:p w14:paraId="794F90D6" w14:textId="77777777" w:rsidR="00066077" w:rsidRDefault="00000000">
      <w:pPr>
        <w:pStyle w:val="Heading2"/>
      </w:pPr>
      <w:bookmarkStart w:id="1" w:name="_usppikrau0px" w:colFirst="0" w:colLast="0"/>
      <w:bookmarkEnd w:id="1"/>
      <w:r>
        <w:t>Data Exclusion Details</w:t>
      </w:r>
    </w:p>
    <w:p w14:paraId="7C744E76" w14:textId="77777777" w:rsidR="00066077" w:rsidRDefault="00000000">
      <w:pPr>
        <w:rPr>
          <w:u w:val="single"/>
        </w:rPr>
      </w:pPr>
      <w:r>
        <w:rPr>
          <w:u w:val="single"/>
        </w:rPr>
        <w:t>Skin temperature data exclusion criteria:</w:t>
      </w:r>
    </w:p>
    <w:p w14:paraId="14F2F44A" w14:textId="77777777" w:rsidR="00066077" w:rsidRPr="00246B15" w:rsidRDefault="00000000">
      <w:r w:rsidRPr="00246B15">
        <w:rPr>
          <w:rFonts w:eastAsia="Arial Unicode MS"/>
        </w:rPr>
        <w:t>Data from the iButton-derived skin temperature series were excluded based on predefined quality-control criteria. Nights were removed if weighted skin temperature dropped below 28°C during the bedtime window or if total sleep duration was &lt;4 hours or &gt;14 hours. Nocturnal data were trimmed to include only the continuous segment with temperatures ≥ 30°C, eliminating artifacts caused by sensor equilibration or early removal. Additional exclusions were applied for sensor anomalies identified through visual inspection (participant 37, night of July 19</w:t>
      </w:r>
      <w:r w:rsidRPr="00246B15">
        <w:rPr>
          <w:vertAlign w:val="superscript"/>
        </w:rPr>
        <w:t>th</w:t>
      </w:r>
      <w:r w:rsidRPr="00246B15">
        <w:t>, 2025), nights were excluded when wake-up date matched a pre-defined exclusion list (participant 256: Aug 24</w:t>
      </w:r>
      <w:r w:rsidRPr="00246B15">
        <w:rPr>
          <w:vertAlign w:val="superscript"/>
        </w:rPr>
        <w:t>th</w:t>
      </w:r>
      <w:r w:rsidRPr="00246B15">
        <w:t>–25</w:t>
      </w:r>
      <w:r w:rsidRPr="00246B15">
        <w:rPr>
          <w:vertAlign w:val="superscript"/>
        </w:rPr>
        <w:t>th</w:t>
      </w:r>
      <w:r w:rsidRPr="00246B15">
        <w:t>, 28</w:t>
      </w:r>
      <w:r w:rsidRPr="00246B15">
        <w:rPr>
          <w:vertAlign w:val="superscript"/>
        </w:rPr>
        <w:t>th</w:t>
      </w:r>
      <w:r w:rsidRPr="00246B15">
        <w:t>, and Sept 2</w:t>
      </w:r>
      <w:r w:rsidRPr="00246B15">
        <w:rPr>
          <w:vertAlign w:val="superscript"/>
        </w:rPr>
        <w:t>nd</w:t>
      </w:r>
      <w:r w:rsidRPr="00246B15">
        <w:t>, 2025). If there was missing or invalid sleep timing data, the entire night was excluded.</w:t>
      </w:r>
    </w:p>
    <w:p w14:paraId="47927241" w14:textId="77777777" w:rsidR="00066077" w:rsidRDefault="00066077">
      <w:pPr>
        <w:shd w:val="clear" w:color="auto" w:fill="FFFFFF"/>
      </w:pPr>
    </w:p>
    <w:p w14:paraId="58360A5E" w14:textId="77777777" w:rsidR="00066077" w:rsidRDefault="00000000">
      <w:pPr>
        <w:shd w:val="clear" w:color="auto" w:fill="FFFFFF"/>
        <w:rPr>
          <w:u w:val="single"/>
        </w:rPr>
      </w:pPr>
      <w:r>
        <w:rPr>
          <w:u w:val="single"/>
        </w:rPr>
        <w:t>Increased hot flashes:</w:t>
      </w:r>
    </w:p>
    <w:p w14:paraId="2C38A16D" w14:textId="77777777" w:rsidR="00066077" w:rsidRDefault="00000000">
      <w:pPr>
        <w:shd w:val="clear" w:color="auto" w:fill="FFFFFF"/>
      </w:pPr>
      <w:r>
        <w:t xml:space="preserve">Increased nocturnal HFs were observed in n=4 participants with ATR ON. However, these increases occurred in women with very low nocturnal HF frequency during ATR OFF (&lt;1 nightly </w:t>
      </w:r>
      <w:r>
        <w:lastRenderedPageBreak/>
        <w:t xml:space="preserve">HF), such that modest increases likely reflect expected night-to-night variability rather than a clinically meaningful increase in nocturnal HFs (mean nightly HFs ATR OFF to ON: participant 1: 0.71 to 1.3; participant 2: 0.43 to 0.52, participant 3: 0.08 to 0.15, participant 4: 0.00 to 0.05). </w:t>
      </w:r>
    </w:p>
    <w:p w14:paraId="13958DF2" w14:textId="77777777" w:rsidR="00066077" w:rsidRDefault="00066077">
      <w:pPr>
        <w:shd w:val="clear" w:color="auto" w:fill="FFFFFF"/>
      </w:pPr>
    </w:p>
    <w:p w14:paraId="6B732AFE" w14:textId="77777777" w:rsidR="00066077" w:rsidRDefault="00000000">
      <w:pPr>
        <w:shd w:val="clear" w:color="auto" w:fill="FFFFFF"/>
        <w:rPr>
          <w:u w:val="single"/>
        </w:rPr>
      </w:pPr>
      <w:r>
        <w:rPr>
          <w:u w:val="single"/>
        </w:rPr>
        <w:t>Autopilot:</w:t>
      </w:r>
    </w:p>
    <w:p w14:paraId="3C454750" w14:textId="77777777" w:rsidR="00066077" w:rsidRDefault="00000000">
      <w:r>
        <w:t>There is a more personalized version of ATR on the Eight Sleep Pod, called Autopilot, which automatically adjusts temperature in real-time based on the individual’s current sleep stage, biological sex, age, and ambient temperature. During ATR ON, 96% of participants (n=94/98) had Autopilot enabled and 4% (n=4/98) used manually programmed three-stage temperature profiles.</w:t>
      </w:r>
    </w:p>
    <w:p w14:paraId="48CD9743" w14:textId="77777777" w:rsidR="00066077" w:rsidRDefault="00000000">
      <w:pPr>
        <w:spacing w:before="240" w:after="240"/>
        <w:rPr>
          <w:b/>
          <w:bCs/>
        </w:rPr>
      </w:pPr>
      <w:r>
        <w:rPr>
          <w:b/>
          <w:bCs/>
        </w:rPr>
        <w:t>SI Table 2: Mean participant-selected ATR temperatures during ATR ON</w:t>
      </w:r>
    </w:p>
    <w:tbl>
      <w:tblPr>
        <w:tblStyle w:val="a0"/>
        <w:tblW w:w="7945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75"/>
        <w:gridCol w:w="1980"/>
        <w:gridCol w:w="1620"/>
        <w:gridCol w:w="1770"/>
      </w:tblGrid>
      <w:tr w:rsidR="00066077" w14:paraId="4FE95F25" w14:textId="77777777" w:rsidTr="001810AF">
        <w:trPr>
          <w:jc w:val="center"/>
        </w:trPr>
        <w:tc>
          <w:tcPr>
            <w:tcW w:w="257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0BEF5" w14:textId="77777777" w:rsidR="00066077" w:rsidRDefault="00000000">
            <w:pPr>
              <w:widowControl w:val="0"/>
              <w:spacing w:line="240" w:lineRule="auto"/>
              <w:jc w:val="center"/>
            </w:pPr>
            <w:r>
              <w:t>Group</w:t>
            </w:r>
          </w:p>
        </w:tc>
        <w:tc>
          <w:tcPr>
            <w:tcW w:w="198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A79C5" w14:textId="77777777" w:rsidR="00066077" w:rsidRDefault="00000000">
            <w:pPr>
              <w:widowControl w:val="0"/>
              <w:spacing w:line="240" w:lineRule="auto"/>
              <w:jc w:val="center"/>
            </w:pPr>
            <w:r>
              <w:t>Bedtime Phase (°C)</w:t>
            </w:r>
          </w:p>
        </w:tc>
        <w:tc>
          <w:tcPr>
            <w:tcW w:w="162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E6051" w14:textId="77777777" w:rsidR="00066077" w:rsidRDefault="00000000">
            <w:pPr>
              <w:widowControl w:val="0"/>
              <w:spacing w:line="240" w:lineRule="auto"/>
              <w:jc w:val="center"/>
            </w:pPr>
            <w:r>
              <w:t>Initial Phase (°C)</w:t>
            </w:r>
          </w:p>
        </w:tc>
        <w:tc>
          <w:tcPr>
            <w:tcW w:w="177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1F6E3" w14:textId="77777777" w:rsidR="00066077" w:rsidRDefault="00000000">
            <w:pPr>
              <w:widowControl w:val="0"/>
              <w:spacing w:line="240" w:lineRule="auto"/>
              <w:jc w:val="center"/>
            </w:pPr>
            <w:r>
              <w:t>Final Phase (°C)</w:t>
            </w:r>
          </w:p>
        </w:tc>
      </w:tr>
      <w:tr w:rsidR="00066077" w14:paraId="6D5598B5" w14:textId="77777777" w:rsidTr="001810AF">
        <w:trPr>
          <w:jc w:val="center"/>
        </w:trPr>
        <w:tc>
          <w:tcPr>
            <w:tcW w:w="2575" w:type="dxa"/>
            <w:tcBorders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F3F1DF" w14:textId="77777777" w:rsidR="00066077" w:rsidRDefault="00000000">
            <w:pPr>
              <w:widowControl w:val="0"/>
              <w:spacing w:line="240" w:lineRule="auto"/>
            </w:pPr>
            <w:r>
              <w:t>All (n=98)</w:t>
            </w:r>
          </w:p>
        </w:tc>
        <w:tc>
          <w:tcPr>
            <w:tcW w:w="1980" w:type="dxa"/>
            <w:tcBorders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2D347" w14:textId="77777777" w:rsidR="00066077" w:rsidRDefault="00000000">
            <w:pPr>
              <w:widowControl w:val="0"/>
              <w:spacing w:line="240" w:lineRule="auto"/>
              <w:jc w:val="center"/>
            </w:pPr>
            <w:r>
              <w:t>26.0 ± 4.5</w:t>
            </w:r>
          </w:p>
        </w:tc>
        <w:tc>
          <w:tcPr>
            <w:tcW w:w="1620" w:type="dxa"/>
            <w:tcBorders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00768" w14:textId="77777777" w:rsidR="00066077" w:rsidRDefault="00000000">
            <w:pPr>
              <w:widowControl w:val="0"/>
              <w:spacing w:line="240" w:lineRule="auto"/>
              <w:jc w:val="center"/>
            </w:pPr>
            <w:r>
              <w:t>25.7 ± 3.6</w:t>
            </w:r>
          </w:p>
        </w:tc>
        <w:tc>
          <w:tcPr>
            <w:tcW w:w="1770" w:type="dxa"/>
            <w:tcBorders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91EF6" w14:textId="77777777" w:rsidR="00066077" w:rsidRDefault="00000000">
            <w:pPr>
              <w:widowControl w:val="0"/>
              <w:spacing w:line="240" w:lineRule="auto"/>
              <w:jc w:val="center"/>
            </w:pPr>
            <w:r>
              <w:t>26.5 ± 3.4</w:t>
            </w:r>
          </w:p>
        </w:tc>
      </w:tr>
      <w:tr w:rsidR="00066077" w14:paraId="4C1FBCAF" w14:textId="77777777" w:rsidTr="001810AF">
        <w:trPr>
          <w:jc w:val="center"/>
        </w:trPr>
        <w:tc>
          <w:tcPr>
            <w:tcW w:w="2575" w:type="dxa"/>
            <w:tcBorders>
              <w:top w:val="single" w:sz="12" w:space="0" w:color="000000"/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053B0" w14:textId="77777777" w:rsidR="00066077" w:rsidRDefault="00000000">
            <w:pPr>
              <w:widowControl w:val="0"/>
              <w:spacing w:line="240" w:lineRule="auto"/>
            </w:pPr>
            <w:r>
              <w:t>HRT (n=35)</w:t>
            </w:r>
          </w:p>
        </w:tc>
        <w:tc>
          <w:tcPr>
            <w:tcW w:w="1980" w:type="dxa"/>
            <w:tcBorders>
              <w:top w:val="single" w:sz="12" w:space="0" w:color="000000"/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74B0C" w14:textId="77777777" w:rsidR="00066077" w:rsidRDefault="00000000">
            <w:pPr>
              <w:widowControl w:val="0"/>
              <w:spacing w:line="240" w:lineRule="auto"/>
              <w:jc w:val="center"/>
            </w:pPr>
            <w:r>
              <w:t>26.0 ± 4.1</w:t>
            </w:r>
          </w:p>
        </w:tc>
        <w:tc>
          <w:tcPr>
            <w:tcW w:w="1620" w:type="dxa"/>
            <w:tcBorders>
              <w:top w:val="single" w:sz="12" w:space="0" w:color="000000"/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6E979" w14:textId="77777777" w:rsidR="00066077" w:rsidRDefault="00000000">
            <w:pPr>
              <w:widowControl w:val="0"/>
              <w:spacing w:line="240" w:lineRule="auto"/>
              <w:jc w:val="center"/>
            </w:pPr>
            <w:r>
              <w:t>25.7 ± 3.3</w:t>
            </w:r>
          </w:p>
        </w:tc>
        <w:tc>
          <w:tcPr>
            <w:tcW w:w="1770" w:type="dxa"/>
            <w:tcBorders>
              <w:top w:val="single" w:sz="12" w:space="0" w:color="000000"/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77FD5" w14:textId="77777777" w:rsidR="00066077" w:rsidRDefault="00000000">
            <w:pPr>
              <w:widowControl w:val="0"/>
              <w:spacing w:line="240" w:lineRule="auto"/>
              <w:jc w:val="center"/>
            </w:pPr>
            <w:r>
              <w:t xml:space="preserve">26.6 ± </w:t>
            </w:r>
            <w:r>
              <w:rPr>
                <w:sz w:val="20"/>
                <w:szCs w:val="20"/>
              </w:rPr>
              <w:t>2.9</w:t>
            </w:r>
          </w:p>
        </w:tc>
      </w:tr>
      <w:tr w:rsidR="00066077" w14:paraId="6A4B911E" w14:textId="77777777" w:rsidTr="001810AF">
        <w:trPr>
          <w:jc w:val="center"/>
        </w:trPr>
        <w:tc>
          <w:tcPr>
            <w:tcW w:w="2575" w:type="dxa"/>
            <w:tcBorders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66927" w14:textId="77777777" w:rsidR="00066077" w:rsidRDefault="00000000">
            <w:pPr>
              <w:widowControl w:val="0"/>
              <w:spacing w:line="240" w:lineRule="auto"/>
            </w:pPr>
            <w:r>
              <w:t>No HRT (n=52)</w:t>
            </w:r>
          </w:p>
        </w:tc>
        <w:tc>
          <w:tcPr>
            <w:tcW w:w="1980" w:type="dxa"/>
            <w:tcBorders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CF1D5" w14:textId="77777777" w:rsidR="00066077" w:rsidRDefault="00000000">
            <w:pPr>
              <w:widowControl w:val="0"/>
              <w:spacing w:line="240" w:lineRule="auto"/>
              <w:jc w:val="center"/>
            </w:pPr>
            <w:r>
              <w:t>25.8 ± 4.8</w:t>
            </w:r>
          </w:p>
        </w:tc>
        <w:tc>
          <w:tcPr>
            <w:tcW w:w="1620" w:type="dxa"/>
            <w:tcBorders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64B2D" w14:textId="77777777" w:rsidR="00066077" w:rsidRDefault="00000000">
            <w:pPr>
              <w:widowControl w:val="0"/>
              <w:spacing w:line="240" w:lineRule="auto"/>
              <w:jc w:val="center"/>
            </w:pPr>
            <w:r>
              <w:t>25.2 ± 3.8</w:t>
            </w:r>
          </w:p>
        </w:tc>
        <w:tc>
          <w:tcPr>
            <w:tcW w:w="1770" w:type="dxa"/>
            <w:tcBorders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ECC2C" w14:textId="77777777" w:rsidR="00066077" w:rsidRDefault="00000000">
            <w:pPr>
              <w:widowControl w:val="0"/>
              <w:spacing w:line="240" w:lineRule="auto"/>
              <w:jc w:val="center"/>
            </w:pPr>
            <w:r>
              <w:t>26.4 ± 3.7</w:t>
            </w:r>
          </w:p>
        </w:tc>
      </w:tr>
      <w:tr w:rsidR="00066077" w14:paraId="19BBFEFE" w14:textId="77777777" w:rsidTr="001810AF">
        <w:trPr>
          <w:jc w:val="center"/>
        </w:trPr>
        <w:tc>
          <w:tcPr>
            <w:tcW w:w="2575" w:type="dxa"/>
            <w:tcBorders>
              <w:top w:val="single" w:sz="12" w:space="0" w:color="000000"/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B23A2" w14:textId="77777777" w:rsidR="00066077" w:rsidRDefault="00000000">
            <w:pPr>
              <w:widowControl w:val="0"/>
              <w:spacing w:line="240" w:lineRule="auto"/>
            </w:pPr>
            <w:r>
              <w:t>Perimenopausal (n=15)</w:t>
            </w:r>
          </w:p>
        </w:tc>
        <w:tc>
          <w:tcPr>
            <w:tcW w:w="1980" w:type="dxa"/>
            <w:tcBorders>
              <w:top w:val="single" w:sz="12" w:space="0" w:color="000000"/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2E1BA" w14:textId="77777777" w:rsidR="00066077" w:rsidRDefault="00000000">
            <w:pPr>
              <w:widowControl w:val="0"/>
              <w:spacing w:line="240" w:lineRule="auto"/>
              <w:jc w:val="center"/>
            </w:pPr>
            <w:r>
              <w:t>26.4 ± 4.9</w:t>
            </w:r>
          </w:p>
        </w:tc>
        <w:tc>
          <w:tcPr>
            <w:tcW w:w="1620" w:type="dxa"/>
            <w:tcBorders>
              <w:top w:val="single" w:sz="12" w:space="0" w:color="000000"/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AA1B8" w14:textId="77777777" w:rsidR="00066077" w:rsidRDefault="00000000">
            <w:pPr>
              <w:widowControl w:val="0"/>
              <w:spacing w:line="240" w:lineRule="auto"/>
              <w:jc w:val="center"/>
            </w:pPr>
            <w:r>
              <w:t>26.5 ± 3.3</w:t>
            </w:r>
          </w:p>
        </w:tc>
        <w:tc>
          <w:tcPr>
            <w:tcW w:w="1770" w:type="dxa"/>
            <w:tcBorders>
              <w:top w:val="single" w:sz="12" w:space="0" w:color="000000"/>
              <w:left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AE124" w14:textId="77777777" w:rsidR="00066077" w:rsidRDefault="00000000">
            <w:pPr>
              <w:widowControl w:val="0"/>
              <w:spacing w:line="240" w:lineRule="auto"/>
              <w:jc w:val="center"/>
            </w:pPr>
            <w:r>
              <w:t>26.7 ± 3.0</w:t>
            </w:r>
          </w:p>
        </w:tc>
      </w:tr>
      <w:tr w:rsidR="00066077" w14:paraId="3A7F78BA" w14:textId="77777777" w:rsidTr="001810AF">
        <w:trPr>
          <w:jc w:val="center"/>
        </w:trPr>
        <w:tc>
          <w:tcPr>
            <w:tcW w:w="257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212BD" w14:textId="77777777" w:rsidR="00066077" w:rsidRDefault="00000000">
            <w:pPr>
              <w:widowControl w:val="0"/>
              <w:spacing w:line="240" w:lineRule="auto"/>
            </w:pPr>
            <w:r>
              <w:t>Postmenopausal (n=83)</w:t>
            </w:r>
          </w:p>
        </w:tc>
        <w:tc>
          <w:tcPr>
            <w:tcW w:w="198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5CCE8" w14:textId="77777777" w:rsidR="00066077" w:rsidRDefault="00000000">
            <w:pPr>
              <w:widowControl w:val="0"/>
              <w:spacing w:line="240" w:lineRule="auto"/>
              <w:jc w:val="center"/>
            </w:pPr>
            <w:r>
              <w:t>25.7 ± 4.4</w:t>
            </w:r>
          </w:p>
        </w:tc>
        <w:tc>
          <w:tcPr>
            <w:tcW w:w="162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929780" w14:textId="77777777" w:rsidR="00066077" w:rsidRDefault="00000000">
            <w:pPr>
              <w:widowControl w:val="0"/>
              <w:spacing w:line="240" w:lineRule="auto"/>
              <w:jc w:val="center"/>
            </w:pPr>
            <w:r>
              <w:t>25.4 ± 3.6</w:t>
            </w:r>
          </w:p>
        </w:tc>
        <w:tc>
          <w:tcPr>
            <w:tcW w:w="177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B04AE" w14:textId="77777777" w:rsidR="00066077" w:rsidRDefault="00000000">
            <w:pPr>
              <w:widowControl w:val="0"/>
              <w:spacing w:line="240" w:lineRule="auto"/>
              <w:jc w:val="center"/>
            </w:pPr>
            <w:r>
              <w:t>27.7 ± 3.4</w:t>
            </w:r>
          </w:p>
        </w:tc>
      </w:tr>
    </w:tbl>
    <w:p w14:paraId="47475887" w14:textId="77777777" w:rsidR="00066077" w:rsidRDefault="00000000">
      <w:pPr>
        <w:spacing w:before="240" w:after="240"/>
        <w:rPr>
          <w:sz w:val="20"/>
          <w:szCs w:val="20"/>
        </w:rPr>
      </w:pPr>
      <w:r>
        <w:rPr>
          <w:i/>
          <w:iCs/>
          <w:sz w:val="20"/>
          <w:szCs w:val="20"/>
        </w:rPr>
        <w:t>Note</w:t>
      </w:r>
      <w:r>
        <w:rPr>
          <w:sz w:val="20"/>
          <w:szCs w:val="20"/>
        </w:rPr>
        <w:t xml:space="preserve">: Pod temperature settings during the Bedtime, Initial, and Final phases across all participants, stratified by hormone replacement therapy (HRT) and menopausal status. Values are presented as mean ± SD (°C). “All” includes all women in the study with available ATR temperature data (n=98). Bedtime reflects the user-selected ATR temperature from ATR-detected sleep onset to 15 min after sleep onset; Initial Phase is the ATR temperature for the first 4 hours of the night; Final Phase is the ATR temperature from the end of Initial Phase to wake. There were no statistically significant differences in participant-preferred ATR temperature selections across the night by menopausal or HRT status (all independent t-tests with </w:t>
      </w:r>
      <w:r>
        <w:rPr>
          <w:i/>
          <w:iCs/>
          <w:sz w:val="20"/>
          <w:szCs w:val="20"/>
        </w:rPr>
        <w:t>p</w:t>
      </w:r>
      <w:r>
        <w:rPr>
          <w:sz w:val="20"/>
          <w:szCs w:val="20"/>
        </w:rPr>
        <w:t>&gt;0.05).</w:t>
      </w:r>
    </w:p>
    <w:sectPr w:rsidR="0006607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433ED7DA-20CD-2948-881A-2887D61DFE10}"/>
    <w:embedBold r:id="rId2" w:fontKey="{F753B1CA-78A9-1A4C-954F-6D65BAA9B5BA}"/>
    <w:embedItalic r:id="rId3" w:fontKey="{5FB7BC6C-64BE-D340-98C8-0FF9C032ED7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7CA26263-3AFF-714C-B445-37858473B2A9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5" w:subsetted="1" w:fontKey="{D5A61539-97B6-6940-80D2-85F498D889D0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F4741B82-E8C5-F546-B56B-DBDC86B6312D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7" w:fontKey="{6ACA8A3A-1875-1E46-BFC1-5AD00865F14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6077"/>
    <w:rsid w:val="00066077"/>
    <w:rsid w:val="001810AF"/>
    <w:rsid w:val="00246B15"/>
    <w:rsid w:val="007A6366"/>
    <w:rsid w:val="009A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9EF07A"/>
  <w15:docId w15:val="{F4A78A7D-E3E5-9E41-B934-7A252A66E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589</Words>
  <Characters>3361</Characters>
  <Application>Microsoft Office Word</Application>
  <DocSecurity>0</DocSecurity>
  <Lines>28</Lines>
  <Paragraphs>7</Paragraphs>
  <ScaleCrop>false</ScaleCrop>
  <Company/>
  <LinksUpToDate>false</LinksUpToDate>
  <CharactersWithSpaces>3943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RD Clinical</cp:lastModifiedBy>
  <cp:revision>4</cp:revision>
  <dcterms:created xsi:type="dcterms:W3CDTF">2026-01-23T17:24:00Z</dcterms:created>
  <dcterms:modified xsi:type="dcterms:W3CDTF">2026-01-23T17:27:00Z</dcterms:modified>
</cp:coreProperties>
</file>