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59094" w14:textId="7FD878B4" w:rsidR="003433AB" w:rsidRPr="00336F9E" w:rsidRDefault="003433AB" w:rsidP="0080493A">
      <w:pPr>
        <w:pStyle w:val="berschrift1"/>
        <w:jc w:val="center"/>
        <w:rPr>
          <w:lang w:val="de-DE"/>
        </w:rPr>
      </w:pPr>
      <w:proofErr w:type="spellStart"/>
      <w:r w:rsidRPr="00336F9E">
        <w:rPr>
          <w:lang w:val="de-DE"/>
        </w:rPr>
        <w:t>Supplementary</w:t>
      </w:r>
      <w:proofErr w:type="spellEnd"/>
      <w:r w:rsidRPr="00336F9E">
        <w:rPr>
          <w:lang w:val="de-DE"/>
        </w:rPr>
        <w:t xml:space="preserve"> </w:t>
      </w:r>
      <w:proofErr w:type="spellStart"/>
      <w:r w:rsidRPr="00336F9E">
        <w:rPr>
          <w:lang w:val="de-DE"/>
        </w:rPr>
        <w:t>information</w:t>
      </w:r>
      <w:proofErr w:type="spellEnd"/>
    </w:p>
    <w:p w14:paraId="5B322B30" w14:textId="77777777" w:rsidR="003433AB" w:rsidRPr="00336F9E" w:rsidRDefault="003433AB" w:rsidP="00FB0E38">
      <w:pPr>
        <w:jc w:val="both"/>
        <w:rPr>
          <w:lang w:val="de-DE"/>
        </w:rPr>
      </w:pPr>
    </w:p>
    <w:p w14:paraId="28826529" w14:textId="09EFB1AF" w:rsidR="003433AB" w:rsidRPr="00336F9E" w:rsidRDefault="00336F9E" w:rsidP="0080493A">
      <w:pPr>
        <w:pStyle w:val="berschrift1"/>
      </w:pPr>
      <w:r w:rsidRPr="00336F9E">
        <w:t xml:space="preserve">Do seconds make a </w:t>
      </w:r>
      <w:r>
        <w:t xml:space="preserve">difference? Investigating strain-specific </w:t>
      </w:r>
      <w:proofErr w:type="spellStart"/>
      <w:r>
        <w:t>behavior</w:t>
      </w:r>
      <w:proofErr w:type="spellEnd"/>
      <w:r>
        <w:t xml:space="preserve"> of yeast in dynamic glucose environments</w:t>
      </w:r>
    </w:p>
    <w:p w14:paraId="6B23E25A" w14:textId="77777777" w:rsidR="00C9252D" w:rsidRPr="00336F9E" w:rsidRDefault="00C9252D" w:rsidP="00FB0E38">
      <w:pPr>
        <w:jc w:val="both"/>
        <w:rPr>
          <w:lang w:val="de-DE"/>
        </w:rPr>
      </w:pPr>
      <w:r w:rsidRPr="00336F9E">
        <w:rPr>
          <w:lang w:val="de-DE"/>
        </w:rPr>
        <w:t>Luisa Blöbaum</w:t>
      </w:r>
      <w:r w:rsidRPr="00336F9E">
        <w:rPr>
          <w:vertAlign w:val="superscript"/>
          <w:lang w:val="de-DE"/>
        </w:rPr>
        <w:t>1</w:t>
      </w:r>
      <w:r w:rsidRPr="00336F9E">
        <w:rPr>
          <w:lang w:val="de-DE"/>
        </w:rPr>
        <w:t>, Markus Bünker</w:t>
      </w:r>
      <w:r w:rsidRPr="00336F9E">
        <w:rPr>
          <w:vertAlign w:val="superscript"/>
          <w:lang w:val="de-DE"/>
        </w:rPr>
        <w:t>1</w:t>
      </w:r>
      <w:r w:rsidRPr="00336F9E">
        <w:rPr>
          <w:lang w:val="de-DE"/>
        </w:rPr>
        <w:t>, Julian Schmitz</w:t>
      </w:r>
      <w:proofErr w:type="gramStart"/>
      <w:r w:rsidRPr="00336F9E">
        <w:rPr>
          <w:vertAlign w:val="superscript"/>
          <w:lang w:val="de-DE"/>
        </w:rPr>
        <w:t>1,#</w:t>
      </w:r>
      <w:proofErr w:type="gramEnd"/>
    </w:p>
    <w:p w14:paraId="5AAF849D" w14:textId="77777777" w:rsidR="00C9252D" w:rsidRPr="00336F9E" w:rsidRDefault="00C9252D" w:rsidP="00FB0E38">
      <w:pPr>
        <w:spacing w:line="276" w:lineRule="auto"/>
        <w:jc w:val="both"/>
        <w:rPr>
          <w:vertAlign w:val="superscript"/>
          <w:lang w:val="de-DE"/>
        </w:rPr>
      </w:pPr>
    </w:p>
    <w:p w14:paraId="1A7F66DC" w14:textId="77777777" w:rsidR="00C9252D" w:rsidRDefault="00C9252D" w:rsidP="00FB0E38">
      <w:pPr>
        <w:spacing w:line="276" w:lineRule="auto"/>
        <w:jc w:val="both"/>
        <w:rPr>
          <w:rFonts w:ascii="Arial" w:hAnsi="Arial" w:cs="Arial"/>
        </w:rPr>
      </w:pPr>
      <w:r w:rsidRPr="00B23FA4">
        <w:rPr>
          <w:vertAlign w:val="superscript"/>
        </w:rPr>
        <w:t>1</w:t>
      </w:r>
      <w:r w:rsidRPr="009F2820">
        <w:rPr>
          <w:rFonts w:ascii="Arial" w:hAnsi="Arial" w:cs="Arial"/>
        </w:rPr>
        <w:t xml:space="preserve">Multiscale Bioengineering, Bielefeld University, </w:t>
      </w:r>
      <w:proofErr w:type="spellStart"/>
      <w:r w:rsidRPr="009F2820">
        <w:rPr>
          <w:rFonts w:ascii="Arial" w:hAnsi="Arial" w:cs="Arial"/>
        </w:rPr>
        <w:t>Universitätsstr</w:t>
      </w:r>
      <w:proofErr w:type="spellEnd"/>
      <w:r w:rsidRPr="009F2820">
        <w:rPr>
          <w:rFonts w:ascii="Arial" w:hAnsi="Arial" w:cs="Arial"/>
        </w:rPr>
        <w:t>. 25, 33615 Bielefeld, Germany</w:t>
      </w:r>
    </w:p>
    <w:p w14:paraId="6C0A5204" w14:textId="77777777" w:rsidR="00C9252D" w:rsidRDefault="00C9252D" w:rsidP="00FB0E38">
      <w:pPr>
        <w:jc w:val="both"/>
        <w:rPr>
          <w:lang w:val="en-US"/>
        </w:rPr>
      </w:pPr>
    </w:p>
    <w:p w14:paraId="77B0FB2C" w14:textId="6BE60862" w:rsidR="00C9252D" w:rsidRDefault="00C9252D" w:rsidP="00FB0E38">
      <w:pPr>
        <w:jc w:val="both"/>
        <w:rPr>
          <w:lang w:val="en-US"/>
        </w:rPr>
      </w:pPr>
      <w:r>
        <w:rPr>
          <w:lang w:val="en-US"/>
        </w:rPr>
        <w:t>The supplementary information include:</w:t>
      </w:r>
    </w:p>
    <w:p w14:paraId="2C1DE5DD" w14:textId="45362665" w:rsidR="003433AB" w:rsidRPr="00C9252D" w:rsidRDefault="0056585E" w:rsidP="00FB0E38">
      <w:pPr>
        <w:pStyle w:val="Listenabsatz"/>
        <w:numPr>
          <w:ilvl w:val="0"/>
          <w:numId w:val="3"/>
        </w:numPr>
        <w:jc w:val="both"/>
        <w:rPr>
          <w:lang w:val="en-US"/>
        </w:rPr>
      </w:pPr>
      <w:r w:rsidRPr="00C9252D">
        <w:rPr>
          <w:lang w:val="en-US"/>
        </w:rPr>
        <w:t xml:space="preserve">Table S1: </w:t>
      </w:r>
      <w:r w:rsidR="00C9252D" w:rsidRPr="005A143E">
        <w:rPr>
          <w:lang w:val="en-US"/>
        </w:rPr>
        <w:t>Reference table for timescales in microbiology and bioprocessing.</w:t>
      </w:r>
    </w:p>
    <w:p w14:paraId="00BC4315" w14:textId="3182C8E5" w:rsidR="00894749" w:rsidRDefault="00E9357D" w:rsidP="00FB0E38">
      <w:pPr>
        <w:pStyle w:val="Listenabsatz"/>
        <w:numPr>
          <w:ilvl w:val="0"/>
          <w:numId w:val="3"/>
        </w:numPr>
        <w:jc w:val="both"/>
        <w:rPr>
          <w:lang w:val="en-US"/>
        </w:rPr>
      </w:pPr>
      <w:r w:rsidRPr="00C9252D">
        <w:rPr>
          <w:lang w:val="en-US"/>
        </w:rPr>
        <w:t>Figure S</w:t>
      </w:r>
      <w:r w:rsidR="00C9252D">
        <w:rPr>
          <w:lang w:val="en-US"/>
        </w:rPr>
        <w:t>1</w:t>
      </w:r>
      <w:r w:rsidRPr="00C9252D">
        <w:rPr>
          <w:lang w:val="en-US"/>
        </w:rPr>
        <w:t xml:space="preserve">: </w:t>
      </w:r>
      <w:r w:rsidR="006557B2" w:rsidRPr="005A143E">
        <w:rPr>
          <w:lang w:val="en-US"/>
        </w:rPr>
        <w:t>Characterization of the applied microfluidic chip concerning flow profile definition.</w:t>
      </w:r>
    </w:p>
    <w:p w14:paraId="396623A6" w14:textId="36C678D7" w:rsidR="00C9252D" w:rsidRDefault="00C9252D" w:rsidP="00FB0E38">
      <w:pPr>
        <w:pStyle w:val="Listenabsatz"/>
        <w:numPr>
          <w:ilvl w:val="0"/>
          <w:numId w:val="3"/>
        </w:numPr>
        <w:jc w:val="both"/>
        <w:rPr>
          <w:lang w:val="en-US"/>
        </w:rPr>
      </w:pPr>
      <w:r>
        <w:rPr>
          <w:lang w:val="en-US"/>
        </w:rPr>
        <w:t xml:space="preserve">Figure S2: </w:t>
      </w:r>
      <w:r w:rsidR="006557B2" w:rsidRPr="005A143E">
        <w:rPr>
          <w:lang w:val="en-US"/>
        </w:rPr>
        <w:t>Cellular performance of the three examined yeast strains in different times spent in excess condition.</w:t>
      </w:r>
    </w:p>
    <w:p w14:paraId="2F9E18D2" w14:textId="6E9BFFE8" w:rsidR="00C9252D" w:rsidRDefault="00C9252D" w:rsidP="00FB0E38">
      <w:pPr>
        <w:pStyle w:val="Listenabsatz"/>
        <w:numPr>
          <w:ilvl w:val="0"/>
          <w:numId w:val="3"/>
        </w:numPr>
        <w:jc w:val="both"/>
        <w:rPr>
          <w:lang w:val="en-US"/>
        </w:rPr>
      </w:pPr>
      <w:r>
        <w:rPr>
          <w:lang w:val="en-US"/>
        </w:rPr>
        <w:t xml:space="preserve">Figure S3: </w:t>
      </w:r>
      <w:r w:rsidR="006557B2">
        <w:rPr>
          <w:lang w:val="en-US"/>
        </w:rPr>
        <w:t>Growth, cell size and ATP level of the strain CEN.PK113-7D at 9 s spent in excess conditions over the course of cultivation.</w:t>
      </w:r>
    </w:p>
    <w:p w14:paraId="02786081" w14:textId="20717511" w:rsidR="00C9252D" w:rsidRDefault="00C9252D" w:rsidP="00FB0E38">
      <w:pPr>
        <w:pStyle w:val="Listenabsatz"/>
        <w:numPr>
          <w:ilvl w:val="0"/>
          <w:numId w:val="3"/>
        </w:numPr>
        <w:jc w:val="both"/>
        <w:rPr>
          <w:lang w:val="en-US"/>
        </w:rPr>
      </w:pPr>
      <w:r>
        <w:rPr>
          <w:lang w:val="en-US"/>
        </w:rPr>
        <w:t xml:space="preserve">Figure S4: </w:t>
      </w:r>
      <w:r w:rsidR="006557B2">
        <w:rPr>
          <w:lang w:val="en-US"/>
        </w:rPr>
        <w:t>Growth, cell size and glycolytic flux of the strain CEN.PK113-7D at 9 s spent in excess conditions over the course of cultivation.</w:t>
      </w:r>
    </w:p>
    <w:p w14:paraId="72DEC610" w14:textId="47B85FB9" w:rsidR="00C9252D" w:rsidRDefault="00C9252D" w:rsidP="00FB0E38">
      <w:pPr>
        <w:pStyle w:val="Listenabsatz"/>
        <w:numPr>
          <w:ilvl w:val="0"/>
          <w:numId w:val="3"/>
        </w:numPr>
        <w:jc w:val="both"/>
        <w:rPr>
          <w:lang w:val="en-US"/>
        </w:rPr>
      </w:pPr>
      <w:r>
        <w:rPr>
          <w:lang w:val="en-US"/>
        </w:rPr>
        <w:t>Figure S5:</w:t>
      </w:r>
      <w:r w:rsidR="006557B2">
        <w:rPr>
          <w:lang w:val="en-US"/>
        </w:rPr>
        <w:t xml:space="preserve"> </w:t>
      </w:r>
      <w:r w:rsidR="006557B2" w:rsidRPr="006557B2">
        <w:rPr>
          <w:lang w:val="en-US"/>
        </w:rPr>
        <w:t>Growth, cell size and glycolytic flux of the strain Ethanol Red at 9 s spent in excess conditions over the course of cultivation.</w:t>
      </w:r>
    </w:p>
    <w:p w14:paraId="11511024" w14:textId="7C0A7F5E" w:rsidR="00C9252D" w:rsidRDefault="00C9252D" w:rsidP="00FB0E38">
      <w:pPr>
        <w:pStyle w:val="Listenabsatz"/>
        <w:numPr>
          <w:ilvl w:val="0"/>
          <w:numId w:val="3"/>
        </w:numPr>
        <w:jc w:val="both"/>
        <w:rPr>
          <w:lang w:val="en-US"/>
        </w:rPr>
      </w:pPr>
      <w:r>
        <w:rPr>
          <w:lang w:val="en-US"/>
        </w:rPr>
        <w:t>Figure S6:</w:t>
      </w:r>
      <w:r w:rsidR="006557B2">
        <w:rPr>
          <w:lang w:val="en-US"/>
        </w:rPr>
        <w:t xml:space="preserve"> Growth, cell size and glycolytic flux of the strain Ethanol</w:t>
      </w:r>
      <w:r w:rsidR="00723AA8">
        <w:rPr>
          <w:lang w:val="en-US"/>
        </w:rPr>
        <w:t xml:space="preserve"> </w:t>
      </w:r>
      <w:r w:rsidR="006557B2">
        <w:rPr>
          <w:lang w:val="en-US"/>
        </w:rPr>
        <w:t>Red at 9 s spent in excess conditions over the course of cultivation.</w:t>
      </w:r>
    </w:p>
    <w:p w14:paraId="5F966716" w14:textId="785767FB" w:rsidR="00C9252D" w:rsidRDefault="00C9252D" w:rsidP="00FB0E38">
      <w:pPr>
        <w:pStyle w:val="Listenabsatz"/>
        <w:numPr>
          <w:ilvl w:val="0"/>
          <w:numId w:val="3"/>
        </w:numPr>
        <w:jc w:val="both"/>
        <w:rPr>
          <w:lang w:val="en-US"/>
        </w:rPr>
      </w:pPr>
      <w:r>
        <w:rPr>
          <w:lang w:val="en-US"/>
        </w:rPr>
        <w:t>Figure S7:</w:t>
      </w:r>
      <w:r w:rsidR="006557B2">
        <w:rPr>
          <w:lang w:val="en-US"/>
        </w:rPr>
        <w:t xml:space="preserve"> Growth, cell size and ATP level of the strain PE2 at 9 s spent in excess conditions over the course of cultivation.</w:t>
      </w:r>
    </w:p>
    <w:p w14:paraId="27FD99AD" w14:textId="6106A6D0" w:rsidR="00C9252D" w:rsidRDefault="00C9252D" w:rsidP="00FB0E38">
      <w:pPr>
        <w:pStyle w:val="Listenabsatz"/>
        <w:numPr>
          <w:ilvl w:val="0"/>
          <w:numId w:val="3"/>
        </w:numPr>
        <w:jc w:val="both"/>
        <w:rPr>
          <w:lang w:val="en-US"/>
        </w:rPr>
      </w:pPr>
      <w:r>
        <w:rPr>
          <w:lang w:val="en-US"/>
        </w:rPr>
        <w:t>Figure S8:</w:t>
      </w:r>
      <w:r w:rsidR="006557B2">
        <w:rPr>
          <w:lang w:val="en-US"/>
        </w:rPr>
        <w:t xml:space="preserve"> Growth, cell size and glycolytic flux of the strain PE2 at 9 s spent in excess conditions over the course of cultivation.</w:t>
      </w:r>
    </w:p>
    <w:p w14:paraId="46FD3DCA" w14:textId="54133991" w:rsidR="00C9252D" w:rsidRPr="00C9252D" w:rsidRDefault="00C9252D" w:rsidP="00FB0E38">
      <w:pPr>
        <w:pStyle w:val="Listenabsatz"/>
        <w:numPr>
          <w:ilvl w:val="0"/>
          <w:numId w:val="3"/>
        </w:numPr>
        <w:jc w:val="both"/>
        <w:rPr>
          <w:lang w:val="en-US"/>
        </w:rPr>
      </w:pPr>
      <w:r>
        <w:rPr>
          <w:lang w:val="en-US"/>
        </w:rPr>
        <w:t>Figure S9:</w:t>
      </w:r>
      <w:r w:rsidR="006557B2">
        <w:rPr>
          <w:lang w:val="en-US"/>
        </w:rPr>
        <w:t xml:space="preserve"> </w:t>
      </w:r>
      <w:r w:rsidR="006557B2" w:rsidRPr="005A143E">
        <w:rPr>
          <w:lang w:val="en-US"/>
        </w:rPr>
        <w:t>Attempted Monod-kinetic fit to illustrate the growth curve behavior</w:t>
      </w:r>
      <w:r w:rsidR="006557B2">
        <w:rPr>
          <w:lang w:val="en-US"/>
        </w:rPr>
        <w:t xml:space="preserve"> </w:t>
      </w:r>
      <w:r w:rsidR="006557B2" w:rsidRPr="005A143E">
        <w:t>for all three yeast strains</w:t>
      </w:r>
      <w:r w:rsidR="006557B2">
        <w:t>.</w:t>
      </w:r>
    </w:p>
    <w:p w14:paraId="47C83863" w14:textId="0C3A9D30" w:rsidR="00370E25" w:rsidRPr="005A143E" w:rsidRDefault="00370E25" w:rsidP="00FB0E38">
      <w:pPr>
        <w:jc w:val="both"/>
        <w:rPr>
          <w:lang w:val="en-US"/>
        </w:rPr>
      </w:pPr>
      <w:r w:rsidRPr="005A143E">
        <w:rPr>
          <w:lang w:val="en-US"/>
        </w:rPr>
        <w:br w:type="page"/>
      </w:r>
    </w:p>
    <w:p w14:paraId="62D0BB4F" w14:textId="174E04D6" w:rsidR="00F03A94" w:rsidRPr="005A143E" w:rsidRDefault="00F03A94" w:rsidP="00FB0E38">
      <w:pPr>
        <w:pStyle w:val="berschrift2"/>
        <w:jc w:val="both"/>
        <w:rPr>
          <w:lang w:val="en-US"/>
        </w:rPr>
      </w:pPr>
      <w:r w:rsidRPr="005A143E">
        <w:rPr>
          <w:lang w:val="en-US"/>
        </w:rPr>
        <w:lastRenderedPageBreak/>
        <w:t xml:space="preserve">Table S1: </w:t>
      </w:r>
    </w:p>
    <w:p w14:paraId="037B65BF" w14:textId="54ACD8EE" w:rsidR="00F03A94" w:rsidRPr="005A143E" w:rsidRDefault="00C0727C" w:rsidP="00FB0E38">
      <w:pPr>
        <w:jc w:val="both"/>
        <w:rPr>
          <w:lang w:val="en-US"/>
        </w:rPr>
      </w:pPr>
      <w:r w:rsidRPr="005A143E">
        <w:rPr>
          <w:lang w:val="en-US"/>
        </w:rPr>
        <w:t xml:space="preserve">Tab. S1: </w:t>
      </w:r>
      <w:r w:rsidR="00F03A94" w:rsidRPr="005A143E">
        <w:rPr>
          <w:lang w:val="en-US"/>
        </w:rPr>
        <w:t xml:space="preserve">Reference table for timescales </w:t>
      </w:r>
      <w:r w:rsidRPr="005A143E">
        <w:rPr>
          <w:lang w:val="en-US"/>
        </w:rPr>
        <w:t>in microbiology and bioprocessing</w:t>
      </w:r>
      <w:r w:rsidR="00F03A94" w:rsidRPr="005A143E">
        <w:rPr>
          <w:lang w:val="en-US"/>
        </w:rPr>
        <w:t xml:space="preserve">. </w:t>
      </w:r>
    </w:p>
    <w:tbl>
      <w:tblPr>
        <w:tblStyle w:val="Tabellenraster"/>
        <w:tblW w:w="0" w:type="auto"/>
        <w:tblLook w:val="04A0" w:firstRow="1" w:lastRow="0" w:firstColumn="1" w:lastColumn="0" w:noHBand="0" w:noVBand="1"/>
      </w:tblPr>
      <w:tblGrid>
        <w:gridCol w:w="1980"/>
        <w:gridCol w:w="1843"/>
        <w:gridCol w:w="3118"/>
        <w:gridCol w:w="2121"/>
      </w:tblGrid>
      <w:tr w:rsidR="00F03A94" w:rsidRPr="005A143E" w14:paraId="47A47672" w14:textId="77777777" w:rsidTr="00FB0E38">
        <w:trPr>
          <w:trHeight w:val="20"/>
          <w:tblHeader/>
        </w:trPr>
        <w:tc>
          <w:tcPr>
            <w:tcW w:w="3823" w:type="dxa"/>
            <w:gridSpan w:val="2"/>
          </w:tcPr>
          <w:p w14:paraId="7CAF5EA7" w14:textId="77777777" w:rsidR="00F03A94" w:rsidRPr="005A143E" w:rsidRDefault="00F03A94" w:rsidP="00FB0E38">
            <w:pPr>
              <w:jc w:val="both"/>
              <w:rPr>
                <w:rFonts w:cs="Aptos Serif"/>
                <w:sz w:val="20"/>
                <w:szCs w:val="20"/>
                <w:lang w:val="en-US"/>
              </w:rPr>
            </w:pPr>
            <w:r w:rsidRPr="005A143E">
              <w:rPr>
                <w:rFonts w:cs="Aptos Serif"/>
                <w:sz w:val="20"/>
                <w:szCs w:val="20"/>
                <w:lang w:val="en-US"/>
              </w:rPr>
              <w:t>Duration / rate</w:t>
            </w:r>
          </w:p>
        </w:tc>
        <w:tc>
          <w:tcPr>
            <w:tcW w:w="3118" w:type="dxa"/>
          </w:tcPr>
          <w:p w14:paraId="6ECF2380" w14:textId="77777777" w:rsidR="00F03A94" w:rsidRPr="005A143E" w:rsidRDefault="00F03A94" w:rsidP="00FB0E38">
            <w:pPr>
              <w:jc w:val="both"/>
              <w:rPr>
                <w:rFonts w:cs="Aptos Serif"/>
                <w:sz w:val="20"/>
                <w:szCs w:val="20"/>
                <w:lang w:val="en-US"/>
              </w:rPr>
            </w:pPr>
            <w:r w:rsidRPr="005A143E">
              <w:rPr>
                <w:rFonts w:cs="Aptos Serif"/>
                <w:sz w:val="20"/>
                <w:szCs w:val="20"/>
                <w:lang w:val="en-US"/>
              </w:rPr>
              <w:t>Process</w:t>
            </w:r>
          </w:p>
        </w:tc>
        <w:tc>
          <w:tcPr>
            <w:tcW w:w="2121" w:type="dxa"/>
          </w:tcPr>
          <w:p w14:paraId="1B91E900" w14:textId="77777777" w:rsidR="00F03A94" w:rsidRPr="005A143E" w:rsidRDefault="00F03A94" w:rsidP="00FB0E38">
            <w:pPr>
              <w:jc w:val="both"/>
              <w:rPr>
                <w:rFonts w:cs="Aptos Serif"/>
                <w:sz w:val="20"/>
                <w:szCs w:val="20"/>
                <w:lang w:val="en-US"/>
              </w:rPr>
            </w:pPr>
            <w:r w:rsidRPr="005A143E">
              <w:rPr>
                <w:rFonts w:cs="Aptos Serif"/>
                <w:sz w:val="20"/>
                <w:szCs w:val="20"/>
                <w:lang w:val="en-US"/>
              </w:rPr>
              <w:t>Reference</w:t>
            </w:r>
          </w:p>
        </w:tc>
      </w:tr>
      <w:tr w:rsidR="00F03A94" w:rsidRPr="005A143E" w14:paraId="1E30009B" w14:textId="77777777" w:rsidTr="00FB0E38">
        <w:trPr>
          <w:trHeight w:val="20"/>
          <w:tblHeader/>
        </w:trPr>
        <w:tc>
          <w:tcPr>
            <w:tcW w:w="1980" w:type="dxa"/>
          </w:tcPr>
          <w:p w14:paraId="0B60DE44" w14:textId="77777777" w:rsidR="00F03A94" w:rsidRPr="005A143E" w:rsidRDefault="00F03A94" w:rsidP="00FB0E38">
            <w:pPr>
              <w:jc w:val="both"/>
              <w:rPr>
                <w:rFonts w:cs="Aptos Serif"/>
                <w:sz w:val="20"/>
                <w:szCs w:val="20"/>
                <w:lang w:val="en-US"/>
              </w:rPr>
            </w:pPr>
            <w:r w:rsidRPr="005A143E">
              <w:rPr>
                <w:rFonts w:cs="Aptos Serif"/>
                <w:sz w:val="20"/>
                <w:szCs w:val="20"/>
                <w:lang w:val="en-US"/>
              </w:rPr>
              <w:t>From</w:t>
            </w:r>
          </w:p>
        </w:tc>
        <w:tc>
          <w:tcPr>
            <w:tcW w:w="1843" w:type="dxa"/>
          </w:tcPr>
          <w:p w14:paraId="1E3B8AEE" w14:textId="77777777" w:rsidR="00F03A94" w:rsidRPr="005A143E" w:rsidRDefault="00F03A94" w:rsidP="00FB0E38">
            <w:pPr>
              <w:jc w:val="both"/>
              <w:rPr>
                <w:rFonts w:cs="Aptos Serif"/>
                <w:sz w:val="20"/>
                <w:szCs w:val="20"/>
                <w:lang w:val="en-US"/>
              </w:rPr>
            </w:pPr>
            <w:r w:rsidRPr="005A143E">
              <w:rPr>
                <w:rFonts w:cs="Aptos Serif"/>
                <w:sz w:val="20"/>
                <w:szCs w:val="20"/>
                <w:lang w:val="en-US"/>
              </w:rPr>
              <w:t>To</w:t>
            </w:r>
          </w:p>
        </w:tc>
        <w:tc>
          <w:tcPr>
            <w:tcW w:w="3118" w:type="dxa"/>
          </w:tcPr>
          <w:p w14:paraId="6D4D9716" w14:textId="77777777" w:rsidR="00F03A94" w:rsidRPr="005A143E" w:rsidRDefault="00F03A94" w:rsidP="00FB0E38">
            <w:pPr>
              <w:jc w:val="both"/>
              <w:rPr>
                <w:rFonts w:cs="Aptos Serif"/>
                <w:sz w:val="20"/>
                <w:szCs w:val="20"/>
                <w:lang w:val="en-US"/>
              </w:rPr>
            </w:pPr>
          </w:p>
        </w:tc>
        <w:tc>
          <w:tcPr>
            <w:tcW w:w="2121" w:type="dxa"/>
          </w:tcPr>
          <w:p w14:paraId="54AA23E6" w14:textId="77777777" w:rsidR="00F03A94" w:rsidRPr="005A143E" w:rsidRDefault="00F03A94" w:rsidP="00FB0E38">
            <w:pPr>
              <w:jc w:val="both"/>
              <w:rPr>
                <w:rFonts w:cs="Aptos Serif"/>
                <w:sz w:val="20"/>
                <w:szCs w:val="20"/>
                <w:lang w:val="en-US"/>
              </w:rPr>
            </w:pPr>
          </w:p>
        </w:tc>
      </w:tr>
      <w:tr w:rsidR="00F03A94" w:rsidRPr="005A143E" w14:paraId="186A72A0" w14:textId="77777777" w:rsidTr="00FB0E38">
        <w:trPr>
          <w:trHeight w:val="20"/>
          <w:tblHeader/>
        </w:trPr>
        <w:tc>
          <w:tcPr>
            <w:tcW w:w="1980" w:type="dxa"/>
          </w:tcPr>
          <w:p w14:paraId="7D60DA0B" w14:textId="2B317DED" w:rsidR="00F03A94" w:rsidRPr="005A143E" w:rsidRDefault="00F03A94" w:rsidP="00FB0E38">
            <w:pPr>
              <w:jc w:val="both"/>
              <w:rPr>
                <w:rFonts w:cs="Aptos Serif"/>
                <w:sz w:val="20"/>
                <w:szCs w:val="20"/>
                <w:lang w:val="en-US"/>
              </w:rPr>
            </w:pPr>
            <w:r w:rsidRPr="005A143E">
              <w:rPr>
                <w:rFonts w:cs="Aptos Serif"/>
                <w:sz w:val="20"/>
                <w:szCs w:val="20"/>
                <w:lang w:val="en-US"/>
              </w:rPr>
              <w:t>10</w:t>
            </w:r>
            <w:r w:rsidR="001B2838">
              <w:t xml:space="preserve"> </w:t>
            </w:r>
            <w:proofErr w:type="spellStart"/>
            <w:r w:rsidR="001B2838" w:rsidRPr="001B2838">
              <w:rPr>
                <w:rFonts w:cs="Aptos Serif"/>
                <w:sz w:val="20"/>
                <w:szCs w:val="20"/>
                <w:lang w:val="en-US"/>
              </w:rPr>
              <w:t>nt</w:t>
            </w:r>
            <w:proofErr w:type="spellEnd"/>
            <w:r w:rsidR="001B2838" w:rsidRPr="001B2838">
              <w:rPr>
                <w:rFonts w:cs="Aptos Serif"/>
                <w:sz w:val="20"/>
                <w:szCs w:val="20"/>
                <w:lang w:val="en-US"/>
              </w:rPr>
              <w:t>/s</w:t>
            </w:r>
          </w:p>
        </w:tc>
        <w:tc>
          <w:tcPr>
            <w:tcW w:w="1843" w:type="dxa"/>
          </w:tcPr>
          <w:p w14:paraId="0799C8B1"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100 </w:t>
            </w:r>
            <w:proofErr w:type="spellStart"/>
            <w:r w:rsidRPr="005A143E">
              <w:rPr>
                <w:rFonts w:cs="Aptos Serif"/>
                <w:sz w:val="20"/>
                <w:szCs w:val="20"/>
                <w:lang w:val="en-US"/>
              </w:rPr>
              <w:t>nt</w:t>
            </w:r>
            <w:proofErr w:type="spellEnd"/>
            <w:r w:rsidRPr="005A143E">
              <w:rPr>
                <w:rFonts w:cs="Aptos Serif"/>
                <w:sz w:val="20"/>
                <w:szCs w:val="20"/>
                <w:lang w:val="en-US"/>
              </w:rPr>
              <w:t>/s</w:t>
            </w:r>
          </w:p>
        </w:tc>
        <w:tc>
          <w:tcPr>
            <w:tcW w:w="3118" w:type="dxa"/>
          </w:tcPr>
          <w:p w14:paraId="31B4E8F9" w14:textId="77777777" w:rsidR="00F03A94" w:rsidRPr="005A143E" w:rsidRDefault="00F03A94" w:rsidP="00FB0E38">
            <w:pPr>
              <w:jc w:val="both"/>
              <w:rPr>
                <w:rFonts w:cs="Aptos Serif"/>
                <w:sz w:val="20"/>
                <w:szCs w:val="20"/>
                <w:lang w:val="en-US"/>
              </w:rPr>
            </w:pPr>
            <w:r w:rsidRPr="005A143E">
              <w:rPr>
                <w:rFonts w:cs="Aptos Serif"/>
                <w:sz w:val="20"/>
                <w:szCs w:val="20"/>
                <w:lang w:val="en-US"/>
              </w:rPr>
              <w:t>Transcription</w:t>
            </w:r>
          </w:p>
        </w:tc>
        <w:tc>
          <w:tcPr>
            <w:tcW w:w="2121" w:type="dxa"/>
          </w:tcPr>
          <w:p w14:paraId="045A548E" w14:textId="0AC89284"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zVi2ot36","properties":{"formattedCitation":"[1]","plainCitation":"[1]","noteIndex":0},"citationItems":[{"id":2369,"uris":["http://zotero.org/users/9391468/items/Y6GJ7525"],"itemData":{"id":2369,"type":"article-journal","citation-key":"shamir2016SnapShotTimescalesCell","container-title":"Cell","DOI":"10.1016/j.cell.2016.02.058","ISSN":"1097-4172","issue":"6","journalAbbreviation":"Cell","language":"eng","page":"1302-1302.e1","PMID":"26967295","source":"PubMed","title":"SnapShot: Timescales in cell biology","title-short":"SnapShot","volume":"164","author":[{"family":"Shamir","given":"Maya"},{"family":"Bar-On","given":"Yinon"},{"family":"Phillips","given":"Rob"},{"family":"Milo","given":"Ron"}],"issued":{"date-parts":[["2016",3,10]]}}}],"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[1]</w:t>
            </w:r>
            <w:r w:rsidRPr="005A143E">
              <w:rPr>
                <w:rFonts w:cs="Aptos Serif"/>
                <w:sz w:val="20"/>
                <w:szCs w:val="20"/>
                <w:lang w:val="en-US"/>
              </w:rPr>
              <w:fldChar w:fldCharType="end"/>
            </w:r>
          </w:p>
        </w:tc>
      </w:tr>
      <w:tr w:rsidR="00F03A94" w:rsidRPr="005A143E" w14:paraId="6D21E161" w14:textId="77777777" w:rsidTr="00FB0E38">
        <w:trPr>
          <w:trHeight w:val="20"/>
          <w:tblHeader/>
        </w:trPr>
        <w:tc>
          <w:tcPr>
            <w:tcW w:w="1980" w:type="dxa"/>
          </w:tcPr>
          <w:p w14:paraId="0951D72C" w14:textId="7E70CBFC" w:rsidR="00F03A94" w:rsidRPr="005A143E" w:rsidRDefault="00F03A94" w:rsidP="00FB0E38">
            <w:pPr>
              <w:jc w:val="both"/>
              <w:rPr>
                <w:rFonts w:cs="Aptos Serif"/>
                <w:sz w:val="20"/>
                <w:szCs w:val="20"/>
                <w:lang w:val="en-US"/>
              </w:rPr>
            </w:pPr>
            <w:r w:rsidRPr="005A143E">
              <w:rPr>
                <w:rFonts w:cs="Aptos Serif"/>
                <w:sz w:val="20"/>
                <w:szCs w:val="20"/>
                <w:lang w:val="en-US"/>
              </w:rPr>
              <w:t>10 aa/ s (</w:t>
            </w:r>
            <w:r w:rsidR="006557B2">
              <w:rPr>
                <w:rFonts w:cs="Aptos Serif"/>
                <w:sz w:val="20"/>
                <w:szCs w:val="20"/>
                <w:lang w:val="en-US"/>
              </w:rPr>
              <w:t>~</w:t>
            </w:r>
            <w:r w:rsidRPr="005A143E">
              <w:rPr>
                <w:rFonts w:cs="Aptos Serif"/>
                <w:sz w:val="20"/>
                <w:szCs w:val="20"/>
                <w:lang w:val="en-US"/>
              </w:rPr>
              <w:t>1 min/prot</w:t>
            </w:r>
            <w:r w:rsidR="006557B2">
              <w:rPr>
                <w:rFonts w:cs="Aptos Serif"/>
                <w:sz w:val="20"/>
                <w:szCs w:val="20"/>
                <w:lang w:val="en-US"/>
              </w:rPr>
              <w:t>ein</w:t>
            </w:r>
            <w:r w:rsidRPr="005A143E">
              <w:rPr>
                <w:rFonts w:cs="Aptos Serif"/>
                <w:sz w:val="20"/>
                <w:szCs w:val="20"/>
                <w:lang w:val="en-US"/>
              </w:rPr>
              <w:t>)</w:t>
            </w:r>
          </w:p>
        </w:tc>
        <w:tc>
          <w:tcPr>
            <w:tcW w:w="1843" w:type="dxa"/>
          </w:tcPr>
          <w:p w14:paraId="23B8687C" w14:textId="77777777" w:rsidR="00F03A94" w:rsidRPr="005A143E" w:rsidRDefault="00F03A94" w:rsidP="00FB0E38">
            <w:pPr>
              <w:jc w:val="both"/>
              <w:rPr>
                <w:rFonts w:cs="Aptos Serif"/>
                <w:sz w:val="20"/>
                <w:szCs w:val="20"/>
                <w:lang w:val="en-US"/>
              </w:rPr>
            </w:pPr>
          </w:p>
        </w:tc>
        <w:tc>
          <w:tcPr>
            <w:tcW w:w="3118" w:type="dxa"/>
          </w:tcPr>
          <w:p w14:paraId="748D2B0B" w14:textId="77777777" w:rsidR="00F03A94" w:rsidRPr="005A143E" w:rsidRDefault="00F03A94" w:rsidP="00FB0E38">
            <w:pPr>
              <w:jc w:val="both"/>
              <w:rPr>
                <w:rFonts w:cs="Aptos Serif"/>
                <w:sz w:val="20"/>
                <w:szCs w:val="20"/>
                <w:lang w:val="en-US"/>
              </w:rPr>
            </w:pPr>
            <w:r w:rsidRPr="005A143E">
              <w:rPr>
                <w:rFonts w:cs="Aptos Serif"/>
                <w:sz w:val="20"/>
                <w:szCs w:val="20"/>
                <w:lang w:val="en-US"/>
              </w:rPr>
              <w:t>Translation</w:t>
            </w:r>
          </w:p>
        </w:tc>
        <w:tc>
          <w:tcPr>
            <w:tcW w:w="2121" w:type="dxa"/>
          </w:tcPr>
          <w:p w14:paraId="66B94891" w14:textId="2AEA4416"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AjSZDlWm","properties":{"formattedCitation":"[1]","plainCitation":"[1]","noteIndex":0},"citationItems":[{"id":2369,"uris":["http://zotero.org/users/9391468/items/Y6GJ7525"],"itemData":{"id":2369,"type":"article-journal","citation-key":"shamir2016SnapShotTimescalesCell","container-title":"Cell","DOI":"10.1016/j.cell.2016.02.058","ISSN":"1097-4172","issue":"6","journalAbbreviation":"Cell","language":"eng","page":"1302-1302.e1","PMID":"26967295","source":"PubMed","title":"SnapShot: Timescales in cell biology","title-short":"SnapShot","volume":"164","author":[{"family":"Shamir","given":"Maya"},{"family":"Bar-On","given":"Yinon"},{"family":"Phillips","given":"Rob"},{"family":"Milo","given":"Ron"}],"issued":{"date-parts":[["2016",3,10]]}}}],"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[1]</w:t>
            </w:r>
            <w:r w:rsidRPr="005A143E">
              <w:rPr>
                <w:rFonts w:cs="Aptos Serif"/>
                <w:sz w:val="20"/>
                <w:szCs w:val="20"/>
                <w:lang w:val="en-US"/>
              </w:rPr>
              <w:fldChar w:fldCharType="end"/>
            </w:r>
          </w:p>
        </w:tc>
      </w:tr>
      <w:tr w:rsidR="00F03A94" w:rsidRPr="005A143E" w14:paraId="7CE1A194" w14:textId="77777777" w:rsidTr="00FB0E38">
        <w:trPr>
          <w:trHeight w:val="20"/>
          <w:tblHeader/>
        </w:trPr>
        <w:tc>
          <w:tcPr>
            <w:tcW w:w="1980" w:type="dxa"/>
          </w:tcPr>
          <w:p w14:paraId="47D025FF"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1 </w:t>
            </w:r>
            <w:proofErr w:type="spellStart"/>
            <w:r w:rsidRPr="005A143E">
              <w:rPr>
                <w:rFonts w:cs="Aptos Serif"/>
                <w:sz w:val="20"/>
                <w:szCs w:val="20"/>
                <w:lang w:val="en-US"/>
              </w:rPr>
              <w:t>ms</w:t>
            </w:r>
            <w:proofErr w:type="spellEnd"/>
          </w:p>
        </w:tc>
        <w:tc>
          <w:tcPr>
            <w:tcW w:w="1843" w:type="dxa"/>
          </w:tcPr>
          <w:p w14:paraId="174E86E0" w14:textId="77777777" w:rsidR="00F03A94" w:rsidRPr="005A143E" w:rsidRDefault="00F03A94" w:rsidP="00FB0E38">
            <w:pPr>
              <w:jc w:val="both"/>
              <w:rPr>
                <w:rFonts w:cs="Aptos Serif"/>
                <w:sz w:val="20"/>
                <w:szCs w:val="20"/>
                <w:lang w:val="en-US"/>
              </w:rPr>
            </w:pPr>
            <w:r w:rsidRPr="005A143E">
              <w:rPr>
                <w:rFonts w:cs="Aptos Serif"/>
                <w:sz w:val="20"/>
                <w:szCs w:val="20"/>
                <w:lang w:val="en-US"/>
              </w:rPr>
              <w:t>1 min</w:t>
            </w:r>
          </w:p>
        </w:tc>
        <w:tc>
          <w:tcPr>
            <w:tcW w:w="3118" w:type="dxa"/>
          </w:tcPr>
          <w:p w14:paraId="3A98EDAE" w14:textId="77777777" w:rsidR="00F03A94" w:rsidRPr="005A143E" w:rsidRDefault="00F03A94" w:rsidP="00FB0E38">
            <w:pPr>
              <w:jc w:val="both"/>
              <w:rPr>
                <w:rFonts w:cs="Aptos Serif"/>
                <w:sz w:val="20"/>
                <w:szCs w:val="20"/>
                <w:lang w:val="en-US"/>
              </w:rPr>
            </w:pPr>
            <w:r w:rsidRPr="005A143E">
              <w:rPr>
                <w:rFonts w:cs="Aptos Serif"/>
                <w:sz w:val="20"/>
                <w:szCs w:val="20"/>
                <w:lang w:val="en-US"/>
              </w:rPr>
              <w:t>Protein folding</w:t>
            </w:r>
          </w:p>
        </w:tc>
        <w:tc>
          <w:tcPr>
            <w:tcW w:w="2121" w:type="dxa"/>
          </w:tcPr>
          <w:p w14:paraId="17E30FCB" w14:textId="60738191"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SvayUNqR","properties":{"formattedCitation":"[1]","plainCitation":"[1]","noteIndex":0},"citationItems":[{"id":2369,"uris":["http://zotero.org/users/9391468/items/Y6GJ7525"],"itemData":{"id":2369,"type":"article-journal","citation-key":"shamir2016SnapShotTimescalesCell","container-title":"Cell","DOI":"10.1016/j.cell.2016.02.058","ISSN":"1097-4172","issue":"6","journalAbbreviation":"Cell","language":"eng","page":"1302-1302.e1","PMID":"26967295","source":"PubMed","title":"SnapShot: Timescales in cell biology","title-short":"SnapShot","volume":"164","author":[{"family":"Shamir","given":"Maya"},{"family":"Bar-On","given":"Yinon"},{"family":"Phillips","given":"Rob"},{"family":"Milo","given":"Ron"}],"issued":{"date-parts":[["2016",3,10]]}}}],"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[1]</w:t>
            </w:r>
            <w:r w:rsidRPr="005A143E">
              <w:rPr>
                <w:rFonts w:cs="Aptos Serif"/>
                <w:sz w:val="20"/>
                <w:szCs w:val="20"/>
                <w:lang w:val="en-US"/>
              </w:rPr>
              <w:fldChar w:fldCharType="end"/>
            </w:r>
          </w:p>
        </w:tc>
      </w:tr>
      <w:tr w:rsidR="00F03A94" w:rsidRPr="005A143E" w14:paraId="68C95D8E" w14:textId="77777777" w:rsidTr="00FB0E38">
        <w:trPr>
          <w:trHeight w:val="20"/>
          <w:tblHeader/>
        </w:trPr>
        <w:tc>
          <w:tcPr>
            <w:tcW w:w="1980" w:type="dxa"/>
          </w:tcPr>
          <w:p w14:paraId="7700ABDD"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0.7 s (Fumarate in </w:t>
            </w:r>
            <w:r w:rsidRPr="005A143E">
              <w:rPr>
                <w:rFonts w:cs="Aptos Serif"/>
                <w:i/>
                <w:iCs/>
                <w:sz w:val="20"/>
                <w:szCs w:val="20"/>
                <w:lang w:val="en-US"/>
              </w:rPr>
              <w:t>EC</w:t>
            </w:r>
            <w:r w:rsidRPr="005A143E">
              <w:rPr>
                <w:rFonts w:cs="Aptos Serif"/>
                <w:sz w:val="20"/>
                <w:szCs w:val="20"/>
                <w:lang w:val="en-US"/>
              </w:rPr>
              <w:t>)</w:t>
            </w:r>
          </w:p>
        </w:tc>
        <w:tc>
          <w:tcPr>
            <w:tcW w:w="1843" w:type="dxa"/>
          </w:tcPr>
          <w:p w14:paraId="6FCE3C49"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3268 s (Ala in </w:t>
            </w:r>
            <w:r w:rsidRPr="005A143E">
              <w:rPr>
                <w:rFonts w:cs="Aptos Serif"/>
                <w:i/>
                <w:iCs/>
                <w:sz w:val="20"/>
                <w:szCs w:val="20"/>
                <w:lang w:val="en-US"/>
              </w:rPr>
              <w:t>SC</w:t>
            </w:r>
            <w:r w:rsidRPr="005A143E">
              <w:rPr>
                <w:rFonts w:cs="Aptos Serif"/>
                <w:sz w:val="20"/>
                <w:szCs w:val="20"/>
                <w:lang w:val="en-US"/>
              </w:rPr>
              <w:t>)</w:t>
            </w:r>
          </w:p>
        </w:tc>
        <w:tc>
          <w:tcPr>
            <w:tcW w:w="3118" w:type="dxa"/>
          </w:tcPr>
          <w:p w14:paraId="55EBB83A" w14:textId="77777777" w:rsidR="00F03A94" w:rsidRPr="005A143E" w:rsidRDefault="00F03A94" w:rsidP="00FB0E38">
            <w:pPr>
              <w:jc w:val="both"/>
              <w:rPr>
                <w:rFonts w:cs="Aptos Serif"/>
                <w:sz w:val="20"/>
                <w:szCs w:val="20"/>
                <w:lang w:val="en-US"/>
              </w:rPr>
            </w:pPr>
            <w:r w:rsidRPr="005A143E">
              <w:rPr>
                <w:rFonts w:cs="Aptos Serif"/>
                <w:sz w:val="20"/>
                <w:szCs w:val="20"/>
                <w:lang w:val="en-US"/>
              </w:rPr>
              <w:t>Metabolic turnover time</w:t>
            </w:r>
          </w:p>
        </w:tc>
        <w:tc>
          <w:tcPr>
            <w:tcW w:w="2121" w:type="dxa"/>
          </w:tcPr>
          <w:p w14:paraId="4F075EB6" w14:textId="4259CF9D"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{"citationID":"5Yj0QEQu","properties":{"formattedCitation":"[2]","plainCitation":"[2]","noteIndex":0},"citationItems":[{"id":174,"uris":["http://zotero.org/users/9391468/items/GGHMH9GL"],"itemData":{"id":174,"type":"article-journal","abstract":"Engineering in Life Sciences 2015.15:20-29","citation-key":"wangIntegrationMicrobialKinetics2015","container-title":"Engineering in Life Sciences","DOI":"10.1002/elsc.201400172","ISSN":"16180240","issue":"1","journalAbbreviation":"Eng. Life Sci.","note":"number-of-pages: 10","page":"20-29","title":"Integration of microbial kinetics and fluid dynamics toward model-driven scale-up of industrial bioprocesses","volume":"15","author":[{"family":"Wang","given":"Guan"},{"family":"Tang","given":"Wenjun"},{"family":"Xia","given":"Jianye"},{"family":"Chu","given":"Ju"},{"family":"Noorman","given":"Henk"},{"family":"Gulik","given":"Walter M.","non-dropping-particle":"van"}],"issued":{"date-parts":[["2015",1,1]]}},"locator":"201"}],"schema":"https://github.com/citation-style-language/schema/raw/master/csl-citation.json"}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[2]</w:t>
            </w:r>
            <w:r w:rsidRPr="005A143E">
              <w:rPr>
                <w:rFonts w:cs="Aptos Serif"/>
                <w:sz w:val="20"/>
                <w:szCs w:val="20"/>
                <w:lang w:val="en-US"/>
              </w:rPr>
              <w:fldChar w:fldCharType="end"/>
            </w:r>
          </w:p>
        </w:tc>
      </w:tr>
      <w:tr w:rsidR="00F03A94" w:rsidRPr="005A143E" w14:paraId="066BF85B" w14:textId="77777777" w:rsidTr="00FB0E38">
        <w:trPr>
          <w:trHeight w:val="20"/>
          <w:tblHeader/>
        </w:trPr>
        <w:tc>
          <w:tcPr>
            <w:tcW w:w="1980" w:type="dxa"/>
          </w:tcPr>
          <w:p w14:paraId="101710F1" w14:textId="77777777" w:rsidR="00F03A94" w:rsidRPr="005A143E" w:rsidRDefault="00F03A94" w:rsidP="00FB0E38">
            <w:pPr>
              <w:jc w:val="both"/>
              <w:rPr>
                <w:rFonts w:cs="Aptos Serif"/>
                <w:sz w:val="20"/>
                <w:szCs w:val="20"/>
                <w:lang w:val="en-US"/>
              </w:rPr>
            </w:pPr>
            <w:r w:rsidRPr="005A143E">
              <w:rPr>
                <w:rFonts w:cs="Aptos Serif"/>
                <w:sz w:val="20"/>
                <w:szCs w:val="20"/>
                <w:lang w:val="en-US"/>
              </w:rPr>
              <w:t>1 s</w:t>
            </w:r>
          </w:p>
        </w:tc>
        <w:tc>
          <w:tcPr>
            <w:tcW w:w="1843" w:type="dxa"/>
          </w:tcPr>
          <w:p w14:paraId="5FF1A6CB" w14:textId="77777777" w:rsidR="00F03A94" w:rsidRPr="005A143E" w:rsidRDefault="00F03A94" w:rsidP="00FB0E38">
            <w:pPr>
              <w:jc w:val="both"/>
              <w:rPr>
                <w:rFonts w:cs="Aptos Serif"/>
                <w:sz w:val="20"/>
                <w:szCs w:val="20"/>
                <w:lang w:val="en-US"/>
              </w:rPr>
            </w:pPr>
            <w:r w:rsidRPr="005A143E">
              <w:rPr>
                <w:rFonts w:cs="Aptos Serif"/>
                <w:sz w:val="20"/>
                <w:szCs w:val="20"/>
                <w:lang w:val="en-US"/>
              </w:rPr>
              <w:t>1 min</w:t>
            </w:r>
          </w:p>
        </w:tc>
        <w:tc>
          <w:tcPr>
            <w:tcW w:w="3118" w:type="dxa"/>
          </w:tcPr>
          <w:p w14:paraId="5498B141" w14:textId="77777777" w:rsidR="00F03A94" w:rsidRPr="005A143E" w:rsidRDefault="00F03A94" w:rsidP="00FB0E38">
            <w:pPr>
              <w:jc w:val="both"/>
              <w:rPr>
                <w:rFonts w:cs="Aptos Serif"/>
                <w:sz w:val="20"/>
                <w:szCs w:val="20"/>
                <w:lang w:val="en-US"/>
              </w:rPr>
            </w:pPr>
            <w:r w:rsidRPr="005A143E">
              <w:rPr>
                <w:rFonts w:cs="Aptos Serif"/>
                <w:sz w:val="20"/>
                <w:szCs w:val="20"/>
                <w:lang w:val="en-US"/>
              </w:rPr>
              <w:t>Metabolite pool half-life</w:t>
            </w:r>
          </w:p>
        </w:tc>
        <w:tc>
          <w:tcPr>
            <w:tcW w:w="2121" w:type="dxa"/>
          </w:tcPr>
          <w:p w14:paraId="00D4FFF5" w14:textId="63AB37D9"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RiNJTiV1","properties":{"formattedCitation":"[1]","plainCitation":"[1]","noteIndex":0},"citationItems":[{"id":2369,"uris":["http://zotero.org/users/9391468/items/Y6GJ7525"],"itemData":{"id":2369,"type":"article-journal","citation-key":"shamir2016SnapShotTimescalesCell","container-title":"Cell","DOI":"10.1016/j.cell.2016.02.058","ISSN":"1097-4172","issue":"6","journalAbbreviation":"Cell","language":"eng","page":"1302-1302.e1","PMID":"26967295","source":"PubMed","title":"SnapShot: Timescales in cell biology","title-short":"SnapShot","volume":"164","author":[{"family":"Shamir","given":"Maya"},{"family":"Bar-On","given":"Yinon"},{"family":"Phillips","given":"Rob"},{"family":"Milo","given":"Ron"}],"issued":{"date-parts":[["2016",3,10]]}}}],"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[1]</w:t>
            </w:r>
            <w:r w:rsidRPr="005A143E">
              <w:rPr>
                <w:rFonts w:cs="Aptos Serif"/>
                <w:sz w:val="20"/>
                <w:szCs w:val="20"/>
                <w:lang w:val="en-US"/>
              </w:rPr>
              <w:fldChar w:fldCharType="end"/>
            </w:r>
          </w:p>
        </w:tc>
      </w:tr>
      <w:tr w:rsidR="00F03A94" w:rsidRPr="005A143E" w14:paraId="3008CD5B" w14:textId="77777777" w:rsidTr="00FB0E38">
        <w:trPr>
          <w:trHeight w:val="20"/>
          <w:tblHeader/>
        </w:trPr>
        <w:tc>
          <w:tcPr>
            <w:tcW w:w="1980" w:type="dxa"/>
          </w:tcPr>
          <w:p w14:paraId="77235DD3" w14:textId="77777777" w:rsidR="00F03A94" w:rsidRPr="005A143E" w:rsidRDefault="00F03A94" w:rsidP="00FB0E38">
            <w:pPr>
              <w:jc w:val="both"/>
              <w:rPr>
                <w:rFonts w:cs="Aptos Serif"/>
                <w:sz w:val="20"/>
                <w:szCs w:val="20"/>
                <w:lang w:val="en-US"/>
              </w:rPr>
            </w:pPr>
            <w:r w:rsidRPr="005A143E">
              <w:rPr>
                <w:rFonts w:cs="Aptos Serif"/>
                <w:sz w:val="20"/>
                <w:szCs w:val="20"/>
                <w:lang w:val="en-US"/>
              </w:rPr>
              <w:t>10 min</w:t>
            </w:r>
          </w:p>
        </w:tc>
        <w:tc>
          <w:tcPr>
            <w:tcW w:w="1843" w:type="dxa"/>
          </w:tcPr>
          <w:p w14:paraId="22D357C8"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10 </w:t>
            </w:r>
            <w:proofErr w:type="spellStart"/>
            <w:r w:rsidRPr="005A143E">
              <w:rPr>
                <w:rFonts w:cs="Aptos Serif"/>
                <w:sz w:val="20"/>
                <w:szCs w:val="20"/>
                <w:lang w:val="en-US"/>
              </w:rPr>
              <w:t>hr</w:t>
            </w:r>
            <w:proofErr w:type="spellEnd"/>
          </w:p>
        </w:tc>
        <w:tc>
          <w:tcPr>
            <w:tcW w:w="3118" w:type="dxa"/>
          </w:tcPr>
          <w:p w14:paraId="20DB4C14" w14:textId="77777777" w:rsidR="00F03A94" w:rsidRPr="005A143E" w:rsidRDefault="00F03A94" w:rsidP="00FB0E38">
            <w:pPr>
              <w:jc w:val="both"/>
              <w:rPr>
                <w:rFonts w:cs="Aptos Serif"/>
                <w:sz w:val="20"/>
                <w:szCs w:val="20"/>
                <w:lang w:val="en-US"/>
              </w:rPr>
            </w:pPr>
            <w:r w:rsidRPr="005A143E">
              <w:rPr>
                <w:rFonts w:cs="Aptos Serif"/>
                <w:sz w:val="20"/>
                <w:szCs w:val="20"/>
                <w:lang w:val="en-US"/>
              </w:rPr>
              <w:t>mRNA pool half-life</w:t>
            </w:r>
          </w:p>
        </w:tc>
        <w:tc>
          <w:tcPr>
            <w:tcW w:w="2121" w:type="dxa"/>
          </w:tcPr>
          <w:p w14:paraId="18026C7E" w14:textId="3E063FBF"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p35rVNWV","properties":{"formattedCitation":"[1]","plainCitation":"[1]","noteIndex":0},"citationItems":[{"id":2369,"uris":["http://zotero.org/users/9391468/items/Y6GJ7525"],"itemData":{"id":2369,"type":"article-journal","citation-key":"shamir2016SnapShotTimescalesCell","container-title":"Cell","DOI":"10.1016/j.cell.2016.02.058","ISSN":"1097-4172","issue":"6","journalAbbreviation":"Cell","language":"eng","page":"1302-1302.e1","PMID":"26967295","source":"PubMed","title":"SnapShot: Timescales in cell biology","title-short":"SnapShot","volume":"164","author":[{"family":"Shamir","given":"Maya"},{"family":"Bar-On","given":"Yinon"},{"family":"Phillips","given":"Rob"},{"family":"Milo","given":"Ron"}],"issued":{"date-parts":[["2016",3,10]]}}}],"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[1]</w:t>
            </w:r>
            <w:r w:rsidRPr="005A143E">
              <w:rPr>
                <w:rFonts w:cs="Aptos Serif"/>
                <w:sz w:val="20"/>
                <w:szCs w:val="20"/>
                <w:lang w:val="en-US"/>
              </w:rPr>
              <w:fldChar w:fldCharType="end"/>
            </w:r>
          </w:p>
        </w:tc>
      </w:tr>
      <w:tr w:rsidR="00F03A94" w:rsidRPr="005A143E" w14:paraId="13EB1633" w14:textId="77777777" w:rsidTr="00FB0E38">
        <w:trPr>
          <w:trHeight w:val="20"/>
          <w:tblHeader/>
        </w:trPr>
        <w:tc>
          <w:tcPr>
            <w:tcW w:w="1980" w:type="dxa"/>
          </w:tcPr>
          <w:p w14:paraId="5CBADCA5" w14:textId="77777777" w:rsidR="00F03A94" w:rsidRPr="005A143E" w:rsidRDefault="00F03A94" w:rsidP="00FB0E38">
            <w:pPr>
              <w:jc w:val="both"/>
              <w:rPr>
                <w:rFonts w:cs="Aptos Serif"/>
                <w:sz w:val="20"/>
                <w:szCs w:val="20"/>
                <w:lang w:val="en-US"/>
              </w:rPr>
            </w:pPr>
            <w:r w:rsidRPr="005A143E">
              <w:rPr>
                <w:rFonts w:cs="Aptos Serif"/>
                <w:sz w:val="20"/>
                <w:szCs w:val="20"/>
                <w:lang w:val="en-US"/>
              </w:rPr>
              <w:t>1 h</w:t>
            </w:r>
          </w:p>
        </w:tc>
        <w:tc>
          <w:tcPr>
            <w:tcW w:w="1843" w:type="dxa"/>
          </w:tcPr>
          <w:p w14:paraId="07AF95D0" w14:textId="77777777" w:rsidR="00F03A94" w:rsidRPr="005A143E" w:rsidRDefault="00F03A94" w:rsidP="00FB0E38">
            <w:pPr>
              <w:jc w:val="both"/>
              <w:rPr>
                <w:rFonts w:cs="Aptos Serif"/>
                <w:sz w:val="20"/>
                <w:szCs w:val="20"/>
                <w:lang w:val="en-US"/>
              </w:rPr>
            </w:pPr>
            <w:r w:rsidRPr="005A143E">
              <w:rPr>
                <w:rFonts w:cs="Aptos Serif"/>
                <w:sz w:val="20"/>
                <w:szCs w:val="20"/>
                <w:lang w:val="en-US"/>
              </w:rPr>
              <w:t>1 day</w:t>
            </w:r>
          </w:p>
        </w:tc>
        <w:tc>
          <w:tcPr>
            <w:tcW w:w="3118" w:type="dxa"/>
          </w:tcPr>
          <w:p w14:paraId="7613074E" w14:textId="77777777" w:rsidR="00F03A94" w:rsidRPr="005A143E" w:rsidRDefault="00F03A94" w:rsidP="00FB0E38">
            <w:pPr>
              <w:jc w:val="both"/>
              <w:rPr>
                <w:rFonts w:cs="Aptos Serif"/>
                <w:sz w:val="20"/>
                <w:szCs w:val="20"/>
                <w:lang w:val="en-US"/>
              </w:rPr>
            </w:pPr>
            <w:r w:rsidRPr="005A143E">
              <w:rPr>
                <w:rFonts w:cs="Aptos Serif"/>
                <w:sz w:val="20"/>
                <w:szCs w:val="20"/>
                <w:lang w:val="en-US"/>
              </w:rPr>
              <w:t>Protein pool half-life</w:t>
            </w:r>
          </w:p>
        </w:tc>
        <w:tc>
          <w:tcPr>
            <w:tcW w:w="2121" w:type="dxa"/>
          </w:tcPr>
          <w:p w14:paraId="530C24C2" w14:textId="20EB7015"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05ROam4l","properties":{"formattedCitation":"[1]","plainCitation":"[1]","noteIndex":0},"citationItems":[{"id":2369,"uris":["http://zotero.org/users/9391468/items/Y6GJ7525"],"itemData":{"id":2369,"type":"article-journal","citation-key":"shamir2016SnapShotTimescalesCell","container-title":"Cell","DOI":"10.1016/j.cell.2016.02.058","ISSN":"1097-4172","issue":"6","journalAbbreviation":"Cell","language":"eng","page":"1302-1302.e1","PMID":"26967295","source":"PubMed","title":"SnapShot: Timescales in cell biology","title-short":"SnapShot","volume":"164","author":[{"family":"Shamir","given":"Maya"},{"family":"Bar-On","given":"Yinon"},{"family":"Phillips","given":"Rob"},{"family":"Milo","given":"Ron"}],"issued":{"date-parts":[["2016",3,10]]}}}],"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[1]</w:t>
            </w:r>
            <w:r w:rsidRPr="005A143E">
              <w:rPr>
                <w:rFonts w:cs="Aptos Serif"/>
                <w:sz w:val="20"/>
                <w:szCs w:val="20"/>
                <w:lang w:val="en-US"/>
              </w:rPr>
              <w:fldChar w:fldCharType="end"/>
            </w:r>
          </w:p>
        </w:tc>
      </w:tr>
      <w:tr w:rsidR="00F03A94" w:rsidRPr="005A143E" w14:paraId="3ED90CAD" w14:textId="77777777" w:rsidTr="00FB0E38">
        <w:trPr>
          <w:trHeight w:val="20"/>
          <w:tblHeader/>
        </w:trPr>
        <w:tc>
          <w:tcPr>
            <w:tcW w:w="1980" w:type="dxa"/>
          </w:tcPr>
          <w:p w14:paraId="3CBF4F56" w14:textId="77777777" w:rsidR="00F03A94" w:rsidRPr="005A143E" w:rsidRDefault="00F03A94" w:rsidP="00FB0E38">
            <w:pPr>
              <w:jc w:val="both"/>
              <w:rPr>
                <w:rFonts w:cs="Aptos Serif"/>
                <w:sz w:val="20"/>
                <w:szCs w:val="20"/>
                <w:lang w:val="en-US"/>
              </w:rPr>
            </w:pPr>
            <w:r w:rsidRPr="005A143E">
              <w:rPr>
                <w:rFonts w:cs="Aptos Serif"/>
                <w:sz w:val="20"/>
                <w:szCs w:val="20"/>
                <w:lang w:val="en-US"/>
              </w:rPr>
              <w:t>10 min (</w:t>
            </w:r>
            <w:r w:rsidRPr="005A143E">
              <w:rPr>
                <w:rFonts w:cs="Aptos Serif"/>
                <w:i/>
                <w:iCs/>
                <w:sz w:val="20"/>
                <w:szCs w:val="20"/>
                <w:lang w:val="en-US"/>
              </w:rPr>
              <w:t>VN</w:t>
            </w:r>
            <w:r w:rsidRPr="005A143E">
              <w:rPr>
                <w:rFonts w:cs="Aptos Serif"/>
                <w:sz w:val="20"/>
                <w:szCs w:val="20"/>
                <w:lang w:val="en-US"/>
              </w:rPr>
              <w:t>)</w:t>
            </w:r>
          </w:p>
        </w:tc>
        <w:tc>
          <w:tcPr>
            <w:tcW w:w="1843" w:type="dxa"/>
          </w:tcPr>
          <w:p w14:paraId="1253618C"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Days to years </w:t>
            </w:r>
          </w:p>
        </w:tc>
        <w:tc>
          <w:tcPr>
            <w:tcW w:w="3118" w:type="dxa"/>
          </w:tcPr>
          <w:p w14:paraId="23D20064" w14:textId="77777777" w:rsidR="00F03A94" w:rsidRPr="005A143E" w:rsidRDefault="00F03A94" w:rsidP="00FB0E38">
            <w:pPr>
              <w:jc w:val="both"/>
              <w:rPr>
                <w:rFonts w:cs="Aptos Serif"/>
                <w:sz w:val="20"/>
                <w:szCs w:val="20"/>
                <w:lang w:val="en-US"/>
              </w:rPr>
            </w:pPr>
            <w:r w:rsidRPr="005A143E">
              <w:rPr>
                <w:rFonts w:cs="Aptos Serif"/>
                <w:sz w:val="20"/>
                <w:szCs w:val="20"/>
                <w:lang w:val="en-US"/>
              </w:rPr>
              <w:t>Doubling time / µ</w:t>
            </w:r>
          </w:p>
        </w:tc>
        <w:tc>
          <w:tcPr>
            <w:tcW w:w="2121" w:type="dxa"/>
          </w:tcPr>
          <w:p w14:paraId="4A65CF93" w14:textId="4E06FDD1"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{"citationID":"lVcOWvoX","properties":{"formattedCitation":"[3,4]","plainCitation":"[3,4]","noteIndex":0},"citationItems":[{"id":3611,"uris":["http://zotero.org/users/9391468/items/ATY7LEPQ"],"itemData":{"id":3611,"type":"article-journal","abstract":"The marine bacterium Vibrio natriegens is the fastest-growing non-pathogenic bacterium known to date and is gaining more and more attention as an alternative chassis organism to Escherichia coli. A recent wave of synthetic biology efforts has focused on the establishment of molecular biology tools in this fascinating organism, now enabling exciting applications – from speeding up our everyday laboratory routines to increasing the pace of biotechnological production cycles. In this review, we seek to give a broad overview on the literature on V. natriegens, spanning all the way from its initial isolation to its latest applications. We discuss its natural ecological niche and interactions with other organisms, unveil some of its extraordinary traits, review its genomic organization and give insight into its diverse metabolism – key physiological insights required to further develop this organism into a synthetic biology chassis. By providing a comprehensive overview on the established genetic tools, methods and applications we highlight the current possibilities of this organism, but also identify some of the gaps that could drive future lines of research, hopefully stimulating the growth of the V. natriegens research community.","citation-key":"hoff2020VibrioNatriegensUltrafastgrowing","container-title":"Environmental Microbiology","DOI":"10.1111/1462-2920.15128","ISSN":"1462-2920","issue":"10","language":"en","note":"_eprint: https://onlinelibrary.wiley.com/doi/pdf/10.1111/1462-2920.15128","page":"4394-4408","source":"Wiley Online Library","title":"Vibrio natriegens: an ultrafast-growing marine bacterium as emerging synthetic biology chassis","title-short":"Vibrio natriegens","volume":"22","author":[{"family":"Hoff","given":"Josef"},{"family":"Daniel","given":"Benjamin"},{"family":"Stukenberg","given":"Daniel"},{"family":"Thuronyi","given":"B W."},{"family":"Waldminghaus","given":"Torsten"},{"family":"Fritz","given":"Georg"}],"issued":{"date-parts":[["2020"]]}}},{"id":3623,"uris":["http://zotero.org/users/9391468/items/SKAHLVBP"],"itemData":{"id":3623,"type":"article-journal","abstract":"Maximal growth rate is a basic parameter of microbial lifestyle that varies over several orders of magnitude, with doubling times ranging from a matter of minutes to multiple days. Growth rates are typically measured using laboratory culture experiments. Yet, we lack sufficient understanding of the physiology of most microbes to design appropriate culture conditions for them, severely limiting our ability to assess the global diversity of microbial growth rates. Genomic estimators of maximal growth rate provide a practical solution to survey the distribution of microbial growth potential, regardless of cultivation status. We developed an improved maximal growth rate estimator and predicted maximal growth rates from over 200,000 genomes, metagenome-assembled genomes, and single-cell amplified genomes to survey growth potential across the range of prokaryotic diversity; extensions allow estimates from 16S rRNA sequences alone as well as weighted community estimates from metagenomes. We compared the growth rates of cultivated and uncultivated organisms to illustrate how culture collections are strongly biased toward organisms capable of rapid growth. Finally, we found that organisms naturally group into two growth classes and observed a bias in growth predictions for extremely slow-growing organisms. These observations ultimately led us to suggest evolutionary definitions of oligotrophy and copiotrophy based on the selective regime an organism occupies. We found that these growth classes are associated with distinct selective regimes and genomic functional potentials.","citation-key":"weissman2021EstimatingMaximalMicrobial","container-title":"Proceedings of the National Academy of Sciences","DOI":"10.1073/pnas.2016810118","issue":"12","page":"e2016810118","publisher":"Proceedings of the National Academy of Sciences","source":"pnas.org (Atypon)","title":"Estimating maximal microbial growth rates from cultures, metagenomes, and single cells via codon usage patterns","volume":"118","author":[{"family":"Weissman","given":"J. L."},{"family":"Hou","given":"Shengwei"},{"family":"Fuhrman","given":"Jed A."}],"issued":{"date-parts":[["2021",3,23]]}}}],"schema":"https://github.com/citation-style-language/schema/raw/master/csl-citation.json"}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[3,4]</w:t>
            </w:r>
            <w:r w:rsidRPr="005A143E">
              <w:rPr>
                <w:rFonts w:cs="Aptos Serif"/>
                <w:sz w:val="20"/>
                <w:szCs w:val="20"/>
                <w:lang w:val="en-US"/>
              </w:rPr>
              <w:fldChar w:fldCharType="end"/>
            </w:r>
          </w:p>
        </w:tc>
      </w:tr>
      <w:tr w:rsidR="00F03A94" w:rsidRPr="005A143E" w14:paraId="66FCD500" w14:textId="77777777" w:rsidTr="00FB0E38">
        <w:trPr>
          <w:trHeight w:val="20"/>
          <w:tblHeader/>
        </w:trPr>
        <w:tc>
          <w:tcPr>
            <w:tcW w:w="1980" w:type="dxa"/>
          </w:tcPr>
          <w:p w14:paraId="27C80D42" w14:textId="77777777" w:rsidR="00F03A94" w:rsidRPr="005A143E" w:rsidRDefault="00F03A94" w:rsidP="00FB0E38">
            <w:pPr>
              <w:jc w:val="both"/>
              <w:rPr>
                <w:rFonts w:cs="Aptos Serif"/>
                <w:sz w:val="20"/>
                <w:szCs w:val="20"/>
                <w:lang w:val="en-US"/>
              </w:rPr>
            </w:pPr>
            <w:r w:rsidRPr="005A143E">
              <w:rPr>
                <w:rFonts w:cs="Aptos Serif"/>
                <w:sz w:val="20"/>
                <w:szCs w:val="20"/>
                <w:lang w:val="en-US"/>
              </w:rPr>
              <w:t xml:space="preserve">200 generations (~1.4 days for </w:t>
            </w:r>
            <w:r w:rsidRPr="005A143E">
              <w:rPr>
                <w:rFonts w:cs="Aptos Serif"/>
                <w:i/>
                <w:iCs/>
                <w:sz w:val="20"/>
                <w:szCs w:val="20"/>
                <w:lang w:val="en-US"/>
              </w:rPr>
              <w:t>VN</w:t>
            </w:r>
            <w:r w:rsidRPr="005A143E">
              <w:rPr>
                <w:rFonts w:cs="Aptos Serif"/>
                <w:sz w:val="20"/>
                <w:szCs w:val="20"/>
                <w:lang w:val="en-US"/>
              </w:rPr>
              <w:t>)</w:t>
            </w:r>
          </w:p>
        </w:tc>
        <w:tc>
          <w:tcPr>
            <w:tcW w:w="1843" w:type="dxa"/>
          </w:tcPr>
          <w:p w14:paraId="40B17099" w14:textId="77777777" w:rsidR="00F03A94" w:rsidRPr="005A143E" w:rsidRDefault="00F03A94" w:rsidP="00FB0E38">
            <w:pPr>
              <w:jc w:val="both"/>
              <w:rPr>
                <w:rFonts w:cs="Aptos Serif"/>
                <w:sz w:val="20"/>
                <w:szCs w:val="20"/>
                <w:lang w:val="en-US"/>
              </w:rPr>
            </w:pPr>
          </w:p>
        </w:tc>
        <w:tc>
          <w:tcPr>
            <w:tcW w:w="3118" w:type="dxa"/>
          </w:tcPr>
          <w:p w14:paraId="72396C54" w14:textId="091B4AB9" w:rsidR="00F03A94" w:rsidRPr="005A143E" w:rsidRDefault="00332778" w:rsidP="00FB0E38">
            <w:pPr>
              <w:jc w:val="both"/>
              <w:rPr>
                <w:rFonts w:cs="Aptos Serif"/>
                <w:sz w:val="20"/>
                <w:szCs w:val="20"/>
                <w:lang w:val="en-US"/>
              </w:rPr>
            </w:pPr>
            <w:r w:rsidRPr="005A143E">
              <w:rPr>
                <w:rFonts w:cs="Aptos Serif"/>
                <w:sz w:val="20"/>
                <w:szCs w:val="20"/>
                <w:lang w:val="en-US"/>
              </w:rPr>
              <w:t>Mutation accumulation / e</w:t>
            </w:r>
            <w:r w:rsidR="00F03A94" w:rsidRPr="005A143E">
              <w:rPr>
                <w:rFonts w:cs="Aptos Serif"/>
                <w:sz w:val="20"/>
                <w:szCs w:val="20"/>
                <w:lang w:val="en-US"/>
              </w:rPr>
              <w:t>volution</w:t>
            </w:r>
          </w:p>
        </w:tc>
        <w:tc>
          <w:tcPr>
            <w:tcW w:w="2121" w:type="dxa"/>
          </w:tcPr>
          <w:p w14:paraId="1FFDCF0C" w14:textId="68CF14E7" w:rsidR="00F03A94" w:rsidRPr="005A143E" w:rsidRDefault="00F03A94"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{"citationID":"Hea5xRJI","properties":{"formattedCitation":"[5]","plainCitation":"[5]","noteIndex":0},"citationItems":[{"id":55,"uris":["http://zotero.org/users/9391468/items/5WQUX5ZE"],"itemData":{"id":55,"type":"article-journal","abstract":"From the homeostasis of human health to the cycling of Earth's elements, microbial activities underlie environmental, medical and industrial processes. These activities occur in chemical and physical landscapes that are highly dynamic and experienced by bacteria as fluctuations. In this review, we first discuss how bacteria can experience both spatial and temporal heterogeneity in their environments as temporal fluctuations of various timescales (seconds to seasons) and types (nutrient, sunlight, fluid flow, etc.). We then focus primarily on nutrient fluctuations to discuss how bacterial communities, populations and single cells respond to environmental fluctuations. Overall, we find that environmental fluctuations are ubiquitous and diverse, and strongly shape microbial behavior, ecology and evolution when compared with environments in which conditions remain constant over time. We hope this review may serve as a guide toward understanding the significance of environmental fluctuations in microbial life, such that their contributions and implications can be better assessed and exploited.","citation-key":"nguyen2021EnvironmentalFluctuationsTheir","container-title":"FEMS microbiology reviews","DOI":"10.1093/femsre/fuaa068","issue":"4","journalAbbreviation":"FEMS Microbiol Rev","note":"number-of-pages: 16","PMID":"33338228","title":"Environmental fluctuations and their effects on microbial communities, populations and individuals","volume":"45","author":[{"family":"Nguyen","given":"Jen"},{"family":"Lara-Gutiérrez","given":"Juanita"},{"family":"Stocker","given":"Roman"}],"issued":{"date-parts":[["2021",1,1]]}}}],"schema":"https://github.com/citation-style-language/schema/raw/master/csl-citation.json"} </w:instrText>
            </w:r>
            <w:r w:rsidRPr="005A143E">
              <w:rPr>
                <w:rFonts w:cs="Aptos Serif"/>
                <w:sz w:val="20"/>
                <w:szCs w:val="20"/>
                <w:lang w:val="en-US"/>
              </w:rPr>
              <w:fldChar w:fldCharType="separate"/>
            </w:r>
            <w:r w:rsidR="00332778" w:rsidRPr="005A143E">
              <w:rPr>
                <w:rFonts w:ascii="Aptos" w:hAnsi="Aptos"/>
                <w:sz w:val="20"/>
                <w:lang w:val="en-US"/>
              </w:rPr>
              <w:t>[5]</w:t>
            </w:r>
            <w:r w:rsidRPr="005A143E">
              <w:rPr>
                <w:rFonts w:cs="Aptos Serif"/>
                <w:sz w:val="20"/>
                <w:szCs w:val="20"/>
                <w:lang w:val="en-US"/>
              </w:rPr>
              <w:fldChar w:fldCharType="end"/>
            </w:r>
          </w:p>
        </w:tc>
      </w:tr>
      <w:tr w:rsidR="00332778" w:rsidRPr="005A143E" w14:paraId="26026A9A" w14:textId="77777777" w:rsidTr="00FB0E38">
        <w:trPr>
          <w:trHeight w:val="20"/>
          <w:tblHeader/>
        </w:trPr>
        <w:tc>
          <w:tcPr>
            <w:tcW w:w="1980" w:type="dxa"/>
          </w:tcPr>
          <w:p w14:paraId="242C50A7" w14:textId="6F54FF63" w:rsidR="00332778" w:rsidRPr="005A143E" w:rsidRDefault="00332778" w:rsidP="00FB0E38">
            <w:pPr>
              <w:jc w:val="both"/>
              <w:rPr>
                <w:rFonts w:cs="Aptos Serif"/>
                <w:sz w:val="20"/>
                <w:szCs w:val="20"/>
                <w:lang w:val="en-US"/>
              </w:rPr>
            </w:pPr>
            <w:r w:rsidRPr="005A143E">
              <w:rPr>
                <w:rFonts w:cs="Aptos Serif"/>
                <w:sz w:val="20"/>
                <w:szCs w:val="20"/>
                <w:lang w:val="en-US"/>
              </w:rPr>
              <w:t>Few min</w:t>
            </w:r>
          </w:p>
        </w:tc>
        <w:tc>
          <w:tcPr>
            <w:tcW w:w="1843" w:type="dxa"/>
          </w:tcPr>
          <w:p w14:paraId="531ED1A3" w14:textId="12E70D46" w:rsidR="00332778" w:rsidRPr="005A143E" w:rsidRDefault="00332778" w:rsidP="00FB0E38">
            <w:pPr>
              <w:jc w:val="both"/>
              <w:rPr>
                <w:rFonts w:cs="Aptos Serif"/>
                <w:sz w:val="20"/>
                <w:szCs w:val="20"/>
                <w:lang w:val="en-US"/>
              </w:rPr>
            </w:pPr>
            <w:r w:rsidRPr="005A143E">
              <w:rPr>
                <w:rFonts w:cs="Aptos Serif"/>
                <w:sz w:val="20"/>
                <w:szCs w:val="20"/>
                <w:lang w:val="en-US"/>
              </w:rPr>
              <w:t>2 – 10 h</w:t>
            </w:r>
          </w:p>
        </w:tc>
        <w:tc>
          <w:tcPr>
            <w:tcW w:w="3118" w:type="dxa"/>
          </w:tcPr>
          <w:p w14:paraId="605D322E" w14:textId="7F1BCD93" w:rsidR="00332778" w:rsidRPr="005A143E" w:rsidRDefault="00332778" w:rsidP="00FB0E38">
            <w:pPr>
              <w:jc w:val="both"/>
              <w:rPr>
                <w:rFonts w:cs="Aptos Serif"/>
                <w:sz w:val="20"/>
                <w:szCs w:val="20"/>
                <w:lang w:val="en-US"/>
              </w:rPr>
            </w:pPr>
            <w:r w:rsidRPr="005A143E">
              <w:rPr>
                <w:rFonts w:cs="Aptos Serif"/>
                <w:sz w:val="20"/>
                <w:szCs w:val="20"/>
                <w:lang w:val="en-US"/>
              </w:rPr>
              <w:t>Fluorophore maturation</w:t>
            </w:r>
          </w:p>
        </w:tc>
        <w:tc>
          <w:tcPr>
            <w:tcW w:w="2121" w:type="dxa"/>
          </w:tcPr>
          <w:p w14:paraId="725AF1FD" w14:textId="06F40C0F"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{"citationID":"sLrDNYNW","properties":{"formattedCitation":"[6]","plainCitation":"[6]","noteIndex":0},"citationItems":[{"id":3193,"uris":["http://zotero.org/users/9391468/items/CMWG5KLB"],"itemData":{"id":3193,"type":"article-journal","abstract":"This work characterizes the maturation kinetics of 50 cyan to far-red fluorescent proteins and provides evidence that proteins that mature faster than their brighter but slower counterparts are more useful for quantitative evaluation of fast processes.","citation-key":"balleza2018SystematicCharacterizationMaturation","container-title":"Nature Methods","DOI":"10.1038/nmeth.4509","ISSN":"1548-7105","issue":"1","journalAbbreviation":"Nat Methods","language":"en","license":"2017 Springer Nature America, Inc.","note":"number: 1","page":"47-51","publisher":"Nature Publishing Group","source":"www.nature.com","title":"Systematic characterization of maturation time of fluorescent proteins in living cells","volume":"15","author":[{"family":"Balleza","given":"Enrique"},{"family":"Kim","given":"J. Mark"},{"family":"Cluzel","given":"Philippe"}],"issued":{"date-parts":[["2018",1]]}}}],"schema":"https://github.com/citation-style-language/schema/raw/master/csl-citation.json"}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[6]</w:t>
            </w:r>
            <w:r w:rsidRPr="005A143E">
              <w:rPr>
                <w:rFonts w:cs="Aptos Serif"/>
                <w:sz w:val="20"/>
                <w:szCs w:val="20"/>
                <w:lang w:val="en-US"/>
              </w:rPr>
              <w:fldChar w:fldCharType="end"/>
            </w:r>
          </w:p>
        </w:tc>
      </w:tr>
      <w:tr w:rsidR="00332778" w:rsidRPr="005A143E" w14:paraId="2AB2DCF1" w14:textId="77777777" w:rsidTr="00FB0E38">
        <w:trPr>
          <w:trHeight w:val="20"/>
          <w:tblHeader/>
        </w:trPr>
        <w:tc>
          <w:tcPr>
            <w:tcW w:w="1980" w:type="dxa"/>
          </w:tcPr>
          <w:p w14:paraId="2CC6E7E6" w14:textId="20C26B6A" w:rsidR="00332778" w:rsidRPr="005A143E" w:rsidRDefault="006557B2" w:rsidP="00FB0E38">
            <w:pPr>
              <w:jc w:val="both"/>
              <w:rPr>
                <w:rFonts w:cs="Aptos Serif"/>
                <w:sz w:val="20"/>
                <w:szCs w:val="20"/>
                <w:lang w:val="en-US"/>
              </w:rPr>
            </w:pPr>
            <w:r>
              <w:rPr>
                <w:rFonts w:cs="Aptos Serif"/>
                <w:sz w:val="20"/>
                <w:szCs w:val="20"/>
                <w:lang w:val="en-US"/>
              </w:rPr>
              <w:t>2-</w:t>
            </w:r>
            <w:r w:rsidR="00332778" w:rsidRPr="005A143E">
              <w:rPr>
                <w:rFonts w:cs="Aptos Serif"/>
                <w:sz w:val="20"/>
                <w:szCs w:val="20"/>
                <w:lang w:val="en-US"/>
              </w:rPr>
              <w:t>7 s</w:t>
            </w:r>
          </w:p>
        </w:tc>
        <w:tc>
          <w:tcPr>
            <w:tcW w:w="1843" w:type="dxa"/>
          </w:tcPr>
          <w:p w14:paraId="56E6EFF4" w14:textId="3DE7374C" w:rsidR="00332778" w:rsidRPr="005A143E" w:rsidRDefault="006557B2" w:rsidP="00FB0E38">
            <w:pPr>
              <w:jc w:val="both"/>
              <w:rPr>
                <w:rFonts w:cs="Aptos Serif"/>
                <w:sz w:val="20"/>
                <w:szCs w:val="20"/>
                <w:lang w:val="en-US"/>
              </w:rPr>
            </w:pPr>
            <w:r>
              <w:rPr>
                <w:rFonts w:cs="Aptos Serif"/>
                <w:sz w:val="20"/>
                <w:szCs w:val="20"/>
                <w:lang w:val="en-US"/>
              </w:rPr>
              <w:t xml:space="preserve">5 - </w:t>
            </w:r>
            <w:r w:rsidR="00332778" w:rsidRPr="005A143E">
              <w:rPr>
                <w:rFonts w:cs="Aptos Serif"/>
                <w:sz w:val="20"/>
                <w:szCs w:val="20"/>
                <w:lang w:val="en-US"/>
              </w:rPr>
              <w:t>15 s</w:t>
            </w:r>
          </w:p>
        </w:tc>
        <w:tc>
          <w:tcPr>
            <w:tcW w:w="3118" w:type="dxa"/>
          </w:tcPr>
          <w:p w14:paraId="74905168" w14:textId="77777777" w:rsidR="00332778" w:rsidRPr="005A143E" w:rsidRDefault="00332778" w:rsidP="00FB0E38">
            <w:pPr>
              <w:jc w:val="both"/>
              <w:rPr>
                <w:rFonts w:cs="Aptos Serif"/>
                <w:sz w:val="20"/>
                <w:szCs w:val="20"/>
                <w:lang w:val="en-US"/>
              </w:rPr>
            </w:pPr>
            <w:r w:rsidRPr="005A143E">
              <w:rPr>
                <w:rFonts w:cs="Aptos Serif"/>
                <w:sz w:val="20"/>
                <w:szCs w:val="20"/>
                <w:lang w:val="en-US"/>
              </w:rPr>
              <w:t>Mixing time lab scale fermenter</w:t>
            </w:r>
          </w:p>
        </w:tc>
        <w:tc>
          <w:tcPr>
            <w:tcW w:w="2121" w:type="dxa"/>
          </w:tcPr>
          <w:p w14:paraId="3367A85E" w14:textId="40EF4474"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{"citationID":"baruVGjT","properties":{"formattedCitation":"[7,8]","plainCitation":"[7,8]","noteIndex":0},"citationItems":[{"id":3862,"uris":["http://zotero.org/users/9391468/items/7ILZ8VTJ"],"itemData":{"id":3862,"type":"article-journal","abstract":"During the scale-up of biopharmaceutical production processes, insufficiently predictable performance losses may occur alongside gradients and heterogeneities. To overcome such performance losses, tools are required to explain, predict, and ultimately prohibit inconsistencies between laboratory and commercial scale. In this work, we performed CHO fed-batch cultivations in the single multicompartment bioreactor (SMCB), a new scale-down reactor system that offers new access to study large-scale heterogeneities in mammalian cell cultures. At volumetric power inputs of 20.4–1.5 W m−3, large-scale characteristics like long mixing times and dissolved oxygen (DO) heterogeneities were mimicked in the SMCB. Compared to a reference bioreactor (REFB) set-up, the conditions in the SMCB provoked an increase in lactate accumulation of up to 87%, an increased glucose uptake, and reduced viable cell concentrations in the stationary phase. All are characteristic for large-scale performance. The unique possibility to distinguish between the effects of changing power inputs and observed heterogeneities provided new insights into the potential reasons for altered product quality attributes. Apparently, the degree of galactosylation in the evaluated glycan patterns changed primarily due to the different power inputs rather than the provoked heterogeneities. The SMCB system could serve as a potent tool to provide new insights into scale-up behavior and to predict cell line-specific drawbacks at an early stage of process development.","citation-key":"gaugler2024MimickingCHOLargescale","container-title":"Biotechnology and Bioengineering","DOI":"10.1002/bit.28647","ISSN":"1097-0290","issue":"4","language":"en","license":"© 2024 The Authors. Biotechnology and Bioengineering published by Wiley Periodicals LLC.","note":"_eprint: https://onlinelibrary.wiley.com/doi/pdf/10.1002/bit.28647","page":"1243-1255","source":"Wiley Online Library","title":"Mimicking CHO large-scale effects in the single multicompartment bioreactor: A new approach to access scale-up behavior","title-short":"Mimicking CHO large-scale effects in the single multicompartment bioreactor","volume":"121","author":[{"family":"Gaugler","given":"Lena"},{"family":"Hofmann","given":"Sebastian"},{"family":"Schlüter","given":"Michael"},{"family":"Takors","given":"Ralf"}],"issued":{"date-parts":[["2024"]]}}},{"id":384,"uris":["http://zotero.org/users/9391468/items/JNYRI68I"],"itemData":{"id":384,"type":"article-journal","citation-key":"lara2006LivingHeterogeneitiesBioreactors","container-title":"Molecular Biotechnology","DOI":"10.1385/MB:34:3:355","issue":"3","journalAbbreviation":"Mol Biotechnol","note":"number-of-pages: 27","page":"355-382","title":"Living with heterogeneities in bioreactors: Understanding the effects of environmental gradients on cells","volume":"34","author":[{"family":"Lara","given":"Alvaro R."},{"family":"Galindo","given":"Enrique"},{"family":"Ramírez","given":"Octavio T."},{"family":"Palomares","given":"Laura A."}],"issued":{"date-parts":[["2006",1,1]]}}}],"schema":"https://github.com/citation-style-language/schema/raw/master/csl-citation.json"} </w:instrText>
            </w:r>
            <w:r w:rsidRPr="005A143E">
              <w:rPr>
                <w:rFonts w:cs="Aptos Serif"/>
                <w:sz w:val="20"/>
                <w:szCs w:val="20"/>
                <w:lang w:val="en-US"/>
              </w:rPr>
              <w:fldChar w:fldCharType="separate"/>
            </w:r>
            <w:r w:rsidR="006557B2" w:rsidRPr="006557B2">
              <w:rPr>
                <w:rFonts w:ascii="Aptos" w:hAnsi="Aptos"/>
                <w:sz w:val="20"/>
              </w:rPr>
              <w:t>[7,8]</w:t>
            </w:r>
            <w:r w:rsidRPr="005A143E">
              <w:rPr>
                <w:rFonts w:cs="Aptos Serif"/>
                <w:sz w:val="20"/>
                <w:szCs w:val="20"/>
                <w:lang w:val="en-US"/>
              </w:rPr>
              <w:fldChar w:fldCharType="end"/>
            </w:r>
          </w:p>
        </w:tc>
      </w:tr>
      <w:tr w:rsidR="00332778" w:rsidRPr="005A143E" w14:paraId="05EDDCE0" w14:textId="77777777" w:rsidTr="00FB0E38">
        <w:trPr>
          <w:trHeight w:val="20"/>
          <w:tblHeader/>
        </w:trPr>
        <w:tc>
          <w:tcPr>
            <w:tcW w:w="1980" w:type="dxa"/>
          </w:tcPr>
          <w:p w14:paraId="2AD2C545" w14:textId="77777777" w:rsidR="00332778" w:rsidRPr="005A143E" w:rsidRDefault="00332778" w:rsidP="00FB0E38">
            <w:pPr>
              <w:jc w:val="both"/>
              <w:rPr>
                <w:rFonts w:cs="Aptos Serif"/>
                <w:sz w:val="20"/>
                <w:szCs w:val="20"/>
                <w:lang w:val="en-US"/>
              </w:rPr>
            </w:pPr>
            <w:r w:rsidRPr="005A143E">
              <w:rPr>
                <w:rFonts w:cs="Aptos Serif"/>
                <w:sz w:val="20"/>
                <w:szCs w:val="20"/>
                <w:lang w:val="en-US"/>
              </w:rPr>
              <w:t>0.7 s</w:t>
            </w:r>
          </w:p>
        </w:tc>
        <w:tc>
          <w:tcPr>
            <w:tcW w:w="1843" w:type="dxa"/>
          </w:tcPr>
          <w:p w14:paraId="72E6B8FC" w14:textId="77777777" w:rsidR="00332778" w:rsidRPr="005A143E" w:rsidRDefault="00332778" w:rsidP="00FB0E38">
            <w:pPr>
              <w:jc w:val="both"/>
              <w:rPr>
                <w:rFonts w:cs="Aptos Serif"/>
                <w:sz w:val="20"/>
                <w:szCs w:val="20"/>
                <w:lang w:val="en-US"/>
              </w:rPr>
            </w:pPr>
            <w:r w:rsidRPr="005A143E">
              <w:rPr>
                <w:rFonts w:cs="Aptos Serif"/>
                <w:sz w:val="20"/>
                <w:szCs w:val="20"/>
                <w:lang w:val="en-US"/>
              </w:rPr>
              <w:t>40 s</w:t>
            </w:r>
          </w:p>
        </w:tc>
        <w:tc>
          <w:tcPr>
            <w:tcW w:w="3118" w:type="dxa"/>
          </w:tcPr>
          <w:p w14:paraId="1853A258" w14:textId="77777777" w:rsidR="00332778" w:rsidRPr="005A143E" w:rsidRDefault="00332778" w:rsidP="00FB0E38">
            <w:pPr>
              <w:jc w:val="both"/>
              <w:rPr>
                <w:rFonts w:cs="Aptos Serif"/>
                <w:sz w:val="20"/>
                <w:szCs w:val="20"/>
                <w:lang w:val="en-US"/>
              </w:rPr>
            </w:pPr>
            <w:r w:rsidRPr="005A143E">
              <w:rPr>
                <w:rFonts w:cs="Aptos Serif"/>
                <w:sz w:val="20"/>
                <w:szCs w:val="20"/>
                <w:lang w:val="en-US"/>
              </w:rPr>
              <w:t>Min/Max Regime residence time</w:t>
            </w:r>
          </w:p>
        </w:tc>
        <w:tc>
          <w:tcPr>
            <w:tcW w:w="2121" w:type="dxa"/>
          </w:tcPr>
          <w:p w14:paraId="5B87DB1D" w14:textId="431C4372"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{"citationID":"mGd1RRVO","properties":{"formattedCitation":"[9]","plainCitation":"[9]","noteIndex":0},"citationItems":[{"id":427,"uris":["http://zotero.org/users/9391468/items/9RMGRGWS"],"itemData":{"id":427,"type":"article-journal","abstract":"The trajectories, referred to as lifelines, of individual microorganisms in an industrial scale fermentor under substrate limiting conditions were studied using an Euler-Lagrange computational fluid dynamics approach. The metabolic response to substrate concentration variations along these lifelines provides deep insight in the dynamic environment inside a large-scale fermentor, from the point of view of the microorganisms themselves. We present a novel methodology to evaluate this metabolic response, based on transitions between metabolic \"regimes\" that can provide a comprehensive statistical insight in the environmental fluctuations experienced by microorganisms inside an industrial bioreactor. These statistics provide the groundwork for the design of representative scale-down simulators, mimicking substrate variations experimentally. To focus on the methodology we use an industrial fermentation of Penicillium chrysogenum in a simplified representation, dealing with only glucose gradients, single-phase hydrodynamics, and assuming no limitation in oxygen supply, but reasonably capturing the relevant timescales. Nevertheless, the methodology provides useful insight in the relation between flow and component fluctuation timescales that are expected to hold in physically more thorough simulations. Microorganisms experience substrate fluctuations at timescales of seconds, in the order of magnitude of the global circulation time. Such rapid fluctuations should be replicated in truly industrially representative scale-down simulators.","citation-key":"haringa2016EulerLagrangeComputationalFluid","container-title":"Engineering in life sciences","DOI":"10.1002/elsc.201600061","ISSN":"1618-0240","issue":"7","journalAbbreviation":"Eng Life Sci","note":"number-of-pages: 12","page":"652-663","PMID":"27917102","title":"Euler-Lagrange computational fluid dynamics for (bio)reactor scale down: An analysis of organism lifelines","volume":"16","author":[{"family":"Haringa","given":"Cees"},{"family":"Tang","given":"Wenjun"},{"family":"Deshmukh","given":"Amit T."},{"family":"Xia","given":"Jianye"},{"family":"Reuss","given":"Matthias"},{"family":"Heijnen","given":"Joseph J."},{"family":"Mudde","given":"Robert F."},{"family":"Noorman","given":"Henk J."}],"issued":{"date-parts":[["2016",1,1]]}}}],"schema":"https://github.com/citation-style-language/schema/raw/master/csl-citation.json"}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[9]</w:t>
            </w:r>
            <w:r w:rsidRPr="005A143E">
              <w:rPr>
                <w:rFonts w:cs="Aptos Serif"/>
                <w:sz w:val="20"/>
                <w:szCs w:val="20"/>
                <w:lang w:val="en-US"/>
              </w:rPr>
              <w:fldChar w:fldCharType="end"/>
            </w:r>
          </w:p>
        </w:tc>
      </w:tr>
      <w:tr w:rsidR="00332778" w:rsidRPr="005A143E" w14:paraId="0E54658C" w14:textId="77777777" w:rsidTr="00FB0E38">
        <w:trPr>
          <w:trHeight w:val="20"/>
          <w:tblHeader/>
        </w:trPr>
        <w:tc>
          <w:tcPr>
            <w:tcW w:w="1980" w:type="dxa"/>
          </w:tcPr>
          <w:p w14:paraId="113F4216" w14:textId="77777777" w:rsidR="00332778" w:rsidRPr="005A143E" w:rsidRDefault="00332778" w:rsidP="00FB0E38">
            <w:pPr>
              <w:jc w:val="both"/>
              <w:rPr>
                <w:rFonts w:cs="Aptos Serif"/>
                <w:sz w:val="20"/>
                <w:szCs w:val="20"/>
                <w:lang w:val="en-US"/>
              </w:rPr>
            </w:pPr>
            <w:r w:rsidRPr="005A143E">
              <w:rPr>
                <w:rFonts w:cs="Aptos Serif"/>
                <w:sz w:val="20"/>
                <w:szCs w:val="20"/>
                <w:lang w:val="en-US"/>
              </w:rPr>
              <w:t>3.65 s</w:t>
            </w:r>
          </w:p>
        </w:tc>
        <w:tc>
          <w:tcPr>
            <w:tcW w:w="1843" w:type="dxa"/>
          </w:tcPr>
          <w:p w14:paraId="42D70F1F" w14:textId="77777777" w:rsidR="00332778" w:rsidRPr="005A143E" w:rsidRDefault="00332778" w:rsidP="00FB0E38">
            <w:pPr>
              <w:jc w:val="both"/>
              <w:rPr>
                <w:rFonts w:cs="Aptos Serif"/>
                <w:sz w:val="20"/>
                <w:szCs w:val="20"/>
                <w:lang w:val="en-US"/>
              </w:rPr>
            </w:pPr>
            <w:r w:rsidRPr="005A143E">
              <w:rPr>
                <w:rFonts w:cs="Aptos Serif"/>
                <w:sz w:val="20"/>
                <w:szCs w:val="20"/>
                <w:lang w:val="en-US"/>
              </w:rPr>
              <w:t>9.37 s</w:t>
            </w:r>
          </w:p>
        </w:tc>
        <w:tc>
          <w:tcPr>
            <w:tcW w:w="3118" w:type="dxa"/>
          </w:tcPr>
          <w:p w14:paraId="4F6BFCE4" w14:textId="77777777" w:rsidR="00332778" w:rsidRPr="005A143E" w:rsidRDefault="00332778" w:rsidP="00FB0E38">
            <w:pPr>
              <w:jc w:val="both"/>
              <w:rPr>
                <w:rFonts w:cs="Aptos Serif"/>
                <w:sz w:val="20"/>
                <w:szCs w:val="20"/>
                <w:lang w:val="en-US"/>
              </w:rPr>
            </w:pPr>
            <w:r w:rsidRPr="005A143E">
              <w:rPr>
                <w:rFonts w:cs="Aptos Serif"/>
                <w:sz w:val="20"/>
                <w:szCs w:val="20"/>
                <w:lang w:val="en-US"/>
              </w:rPr>
              <w:t>Mean Regime residence time</w:t>
            </w:r>
          </w:p>
        </w:tc>
        <w:tc>
          <w:tcPr>
            <w:tcW w:w="2121" w:type="dxa"/>
          </w:tcPr>
          <w:p w14:paraId="7CD18E7E" w14:textId="242F1AC6"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{"citationID":"ETNlSp74","properties":{"formattedCitation":"[9]","plainCitation":"[9]","noteIndex":0},"citationItems":[{"id":427,"uris":["http://zotero.org/users/9391468/items/9RMGRGWS"],"itemData":{"id":427,"type":"article-journal","abstract":"The trajectories, referred to as lifelines, of individual microorganisms in an industrial scale fermentor under substrate limiting conditions were studied using an Euler-Lagrange computational fluid dynamics approach. The metabolic response to substrate concentration variations along these lifelines provides deep insight in the dynamic environment inside a large-scale fermentor, from the point of view of the microorganisms themselves. We present a novel methodology to evaluate this metabolic response, based on transitions between metabolic \"regimes\" that can provide a comprehensive statistical insight in the environmental fluctuations experienced by microorganisms inside an industrial bioreactor. These statistics provide the groundwork for the design of representative scale-down simulators, mimicking substrate variations experimentally. To focus on the methodology we use an industrial fermentation of Penicillium chrysogenum in a simplified representation, dealing with only glucose gradients, single-phase hydrodynamics, and assuming no limitation in oxygen supply, but reasonably capturing the relevant timescales. Nevertheless, the methodology provides useful insight in the relation between flow and component fluctuation timescales that are expected to hold in physically more thorough simulations. Microorganisms experience substrate fluctuations at timescales of seconds, in the order of magnitude of the global circulation time. Such rapid fluctuations should be replicated in truly industrially representative scale-down simulators.","citation-key":"haringa2016EulerLagrangeComputationalFluid","container-title":"Engineering in life sciences","DOI":"10.1002/elsc.201600061","ISSN":"1618-0240","issue":"7","journalAbbreviation":"Eng Life Sci","note":"number-of-pages: 12","page":"652-663","PMID":"27917102","title":"Euler-Lagrange computational fluid dynamics for (bio)reactor scale down: An analysis of organism lifelines","volume":"16","author":[{"family":"Haringa","given":"Cees"},{"family":"Tang","given":"Wenjun"},{"family":"Deshmukh","given":"Amit T."},{"family":"Xia","given":"Jianye"},{"family":"Reuss","given":"Matthias"},{"family":"Heijnen","given":"Joseph J."},{"family":"Mudde","given":"Robert F."},{"family":"Noorman","given":"Henk J."}],"issued":{"date-parts":[["2016",1,1]]}}}],"schema":"https://github.com/citation-style-language/schema/raw/master/csl-citation.json"}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[9]</w:t>
            </w:r>
            <w:r w:rsidRPr="005A143E">
              <w:rPr>
                <w:rFonts w:cs="Aptos Serif"/>
                <w:sz w:val="20"/>
                <w:szCs w:val="20"/>
                <w:lang w:val="en-US"/>
              </w:rPr>
              <w:fldChar w:fldCharType="end"/>
            </w:r>
          </w:p>
        </w:tc>
      </w:tr>
      <w:tr w:rsidR="00332778" w:rsidRPr="005A143E" w14:paraId="557593C4" w14:textId="77777777" w:rsidTr="00FB0E38">
        <w:trPr>
          <w:trHeight w:val="20"/>
          <w:tblHeader/>
        </w:trPr>
        <w:tc>
          <w:tcPr>
            <w:tcW w:w="1980" w:type="dxa"/>
          </w:tcPr>
          <w:p w14:paraId="609970EE" w14:textId="7A89CFF8" w:rsidR="00332778" w:rsidRPr="005A143E" w:rsidRDefault="006557B2" w:rsidP="00FB0E38">
            <w:pPr>
              <w:jc w:val="both"/>
              <w:rPr>
                <w:rFonts w:cs="Aptos Serif"/>
                <w:sz w:val="20"/>
                <w:szCs w:val="20"/>
                <w:lang w:val="en-US"/>
              </w:rPr>
            </w:pPr>
            <w:r>
              <w:rPr>
                <w:rFonts w:cs="Aptos Serif"/>
                <w:sz w:val="20"/>
                <w:szCs w:val="20"/>
                <w:lang w:val="en-US"/>
              </w:rPr>
              <w:t xml:space="preserve">2.5* - </w:t>
            </w:r>
            <w:r w:rsidR="00332778" w:rsidRPr="005A143E">
              <w:rPr>
                <w:rFonts w:cs="Aptos Serif"/>
                <w:sz w:val="20"/>
                <w:szCs w:val="20"/>
                <w:lang w:val="en-US"/>
              </w:rPr>
              <w:t>20 s</w:t>
            </w:r>
          </w:p>
        </w:tc>
        <w:tc>
          <w:tcPr>
            <w:tcW w:w="1843" w:type="dxa"/>
          </w:tcPr>
          <w:p w14:paraId="798E3B7D" w14:textId="77777777" w:rsidR="00332778" w:rsidRPr="005A143E" w:rsidRDefault="00332778" w:rsidP="00FB0E38">
            <w:pPr>
              <w:jc w:val="both"/>
              <w:rPr>
                <w:rFonts w:cs="Aptos Serif"/>
                <w:sz w:val="20"/>
                <w:szCs w:val="20"/>
                <w:lang w:val="en-US"/>
              </w:rPr>
            </w:pPr>
            <w:r w:rsidRPr="005A143E">
              <w:rPr>
                <w:rFonts w:cs="Aptos Serif"/>
                <w:sz w:val="20"/>
                <w:szCs w:val="20"/>
                <w:lang w:val="en-US"/>
              </w:rPr>
              <w:t>77 s</w:t>
            </w:r>
          </w:p>
        </w:tc>
        <w:tc>
          <w:tcPr>
            <w:tcW w:w="3118" w:type="dxa"/>
          </w:tcPr>
          <w:p w14:paraId="608D333A" w14:textId="3103AC77" w:rsidR="00332778" w:rsidRPr="005A143E" w:rsidRDefault="00332778" w:rsidP="00FB0E38">
            <w:pPr>
              <w:jc w:val="both"/>
              <w:rPr>
                <w:rFonts w:cs="Aptos Serif"/>
                <w:sz w:val="20"/>
                <w:szCs w:val="20"/>
                <w:lang w:val="en-US"/>
              </w:rPr>
            </w:pPr>
            <w:r w:rsidRPr="005A143E">
              <w:rPr>
                <w:rFonts w:cs="Aptos Serif"/>
                <w:sz w:val="20"/>
                <w:szCs w:val="20"/>
                <w:lang w:val="en-US"/>
              </w:rPr>
              <w:t xml:space="preserve">Circulation time large scale fermenter (= mixing time / 4) </w:t>
            </w:r>
          </w:p>
        </w:tc>
        <w:tc>
          <w:tcPr>
            <w:tcW w:w="2121" w:type="dxa"/>
          </w:tcPr>
          <w:p w14:paraId="23F32BFD" w14:textId="7EB79F90"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{"citationID":"iqvdniwP","properties":{"formattedCitation":"[9]","plainCitation":"[9]","noteIndex":0},"citationItems":[{"id":427,"uris":["http://zotero.org/users/9391468/items/9RMGRGWS"],"itemData":{"id":427,"type":"article-journal","abstract":"The trajectories, referred to as lifelines, of individual microorganisms in an industrial scale fermentor under substrate limiting conditions were studied using an Euler-Lagrange computational fluid dynamics approach. The metabolic response to substrate concentration variations along these lifelines provides deep insight in the dynamic environment inside a large-scale fermentor, from the point of view of the microorganisms themselves. We present a novel methodology to evaluate this metabolic response, based on transitions between metabolic \"regimes\" that can provide a comprehensive statistical insight in the environmental fluctuations experienced by microorganisms inside an industrial bioreactor. These statistics provide the groundwork for the design of representative scale-down simulators, mimicking substrate variations experimentally. To focus on the methodology we use an industrial fermentation of Penicillium chrysogenum in a simplified representation, dealing with only glucose gradients, single-phase hydrodynamics, and assuming no limitation in oxygen supply, but reasonably capturing the relevant timescales. Nevertheless, the methodology provides useful insight in the relation between flow and component fluctuation timescales that are expected to hold in physically more thorough simulations. Microorganisms experience substrate fluctuations at timescales of seconds, in the order of magnitude of the global circulation time. Such rapid fluctuations should be replicated in truly industrially representative scale-down simulators.","citation-key":"haringa2016EulerLagrangeComputationalFluid","container-title":"Engineering in life sciences","DOI":"10.1002/elsc.201600061","ISSN":"1618-0240","issue":"7","journalAbbreviation":"Eng Life Sci","note":"number-of-pages: 12","page":"652-663","PMID":"27917102","title":"Euler-Lagrange computational fluid dynamics for (bio)reactor scale down: An analysis of organism lifelines","volume":"16","author":[{"family":"Haringa","given":"Cees"},{"family":"Tang","given":"Wenjun"},{"family":"Deshmukh","given":"Amit T."},{"family":"Xia","given":"Jianye"},{"family":"Reuss","given":"Matthias"},{"family":"Heijnen","given":"Joseph J."},{"family":"Mudde","given":"Robert F."},{"family":"Noorman","given":"Henk J."}],"issued":{"date-parts":[["2016",1,1]]}}}],"schema":"https://github.com/citation-style-language/schema/raw/master/csl-citation.json"}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[9]</w:t>
            </w:r>
            <w:r w:rsidRPr="005A143E">
              <w:rPr>
                <w:rFonts w:cs="Aptos Serif"/>
                <w:sz w:val="20"/>
                <w:szCs w:val="20"/>
                <w:lang w:val="en-US"/>
              </w:rPr>
              <w:fldChar w:fldCharType="end"/>
            </w:r>
          </w:p>
          <w:p w14:paraId="42EB3C50" w14:textId="13FC5462" w:rsidR="00332778" w:rsidRPr="005A143E" w:rsidRDefault="006557B2" w:rsidP="00FB0E38">
            <w:pPr>
              <w:jc w:val="both"/>
              <w:rPr>
                <w:rFonts w:cs="Aptos Serif"/>
                <w:sz w:val="20"/>
                <w:szCs w:val="20"/>
                <w:lang w:val="en-US"/>
              </w:rPr>
            </w:pPr>
            <w:r>
              <w:rPr>
                <w:rFonts w:cs="Aptos Serif"/>
                <w:sz w:val="20"/>
                <w:szCs w:val="20"/>
                <w:lang w:val="en-US"/>
              </w:rPr>
              <w:t>*</w:t>
            </w:r>
            <w:r w:rsidR="00332778" w:rsidRPr="005A143E">
              <w:rPr>
                <w:rFonts w:cs="Aptos Serif"/>
                <w:sz w:val="20"/>
                <w:szCs w:val="20"/>
                <w:lang w:val="en-US"/>
              </w:rPr>
              <w:t xml:space="preserve">Calculation from </w:t>
            </w:r>
            <w:r w:rsidR="00332778" w:rsidRPr="005A143E">
              <w:rPr>
                <w:rFonts w:cs="Aptos Serif"/>
                <w:sz w:val="20"/>
                <w:szCs w:val="20"/>
                <w:lang w:val="en-US"/>
              </w:rPr>
              <w:fldChar w:fldCharType="begin"/>
            </w:r>
            <w:r>
              <w:rPr>
                <w:rFonts w:cs="Aptos Serif"/>
                <w:sz w:val="20"/>
                <w:szCs w:val="20"/>
                <w:lang w:val="en-US"/>
              </w:rPr>
              <w:instrText xml:space="preserve"> ADDIN ZOTERO_ITEM CSL_CITATION {"citationID":"TbaTXNnN","properties":{"formattedCitation":"[8]","plainCitation":"[8]","noteIndex":0},"citationItems":[{"id":384,"uris":["http://zotero.org/users/9391468/items/JNYRI68I"],"itemData":{"id":384,"type":"article-journal","citation-key":"lara2006LivingHeterogeneitiesBioreactors","container-title":"Molecular Biotechnology","DOI":"10.1385/MB:34:3:355","issue":"3","journalAbbreviation":"Mol Biotechnol","note":"number-of-pages: 27","page":"355-382","title":"Living with heterogeneities in bioreactors: Understanding the effects of environmental gradients on cells","volume":"34","author":[{"family":"Lara","given":"Alvaro R."},{"family":"Galindo","given":"Enrique"},{"family":"Ramírez","given":"Octavio T."},{"family":"Palomares","given":"Laura A."}],"issued":{"date-parts":[["2006",1,1]]}}}],"schema":"https://github.com/citation-style-language/schema/raw/master/csl-citation.json"} </w:instrText>
            </w:r>
            <w:r w:rsidR="00332778" w:rsidRPr="005A143E">
              <w:rPr>
                <w:rFonts w:cs="Aptos Serif"/>
                <w:sz w:val="20"/>
                <w:szCs w:val="20"/>
                <w:lang w:val="en-US"/>
              </w:rPr>
              <w:fldChar w:fldCharType="separate"/>
            </w:r>
            <w:r w:rsidR="00332778" w:rsidRPr="005A143E">
              <w:rPr>
                <w:rFonts w:ascii="Aptos" w:hAnsi="Aptos"/>
                <w:sz w:val="20"/>
                <w:lang w:val="en-US"/>
              </w:rPr>
              <w:t>[8]</w:t>
            </w:r>
            <w:r w:rsidR="00332778" w:rsidRPr="005A143E">
              <w:rPr>
                <w:rFonts w:cs="Aptos Serif"/>
                <w:sz w:val="20"/>
                <w:szCs w:val="20"/>
                <w:lang w:val="en-US"/>
              </w:rPr>
              <w:fldChar w:fldCharType="end"/>
            </w:r>
          </w:p>
        </w:tc>
      </w:tr>
      <w:tr w:rsidR="00332778" w:rsidRPr="005A143E" w14:paraId="1E369DC3" w14:textId="77777777" w:rsidTr="00FB0E38">
        <w:trPr>
          <w:trHeight w:val="20"/>
          <w:tblHeader/>
        </w:trPr>
        <w:tc>
          <w:tcPr>
            <w:tcW w:w="1980" w:type="dxa"/>
          </w:tcPr>
          <w:p w14:paraId="1AB2A3B7" w14:textId="77777777" w:rsidR="00332778" w:rsidRPr="005A143E" w:rsidRDefault="00332778" w:rsidP="00FB0E38">
            <w:pPr>
              <w:jc w:val="both"/>
              <w:rPr>
                <w:rFonts w:cs="Aptos Serif"/>
                <w:sz w:val="20"/>
                <w:szCs w:val="20"/>
                <w:lang w:val="en-US"/>
              </w:rPr>
            </w:pPr>
            <w:r w:rsidRPr="005A143E">
              <w:rPr>
                <w:rFonts w:cs="Aptos Serif"/>
                <w:sz w:val="20"/>
                <w:szCs w:val="20"/>
                <w:lang w:val="en-US"/>
              </w:rPr>
              <w:t>10 s</w:t>
            </w:r>
          </w:p>
        </w:tc>
        <w:tc>
          <w:tcPr>
            <w:tcW w:w="1843" w:type="dxa"/>
          </w:tcPr>
          <w:p w14:paraId="523F7155" w14:textId="77777777" w:rsidR="00332778" w:rsidRPr="005A143E" w:rsidRDefault="00332778" w:rsidP="00FB0E38">
            <w:pPr>
              <w:jc w:val="both"/>
              <w:rPr>
                <w:rFonts w:cs="Aptos Serif"/>
                <w:sz w:val="20"/>
                <w:szCs w:val="20"/>
                <w:lang w:val="en-US"/>
              </w:rPr>
            </w:pPr>
            <w:r w:rsidRPr="005A143E">
              <w:rPr>
                <w:rFonts w:cs="Aptos Serif"/>
                <w:sz w:val="20"/>
                <w:szCs w:val="20"/>
                <w:lang w:val="en-US"/>
              </w:rPr>
              <w:t>175 s</w:t>
            </w:r>
          </w:p>
        </w:tc>
        <w:tc>
          <w:tcPr>
            <w:tcW w:w="3118" w:type="dxa"/>
          </w:tcPr>
          <w:p w14:paraId="66EB9927" w14:textId="6D229C13" w:rsidR="00332778" w:rsidRPr="005A143E" w:rsidRDefault="00332778" w:rsidP="00FB0E38">
            <w:pPr>
              <w:jc w:val="both"/>
              <w:rPr>
                <w:rFonts w:cs="Aptos Serif"/>
                <w:sz w:val="20"/>
                <w:szCs w:val="20"/>
                <w:lang w:val="en-US"/>
              </w:rPr>
            </w:pPr>
            <w:r w:rsidRPr="005A143E">
              <w:rPr>
                <w:rFonts w:cs="Aptos Serif"/>
                <w:sz w:val="20"/>
                <w:szCs w:val="20"/>
                <w:lang w:val="en-US"/>
              </w:rPr>
              <w:t>Mixing time 95 % homogeneity large scale</w:t>
            </w:r>
          </w:p>
        </w:tc>
        <w:tc>
          <w:tcPr>
            <w:tcW w:w="2121" w:type="dxa"/>
          </w:tcPr>
          <w:p w14:paraId="775F4DBF" w14:textId="5E8AE602"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Wda1kUMS","properties":{"formattedCitation":"[8]","plainCitation":"[8]","noteIndex":0},"citationItems":[{"id":384,"uris":["http://zotero.org/users/9391468/items/JNYRI68I"],"itemData":{"id":384,"type":"article-journal","citation-key":"lara2006LivingHeterogeneitiesBioreactors","container-title":"Molecular Biotechnology","DOI":"10.1385/MB:34:3:355","issue":"3","journalAbbreviation":"Mol Biotechnol","note":"number-of-pages: 27","page":"355-382","title":"Living with heterogeneities in bioreactors: Understanding the effects of environmental gradients on cells","volume":"34","author":[{"family":"Lara","given":"Alvaro R."},{"family":"Galindo","given":"Enrique"},{"family":"Ramírez","given":"Octavio T."},{"family":"Palomares","given":"Laura A."}],"issued":{"date-parts":[["2006",1,1]]}}}],"schema":"https://github.com/citation-style-language/schema/raw/master/csl-citation.json"}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[8]</w:t>
            </w:r>
            <w:r w:rsidRPr="005A143E">
              <w:rPr>
                <w:rFonts w:cs="Aptos Serif"/>
                <w:sz w:val="20"/>
                <w:szCs w:val="20"/>
                <w:lang w:val="en-US"/>
              </w:rPr>
              <w:fldChar w:fldCharType="end"/>
            </w:r>
          </w:p>
        </w:tc>
      </w:tr>
      <w:tr w:rsidR="00332778" w:rsidRPr="005A143E" w14:paraId="7F282557" w14:textId="77777777" w:rsidTr="00FB0E38">
        <w:trPr>
          <w:trHeight w:val="20"/>
          <w:tblHeader/>
        </w:trPr>
        <w:tc>
          <w:tcPr>
            <w:tcW w:w="1980" w:type="dxa"/>
          </w:tcPr>
          <w:p w14:paraId="304F019B" w14:textId="77777777" w:rsidR="00332778" w:rsidRPr="005A143E" w:rsidRDefault="00332778" w:rsidP="00FB0E38">
            <w:pPr>
              <w:jc w:val="both"/>
              <w:rPr>
                <w:rFonts w:cs="Aptos Serif"/>
                <w:sz w:val="20"/>
                <w:szCs w:val="20"/>
                <w:lang w:val="en-US"/>
              </w:rPr>
            </w:pPr>
          </w:p>
        </w:tc>
        <w:tc>
          <w:tcPr>
            <w:tcW w:w="1843" w:type="dxa"/>
          </w:tcPr>
          <w:p w14:paraId="61FD60E3" w14:textId="77777777" w:rsidR="00332778" w:rsidRPr="005A143E" w:rsidRDefault="00332778" w:rsidP="00FB0E38">
            <w:pPr>
              <w:jc w:val="both"/>
              <w:rPr>
                <w:rFonts w:cs="Aptos Serif"/>
                <w:sz w:val="20"/>
                <w:szCs w:val="20"/>
                <w:lang w:val="en-US"/>
              </w:rPr>
            </w:pPr>
            <w:r w:rsidRPr="005A143E">
              <w:rPr>
                <w:rFonts w:cs="Aptos Serif"/>
                <w:sz w:val="20"/>
                <w:szCs w:val="20"/>
                <w:lang w:val="en-US"/>
              </w:rPr>
              <w:t>100 generations</w:t>
            </w:r>
          </w:p>
        </w:tc>
        <w:tc>
          <w:tcPr>
            <w:tcW w:w="3118" w:type="dxa"/>
          </w:tcPr>
          <w:p w14:paraId="507ACC8A" w14:textId="77777777" w:rsidR="00332778" w:rsidRPr="005A143E" w:rsidRDefault="00332778" w:rsidP="00FB0E38">
            <w:pPr>
              <w:jc w:val="both"/>
              <w:rPr>
                <w:rFonts w:cs="Aptos Serif"/>
                <w:sz w:val="20"/>
                <w:szCs w:val="20"/>
                <w:lang w:val="en-US"/>
              </w:rPr>
            </w:pPr>
            <w:r w:rsidRPr="005A143E">
              <w:rPr>
                <w:rFonts w:cs="Aptos Serif"/>
                <w:sz w:val="20"/>
                <w:szCs w:val="20"/>
                <w:lang w:val="en-US"/>
              </w:rPr>
              <w:t>Fermentation time fed batch</w:t>
            </w:r>
          </w:p>
        </w:tc>
        <w:tc>
          <w:tcPr>
            <w:tcW w:w="2121" w:type="dxa"/>
          </w:tcPr>
          <w:p w14:paraId="1205AF70" w14:textId="48219AD7"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{"citationID":"pVVtnVgv","properties":{"formattedCitation":"[10]","plainCitation":"[10]","noteIndex":0},"citationItems":[{"id":3635,"uris":["http://zotero.org/users/9391468/items/9R8XS5UN"],"itemData":{"id":3635,"type":"article-journal","abstract":"A transition toward sustainable bio-based chemical production is important for green growth. However, productivity and yield frequently decrease as large-scale microbial fermentation progresses, commonly ascribed to phenotypic variation. Yet, given the high metabolic burden and toxicities, evolutionary processes may also constrain bio-based production. We experimentally simulate large-scale fermentation with mevalonic acid-producing Escherichia coli. By tracking growth rate and production, we uncover how populations fully sacrifice production to gain fitness within 70 generations. Using ultra-deep (&gt;1000×) time-lapse sequencing of the pathway populations, we identify multiple recurring intra-pathway genetic error modes. This genetic heterogeneity is only detected using deep-sequencing and new population-level bioinformatics, suggesting that the problem is underestimated. A quantitative model explains the population dynamics based on enrichment of spontaneous mutant cells. We validate our model by tuning production load and escape rate of the production host and apply multiple orthogonal strategies for postponing genetically driven production declines.","citation-key":"rugbjerg2018DiverseGeneticError","container-title":"Nature Communications","DOI":"10.1038/s41467-018-03232-w","ISSN":"2041-1723","issue":"1","journalAbbreviation":"Nat Commun","language":"en","license":"2018 The Author(s)","page":"787","publisher":"Nature Publishing Group","source":"www.nature.com","title":"Diverse genetic error modes constrain large-scale bio-based production","volume":"9","author":[{"family":"Rugbjerg","given":"Peter"},{"family":"Myling-Petersen","given":"Nils"},{"family":"Porse","given":"Andreas"},{"family":"Sarup-Lytzen","given":"Kira"},{"family":"Sommer","given":"Morten O. A."}],"issued":{"date-parts":[["2018",2,20]]}}}],"schema":"https://github.com/citation-style-language/schema/raw/master/csl-citation.json"}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[10]</w:t>
            </w:r>
            <w:r w:rsidRPr="005A143E">
              <w:rPr>
                <w:rFonts w:cs="Aptos Serif"/>
                <w:sz w:val="20"/>
                <w:szCs w:val="20"/>
                <w:lang w:val="en-US"/>
              </w:rPr>
              <w:fldChar w:fldCharType="end"/>
            </w:r>
          </w:p>
        </w:tc>
      </w:tr>
      <w:tr w:rsidR="00332778" w:rsidRPr="005A143E" w14:paraId="59207FCE" w14:textId="77777777" w:rsidTr="00FB0E38">
        <w:trPr>
          <w:trHeight w:val="20"/>
          <w:tblHeader/>
        </w:trPr>
        <w:tc>
          <w:tcPr>
            <w:tcW w:w="1980" w:type="dxa"/>
          </w:tcPr>
          <w:p w14:paraId="422D69A6" w14:textId="77777777" w:rsidR="00332778" w:rsidRPr="005A143E" w:rsidRDefault="00332778" w:rsidP="00FB0E38">
            <w:pPr>
              <w:jc w:val="both"/>
              <w:rPr>
                <w:rFonts w:cs="Aptos Serif"/>
                <w:sz w:val="20"/>
                <w:szCs w:val="20"/>
                <w:lang w:val="en-US"/>
              </w:rPr>
            </w:pPr>
            <w:r w:rsidRPr="005A143E">
              <w:rPr>
                <w:rFonts w:cs="Aptos Serif"/>
                <w:sz w:val="20"/>
                <w:szCs w:val="20"/>
                <w:lang w:val="en-US"/>
              </w:rPr>
              <w:t>45-60 generations</w:t>
            </w:r>
          </w:p>
          <w:p w14:paraId="633AE6A2" w14:textId="77777777" w:rsidR="00332778" w:rsidRPr="005A143E" w:rsidRDefault="00332778" w:rsidP="00FB0E38">
            <w:pPr>
              <w:jc w:val="both"/>
              <w:rPr>
                <w:rFonts w:cs="Aptos Serif"/>
                <w:sz w:val="20"/>
                <w:szCs w:val="20"/>
                <w:lang w:val="en-US"/>
              </w:rPr>
            </w:pPr>
            <w:r w:rsidRPr="005A143E">
              <w:rPr>
                <w:rFonts w:cs="Aptos Serif"/>
                <w:sz w:val="20"/>
                <w:szCs w:val="20"/>
                <w:lang w:val="en-US"/>
              </w:rPr>
              <w:t>(</w:t>
            </w:r>
            <w:r w:rsidRPr="005A143E">
              <w:rPr>
                <w:rFonts w:cs="Aptos Serif"/>
                <w:i/>
                <w:iCs/>
                <w:sz w:val="20"/>
                <w:szCs w:val="20"/>
                <w:lang w:val="en-US"/>
              </w:rPr>
              <w:t xml:space="preserve">VN </w:t>
            </w:r>
            <w:r w:rsidRPr="005A143E">
              <w:rPr>
                <w:rFonts w:cs="Aptos Serif"/>
                <w:sz w:val="20"/>
                <w:szCs w:val="20"/>
                <w:lang w:val="en-US"/>
              </w:rPr>
              <w:t>7.5 h)</w:t>
            </w:r>
          </w:p>
        </w:tc>
        <w:tc>
          <w:tcPr>
            <w:tcW w:w="1843" w:type="dxa"/>
          </w:tcPr>
          <w:p w14:paraId="65AED32E" w14:textId="77777777" w:rsidR="00332778" w:rsidRPr="005A143E" w:rsidRDefault="00332778" w:rsidP="00FB0E38">
            <w:pPr>
              <w:jc w:val="both"/>
              <w:rPr>
                <w:rFonts w:cs="Aptos Serif"/>
                <w:sz w:val="20"/>
                <w:szCs w:val="20"/>
                <w:lang w:val="en-US"/>
              </w:rPr>
            </w:pPr>
          </w:p>
        </w:tc>
        <w:tc>
          <w:tcPr>
            <w:tcW w:w="3118" w:type="dxa"/>
          </w:tcPr>
          <w:p w14:paraId="7EE86EFD" w14:textId="77777777" w:rsidR="00332778" w:rsidRPr="005A143E" w:rsidRDefault="00332778" w:rsidP="00FB0E38">
            <w:pPr>
              <w:jc w:val="both"/>
              <w:rPr>
                <w:rFonts w:cs="Aptos Serif"/>
                <w:sz w:val="20"/>
                <w:szCs w:val="20"/>
                <w:lang w:val="en-US"/>
              </w:rPr>
            </w:pPr>
            <w:r w:rsidRPr="005A143E">
              <w:rPr>
                <w:rFonts w:cs="Aptos Serif"/>
                <w:sz w:val="20"/>
                <w:szCs w:val="20"/>
                <w:lang w:val="en-US"/>
              </w:rPr>
              <w:t>seed train to large scale (200 m</w:t>
            </w:r>
            <w:r w:rsidRPr="005A143E">
              <w:rPr>
                <w:rFonts w:cs="Aptos Serif"/>
                <w:sz w:val="20"/>
                <w:szCs w:val="20"/>
                <w:vertAlign w:val="superscript"/>
                <w:lang w:val="en-US"/>
              </w:rPr>
              <w:t>3</w:t>
            </w:r>
            <w:r w:rsidRPr="005A143E">
              <w:rPr>
                <w:rFonts w:cs="Aptos Serif"/>
                <w:sz w:val="20"/>
                <w:szCs w:val="20"/>
                <w:lang w:val="en-US"/>
              </w:rPr>
              <w:t>)</w:t>
            </w:r>
          </w:p>
        </w:tc>
        <w:tc>
          <w:tcPr>
            <w:tcW w:w="2121" w:type="dxa"/>
          </w:tcPr>
          <w:p w14:paraId="35F6D39A" w14:textId="62E8B9A8" w:rsidR="00332778" w:rsidRPr="005A143E" w:rsidRDefault="00332778" w:rsidP="00FB0E38">
            <w:pPr>
              <w:jc w:val="both"/>
              <w:rPr>
                <w:rFonts w:cs="Aptos Serif"/>
                <w:sz w:val="20"/>
                <w:szCs w:val="20"/>
                <w:lang w:val="en-US"/>
              </w:rPr>
            </w:pPr>
            <w:r w:rsidRPr="005A143E">
              <w:rPr>
                <w:rFonts w:cs="Aptos Serif"/>
                <w:sz w:val="20"/>
                <w:szCs w:val="20"/>
                <w:lang w:val="en-US"/>
              </w:rPr>
              <w:fldChar w:fldCharType="begin"/>
            </w:r>
            <w:r w:rsidR="006557B2">
              <w:rPr>
                <w:rFonts w:cs="Aptos Serif"/>
                <w:sz w:val="20"/>
                <w:szCs w:val="20"/>
                <w:lang w:val="en-US"/>
              </w:rPr>
              <w:instrText xml:space="preserve"> ADDIN ZOTERO_ITEM CSL_CITATION {"citationID":"EIFiIov7","properties":{"formattedCitation":"[10]","plainCitation":"[10]","noteIndex":0},"citationItems":[{"id":3635,"uris":["http://zotero.org/users/9391468/items/9R8XS5UN"],"itemData":{"id":3635,"type":"article-journal","abstract":"A transition toward sustainable bio-based chemical production is important for green growth. However, productivity and yield frequently decrease as large-scale microbial fermentation progresses, commonly ascribed to phenotypic variation. Yet, given the high metabolic burden and toxicities, evolutionary processes may also constrain bio-based production. We experimentally simulate large-scale fermentation with mevalonic acid-producing Escherichia coli. By tracking growth rate and production, we uncover how populations fully sacrifice production to gain fitness within 70 generations. Using ultra-deep (&gt;1000×) time-lapse sequencing of the pathway populations, we identify multiple recurring intra-pathway genetic error modes. This genetic heterogeneity is only detected using deep-sequencing and new population-level bioinformatics, suggesting that the problem is underestimated. A quantitative model explains the population dynamics based on enrichment of spontaneous mutant cells. We validate our model by tuning production load and escape rate of the production host and apply multiple orthogonal strategies for postponing genetically driven production declines.","citation-key":"rugbjerg2018DiverseGeneticError","container-title":"Nature Communications","DOI":"10.1038/s41467-018-03232-w","ISSN":"2041-1723","issue":"1","journalAbbreviation":"Nat Commun","language":"en","license":"2018 The Author(s)","page":"787","publisher":"Nature Publishing Group","source":"www.nature.com","title":"Diverse genetic error modes constrain large-scale bio-based production","volume":"9","author":[{"family":"Rugbjerg","given":"Peter"},{"family":"Myling-Petersen","given":"Nils"},{"family":"Porse","given":"Andreas"},{"family":"Sarup-Lytzen","given":"Kira"},{"family":"Sommer","given":"Morten O. A."}],"issued":{"date-parts":[["2018",2,20]]}}}],"schema":"https://github.com/citation-style-language/schema/raw/master/csl-citation.json"} </w:instrText>
            </w:r>
            <w:r w:rsidRPr="005A143E">
              <w:rPr>
                <w:rFonts w:cs="Aptos Serif"/>
                <w:sz w:val="20"/>
                <w:szCs w:val="20"/>
                <w:lang w:val="en-US"/>
              </w:rPr>
              <w:fldChar w:fldCharType="separate"/>
            </w:r>
            <w:r w:rsidRPr="005A143E">
              <w:rPr>
                <w:rFonts w:ascii="Aptos" w:hAnsi="Aptos"/>
                <w:sz w:val="20"/>
                <w:lang w:val="en-US"/>
              </w:rPr>
              <w:t>[10]</w:t>
            </w:r>
            <w:r w:rsidRPr="005A143E">
              <w:rPr>
                <w:rFonts w:cs="Aptos Serif"/>
                <w:sz w:val="20"/>
                <w:szCs w:val="20"/>
                <w:lang w:val="en-US"/>
              </w:rPr>
              <w:fldChar w:fldCharType="end"/>
            </w:r>
          </w:p>
        </w:tc>
      </w:tr>
    </w:tbl>
    <w:p w14:paraId="3DC6F554" w14:textId="77777777" w:rsidR="00F03A94" w:rsidRPr="005A143E" w:rsidRDefault="00F03A94" w:rsidP="00FB0E38">
      <w:pPr>
        <w:jc w:val="both"/>
        <w:rPr>
          <w:lang w:val="en-US"/>
        </w:rPr>
      </w:pPr>
    </w:p>
    <w:p w14:paraId="169ACBD9" w14:textId="1D6D9E81" w:rsidR="00C0727C" w:rsidRPr="00342EAF" w:rsidRDefault="00C0727C" w:rsidP="00FB0E38">
      <w:pPr>
        <w:jc w:val="both"/>
        <w:rPr>
          <w:sz w:val="20"/>
          <w:szCs w:val="20"/>
          <w:lang w:val="en-US"/>
        </w:rPr>
      </w:pPr>
      <w:r w:rsidRPr="00342EAF">
        <w:rPr>
          <w:sz w:val="20"/>
          <w:szCs w:val="20"/>
          <w:lang w:val="en-US"/>
        </w:rPr>
        <w:t xml:space="preserve">Abbreviations: </w:t>
      </w:r>
      <w:r w:rsidRPr="00342EAF">
        <w:rPr>
          <w:i/>
          <w:iCs/>
          <w:sz w:val="20"/>
          <w:szCs w:val="20"/>
          <w:lang w:val="en-US"/>
        </w:rPr>
        <w:t>Escherichia coli</w:t>
      </w:r>
      <w:r w:rsidRPr="00342EAF">
        <w:rPr>
          <w:sz w:val="20"/>
          <w:szCs w:val="20"/>
          <w:lang w:val="en-US"/>
        </w:rPr>
        <w:t xml:space="preserve"> (EC), </w:t>
      </w:r>
      <w:r w:rsidRPr="00342EAF">
        <w:rPr>
          <w:i/>
          <w:iCs/>
          <w:sz w:val="20"/>
          <w:szCs w:val="20"/>
          <w:lang w:val="en-US"/>
        </w:rPr>
        <w:t>Saccharomyces cerevisiae</w:t>
      </w:r>
      <w:r w:rsidRPr="00342EAF">
        <w:rPr>
          <w:sz w:val="20"/>
          <w:szCs w:val="20"/>
          <w:lang w:val="en-US"/>
        </w:rPr>
        <w:t xml:space="preserve"> (SC), </w:t>
      </w:r>
      <w:r w:rsidRPr="00342EAF">
        <w:rPr>
          <w:i/>
          <w:iCs/>
          <w:sz w:val="20"/>
          <w:szCs w:val="20"/>
          <w:lang w:val="en-US"/>
        </w:rPr>
        <w:t xml:space="preserve">Vibrio </w:t>
      </w:r>
      <w:proofErr w:type="spellStart"/>
      <w:r w:rsidRPr="00342EAF">
        <w:rPr>
          <w:i/>
          <w:iCs/>
          <w:sz w:val="20"/>
          <w:szCs w:val="20"/>
          <w:lang w:val="en-US"/>
        </w:rPr>
        <w:t>natriegens</w:t>
      </w:r>
      <w:proofErr w:type="spellEnd"/>
      <w:r w:rsidRPr="00342EAF">
        <w:rPr>
          <w:sz w:val="20"/>
          <w:szCs w:val="20"/>
          <w:lang w:val="en-US"/>
        </w:rPr>
        <w:t xml:space="preserve"> (VN)</w:t>
      </w:r>
      <w:r w:rsidR="00C9252D">
        <w:rPr>
          <w:sz w:val="20"/>
          <w:szCs w:val="20"/>
          <w:lang w:val="en-US"/>
        </w:rPr>
        <w:t>, nucleotides (</w:t>
      </w:r>
      <w:proofErr w:type="spellStart"/>
      <w:r w:rsidR="00C9252D">
        <w:rPr>
          <w:sz w:val="20"/>
          <w:szCs w:val="20"/>
          <w:lang w:val="en-US"/>
        </w:rPr>
        <w:t>nt</w:t>
      </w:r>
      <w:proofErr w:type="spellEnd"/>
      <w:r w:rsidR="00C9252D">
        <w:rPr>
          <w:sz w:val="20"/>
          <w:szCs w:val="20"/>
          <w:lang w:val="en-US"/>
        </w:rPr>
        <w:t>)</w:t>
      </w:r>
      <w:r w:rsidR="006557B2">
        <w:rPr>
          <w:sz w:val="20"/>
          <w:szCs w:val="20"/>
          <w:lang w:val="en-US"/>
        </w:rPr>
        <w:t>, amino acids (aa)</w:t>
      </w:r>
    </w:p>
    <w:p w14:paraId="3A52ECA3" w14:textId="1C835776" w:rsidR="00C0727C" w:rsidRDefault="00C0727C" w:rsidP="00FB0E38">
      <w:pPr>
        <w:jc w:val="both"/>
        <w:rPr>
          <w:sz w:val="20"/>
          <w:szCs w:val="20"/>
          <w:lang w:val="en-US"/>
        </w:rPr>
      </w:pPr>
    </w:p>
    <w:p w14:paraId="75BEFA1E" w14:textId="67A3F37B" w:rsidR="00FB0E38" w:rsidRPr="00342EAF" w:rsidRDefault="00FB0E38" w:rsidP="00FB0E38">
      <w:pPr>
        <w:jc w:val="both"/>
        <w:rPr>
          <w:sz w:val="20"/>
          <w:szCs w:val="20"/>
          <w:lang w:val="en-US"/>
        </w:rPr>
      </w:pPr>
      <w:r>
        <w:rPr>
          <w:sz w:val="20"/>
          <w:szCs w:val="20"/>
          <w:lang w:val="en-US"/>
        </w:rPr>
        <w:t>References:</w:t>
      </w:r>
    </w:p>
    <w:p w14:paraId="38CEB359" w14:textId="77777777" w:rsidR="006557B2" w:rsidRPr="006557B2" w:rsidRDefault="00F03A94" w:rsidP="00FB0E38">
      <w:pPr>
        <w:pStyle w:val="Literaturverzeichnis"/>
        <w:jc w:val="both"/>
        <w:rPr>
          <w:rFonts w:ascii="Aptos" w:hAnsi="Aptos"/>
          <w:sz w:val="20"/>
        </w:rPr>
      </w:pPr>
      <w:r w:rsidRPr="00342EAF">
        <w:rPr>
          <w:sz w:val="20"/>
          <w:szCs w:val="20"/>
          <w:lang w:val="en-US"/>
        </w:rPr>
        <w:fldChar w:fldCharType="begin"/>
      </w:r>
      <w:r w:rsidR="00332778" w:rsidRPr="00342EAF">
        <w:rPr>
          <w:sz w:val="20"/>
          <w:szCs w:val="20"/>
          <w:lang w:val="en-US"/>
        </w:rPr>
        <w:instrText xml:space="preserve"> ADDIN ZOTERO_BIBL {"uncited":[],"omitted":[],"custom":[]} CSL_BIBLIOGRAPHY </w:instrText>
      </w:r>
      <w:r w:rsidRPr="00342EAF">
        <w:rPr>
          <w:sz w:val="20"/>
          <w:szCs w:val="20"/>
          <w:lang w:val="en-US"/>
        </w:rPr>
        <w:fldChar w:fldCharType="separate"/>
      </w:r>
      <w:r w:rsidR="006557B2" w:rsidRPr="006557B2">
        <w:rPr>
          <w:rFonts w:ascii="Aptos" w:hAnsi="Aptos"/>
          <w:sz w:val="20"/>
        </w:rPr>
        <w:t>1. Shamir M, Bar-On Y, Phillips R, Milo R. SnapShot: Timescales in cell biology. Cell. 2016;164:1302-1302.e1. https://doi.org/10.1016/j.cell.2016.02.058</w:t>
      </w:r>
    </w:p>
    <w:p w14:paraId="6CC33FDC" w14:textId="77777777" w:rsidR="006557B2" w:rsidRPr="006557B2" w:rsidRDefault="006557B2" w:rsidP="00FB0E38">
      <w:pPr>
        <w:pStyle w:val="Literaturverzeichnis"/>
        <w:jc w:val="both"/>
        <w:rPr>
          <w:rFonts w:ascii="Aptos" w:hAnsi="Aptos"/>
          <w:sz w:val="20"/>
        </w:rPr>
      </w:pPr>
      <w:r w:rsidRPr="006557B2">
        <w:rPr>
          <w:rFonts w:ascii="Aptos" w:hAnsi="Aptos"/>
          <w:sz w:val="20"/>
        </w:rPr>
        <w:t>2. Wang G, Tang W, Xia J, Chu J, Noorman H, van Gulik WM. Integration of microbial kinetics and fluid dynamics toward model-driven scale-up of industrial bioprocesses. Eng Life Sci. 2015;15:20–9. https://doi.org/10.1002/elsc.201400172</w:t>
      </w:r>
    </w:p>
    <w:p w14:paraId="1975D5A8" w14:textId="77777777" w:rsidR="006557B2" w:rsidRPr="006557B2" w:rsidRDefault="006557B2" w:rsidP="00FB0E38">
      <w:pPr>
        <w:pStyle w:val="Literaturverzeichnis"/>
        <w:jc w:val="both"/>
        <w:rPr>
          <w:rFonts w:ascii="Aptos" w:hAnsi="Aptos"/>
          <w:sz w:val="20"/>
        </w:rPr>
      </w:pPr>
      <w:r w:rsidRPr="006557B2">
        <w:rPr>
          <w:rFonts w:ascii="Aptos" w:hAnsi="Aptos"/>
          <w:sz w:val="20"/>
        </w:rPr>
        <w:t>3. Hoff J, Daniel B, Stukenberg D, Thuronyi BW, Waldminghaus T, Fritz G. Vibrio natriegens: an ultrafast-growing marine bacterium as emerging synthetic biology chassis. Environ Microbiol. 2020;22:4394–408. https://doi.org/10.1111/1462-2920.15128</w:t>
      </w:r>
    </w:p>
    <w:p w14:paraId="589255E3" w14:textId="77777777" w:rsidR="006557B2" w:rsidRPr="006557B2" w:rsidRDefault="006557B2" w:rsidP="00FB0E38">
      <w:pPr>
        <w:pStyle w:val="Literaturverzeichnis"/>
        <w:jc w:val="both"/>
        <w:rPr>
          <w:rFonts w:ascii="Aptos" w:hAnsi="Aptos"/>
          <w:sz w:val="20"/>
        </w:rPr>
      </w:pPr>
      <w:r w:rsidRPr="006557B2">
        <w:rPr>
          <w:rFonts w:ascii="Aptos" w:hAnsi="Aptos"/>
          <w:sz w:val="20"/>
        </w:rPr>
        <w:t>4. Weissman JL, Hou S, Fuhrman JA. Estimating maximal microbial growth rates from cultures, metagenomes, and single cells via codon usage patterns. Proc Natl Acad Sci. Proceedings of the National Academy of Sciences; 2021;118:e2016810118. https://doi.org/10.1073/pnas.2016810118</w:t>
      </w:r>
    </w:p>
    <w:p w14:paraId="00F5C6BA" w14:textId="77777777" w:rsidR="006557B2" w:rsidRPr="006557B2" w:rsidRDefault="006557B2" w:rsidP="00FB0E38">
      <w:pPr>
        <w:pStyle w:val="Literaturverzeichnis"/>
        <w:jc w:val="both"/>
        <w:rPr>
          <w:rFonts w:ascii="Aptos" w:hAnsi="Aptos"/>
          <w:sz w:val="20"/>
        </w:rPr>
      </w:pPr>
      <w:r w:rsidRPr="006557B2">
        <w:rPr>
          <w:rFonts w:ascii="Aptos" w:hAnsi="Aptos"/>
          <w:sz w:val="20"/>
        </w:rPr>
        <w:t>5. Nguyen J, Lara-Gutiérrez J, Stocker R. Environmental fluctuations and their effects on microbial communities, populations and individuals. FEMS Microbiol Rev. 2021;45. https://doi.org/10.1093/femsre/fuaa068</w:t>
      </w:r>
    </w:p>
    <w:p w14:paraId="6FD57834" w14:textId="77777777" w:rsidR="006557B2" w:rsidRPr="006557B2" w:rsidRDefault="006557B2" w:rsidP="00FB0E38">
      <w:pPr>
        <w:pStyle w:val="Literaturverzeichnis"/>
        <w:jc w:val="both"/>
        <w:rPr>
          <w:rFonts w:ascii="Aptos" w:hAnsi="Aptos"/>
          <w:sz w:val="20"/>
        </w:rPr>
      </w:pPr>
      <w:r w:rsidRPr="006557B2">
        <w:rPr>
          <w:rFonts w:ascii="Aptos" w:hAnsi="Aptos"/>
          <w:sz w:val="20"/>
        </w:rPr>
        <w:lastRenderedPageBreak/>
        <w:t>6. Balleza E, Kim JM, Cluzel P. Systematic characterization of maturation time of fluorescent proteins in living cells. Nat Methods. Nature Publishing Group; 2018;15:47–51. https://doi.org/10.1038/nmeth.4509</w:t>
      </w:r>
    </w:p>
    <w:p w14:paraId="6B714A4A" w14:textId="77777777" w:rsidR="006557B2" w:rsidRPr="006557B2" w:rsidRDefault="006557B2" w:rsidP="00FB0E38">
      <w:pPr>
        <w:pStyle w:val="Literaturverzeichnis"/>
        <w:jc w:val="both"/>
        <w:rPr>
          <w:rFonts w:ascii="Aptos" w:hAnsi="Aptos"/>
          <w:sz w:val="20"/>
        </w:rPr>
      </w:pPr>
      <w:r w:rsidRPr="006557B2">
        <w:rPr>
          <w:rFonts w:ascii="Aptos" w:hAnsi="Aptos"/>
          <w:sz w:val="20"/>
        </w:rPr>
        <w:t>7. Gaugler L, Hofmann S, Schlüter M, Takors R. Mimicking CHO large-scale effects in the single multicompartment bioreactor: A new approach to access scale-up behavior. Biotechnol Bioeng. 2024;121:1243–55. https://doi.org/10.1002/bit.28647</w:t>
      </w:r>
    </w:p>
    <w:p w14:paraId="743BF7BC" w14:textId="77777777" w:rsidR="006557B2" w:rsidRPr="006557B2" w:rsidRDefault="006557B2" w:rsidP="00FB0E38">
      <w:pPr>
        <w:pStyle w:val="Literaturverzeichnis"/>
        <w:jc w:val="both"/>
        <w:rPr>
          <w:rFonts w:ascii="Aptos" w:hAnsi="Aptos"/>
          <w:sz w:val="20"/>
        </w:rPr>
      </w:pPr>
      <w:r w:rsidRPr="006557B2">
        <w:rPr>
          <w:rFonts w:ascii="Aptos" w:hAnsi="Aptos"/>
          <w:sz w:val="20"/>
        </w:rPr>
        <w:t>8. Lara AR, Galindo E, Ramírez OT, Palomares LA. Living with heterogeneities in bioreactors: Understanding the effects of environmental gradients on cells. Mol Biotechnol. 2006;34:355–82. https://doi.org/10.1385/MB:34:3:355</w:t>
      </w:r>
    </w:p>
    <w:p w14:paraId="3B9BD511" w14:textId="77777777" w:rsidR="006557B2" w:rsidRPr="006557B2" w:rsidRDefault="006557B2" w:rsidP="00FB0E38">
      <w:pPr>
        <w:pStyle w:val="Literaturverzeichnis"/>
        <w:jc w:val="both"/>
        <w:rPr>
          <w:rFonts w:ascii="Aptos" w:hAnsi="Aptos"/>
          <w:sz w:val="20"/>
        </w:rPr>
      </w:pPr>
      <w:r w:rsidRPr="006557B2">
        <w:rPr>
          <w:rFonts w:ascii="Aptos" w:hAnsi="Aptos"/>
          <w:sz w:val="20"/>
        </w:rPr>
        <w:t>9. Haringa C, Tang W, Deshmukh AT, Xia J, Reuss M, Heijnen JJ, et al. Euler-Lagrange computational fluid dynamics for (bio)reactor scale down: An analysis of organism lifelines. Eng Life Sci. 2016;16:652–63. https://doi.org/10.1002/elsc.201600061</w:t>
      </w:r>
    </w:p>
    <w:p w14:paraId="6449CB0F" w14:textId="77777777" w:rsidR="006557B2" w:rsidRPr="006557B2" w:rsidRDefault="006557B2" w:rsidP="00FB0E38">
      <w:pPr>
        <w:pStyle w:val="Literaturverzeichnis"/>
        <w:jc w:val="both"/>
        <w:rPr>
          <w:rFonts w:ascii="Aptos" w:hAnsi="Aptos"/>
          <w:sz w:val="20"/>
        </w:rPr>
      </w:pPr>
      <w:r w:rsidRPr="006557B2">
        <w:rPr>
          <w:rFonts w:ascii="Aptos" w:hAnsi="Aptos"/>
          <w:sz w:val="20"/>
        </w:rPr>
        <w:t>10. Rugbjerg P, Myling-Petersen N, Porse A, Sarup-Lytzen K, Sommer MOA. Diverse genetic error modes constrain large-scale bio-based production. Nat Commun. Nature Publishing Group; 2018;9:787. https://doi.org/10.1038/s41467-018-03232-w</w:t>
      </w:r>
    </w:p>
    <w:p w14:paraId="56F98B74" w14:textId="5E86191C" w:rsidR="00F03A94" w:rsidRPr="005A143E" w:rsidRDefault="00F03A94" w:rsidP="00FB0E38">
      <w:pPr>
        <w:jc w:val="both"/>
        <w:rPr>
          <w:lang w:val="en-US"/>
        </w:rPr>
      </w:pPr>
      <w:r w:rsidRPr="00342EAF">
        <w:rPr>
          <w:sz w:val="20"/>
          <w:szCs w:val="20"/>
          <w:lang w:val="en-US"/>
        </w:rPr>
        <w:fldChar w:fldCharType="end"/>
      </w:r>
    </w:p>
    <w:p w14:paraId="43698130" w14:textId="449A8229" w:rsidR="00370E25" w:rsidRPr="005A143E" w:rsidRDefault="00F03A94" w:rsidP="00FB0E38">
      <w:pPr>
        <w:pStyle w:val="berschrift2"/>
        <w:jc w:val="both"/>
        <w:rPr>
          <w:lang w:val="en-US"/>
        </w:rPr>
      </w:pPr>
      <w:r w:rsidRPr="005A143E">
        <w:rPr>
          <w:lang w:val="en-US"/>
        </w:rPr>
        <w:br w:type="column"/>
      </w:r>
      <w:r w:rsidR="00370E25" w:rsidRPr="005A143E">
        <w:rPr>
          <w:lang w:val="en-US"/>
        </w:rPr>
        <w:lastRenderedPageBreak/>
        <w:t xml:space="preserve">Figure </w:t>
      </w:r>
      <w:r w:rsidR="00F56096" w:rsidRPr="005A143E">
        <w:rPr>
          <w:lang w:val="en-US"/>
        </w:rPr>
        <w:t>S</w:t>
      </w:r>
      <w:r w:rsidR="00370E25" w:rsidRPr="005A143E">
        <w:rPr>
          <w:lang w:val="en-US"/>
        </w:rPr>
        <w:t>1</w:t>
      </w:r>
    </w:p>
    <w:p w14:paraId="00AF9DBA" w14:textId="77777777" w:rsidR="00370E25" w:rsidRPr="005A143E" w:rsidRDefault="00370E25" w:rsidP="00FB0E38">
      <w:pPr>
        <w:jc w:val="both"/>
        <w:rPr>
          <w:lang w:val="en-US"/>
        </w:rPr>
      </w:pPr>
    </w:p>
    <w:p w14:paraId="1F68B806" w14:textId="680C1A3F" w:rsidR="00676E2C" w:rsidRPr="005A143E" w:rsidRDefault="004558B4" w:rsidP="00FB0E38">
      <w:pPr>
        <w:jc w:val="both"/>
        <w:rPr>
          <w:lang w:val="en-US"/>
        </w:rPr>
      </w:pPr>
      <w:r>
        <w:rPr>
          <w:noProof/>
        </w:rPr>
        <w:drawing>
          <wp:inline distT="0" distB="0" distL="0" distR="0" wp14:anchorId="720153B8" wp14:editId="7645C999">
            <wp:extent cx="1001618" cy="2613600"/>
            <wp:effectExtent l="0" t="0" r="8255" b="0"/>
            <wp:docPr id="5932656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6566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001618" cy="2613600"/>
                    </a:xfrm>
                    <a:prstGeom prst="rect">
                      <a:avLst/>
                    </a:prstGeom>
                  </pic:spPr>
                </pic:pic>
              </a:graphicData>
            </a:graphic>
          </wp:inline>
        </w:drawing>
      </w:r>
      <w:r w:rsidRPr="005A143E">
        <w:rPr>
          <w:noProof/>
          <w:lang w:val="en-US"/>
        </w:rPr>
        <w:t xml:space="preserve"> </w:t>
      </w:r>
      <w:r w:rsidR="00676E2C" w:rsidRPr="005A143E">
        <w:rPr>
          <w:noProof/>
          <w:lang w:val="en-US"/>
        </w:rPr>
        <w:drawing>
          <wp:inline distT="0" distB="0" distL="0" distR="0" wp14:anchorId="2E6B0713" wp14:editId="3EAA28A4">
            <wp:extent cx="4680000" cy="2612366"/>
            <wp:effectExtent l="0" t="0" r="6350" b="0"/>
            <wp:docPr id="19200191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32" b="12610"/>
                    <a:stretch>
                      <a:fillRect/>
                    </a:stretch>
                  </pic:blipFill>
                  <pic:spPr bwMode="auto">
                    <a:xfrm>
                      <a:off x="0" y="0"/>
                      <a:ext cx="4680000" cy="2612366"/>
                    </a:xfrm>
                    <a:prstGeom prst="rect">
                      <a:avLst/>
                    </a:prstGeom>
                    <a:noFill/>
                    <a:ln>
                      <a:noFill/>
                    </a:ln>
                    <a:extLst>
                      <a:ext uri="{53640926-AAD7-44D8-BBD7-CCE9431645EC}">
                        <a14:shadowObscured xmlns:a14="http://schemas.microsoft.com/office/drawing/2010/main"/>
                      </a:ext>
                    </a:extLst>
                  </pic:spPr>
                </pic:pic>
              </a:graphicData>
            </a:graphic>
          </wp:inline>
        </w:drawing>
      </w:r>
    </w:p>
    <w:p w14:paraId="643E906E" w14:textId="52D38809" w:rsidR="00723ACC" w:rsidRPr="00342EAF" w:rsidRDefault="00723ACC" w:rsidP="00FB0E38">
      <w:pPr>
        <w:jc w:val="both"/>
        <w:rPr>
          <w:sz w:val="20"/>
          <w:szCs w:val="20"/>
          <w:lang w:val="en-US"/>
        </w:rPr>
      </w:pPr>
      <w:r w:rsidRPr="00342EAF">
        <w:rPr>
          <w:sz w:val="20"/>
          <w:szCs w:val="20"/>
          <w:lang w:val="en-US"/>
        </w:rPr>
        <w:t xml:space="preserve">Fig. S1: </w:t>
      </w:r>
      <w:r w:rsidR="00136EBD" w:rsidRPr="00342EAF">
        <w:rPr>
          <w:sz w:val="20"/>
          <w:szCs w:val="20"/>
          <w:lang w:val="en-US"/>
        </w:rPr>
        <w:t>Characterization of the applied microfluidic chip concerning flow profile definition.</w:t>
      </w:r>
    </w:p>
    <w:p w14:paraId="7AC5C7D3" w14:textId="1A4D5223" w:rsidR="000A27F9" w:rsidRPr="00342EAF" w:rsidRDefault="0023198E" w:rsidP="00FB0E38">
      <w:pPr>
        <w:jc w:val="both"/>
        <w:rPr>
          <w:sz w:val="20"/>
          <w:szCs w:val="20"/>
          <w:lang w:val="en-US"/>
        </w:rPr>
      </w:pPr>
      <w:r w:rsidRPr="00342EAF">
        <w:rPr>
          <w:sz w:val="20"/>
          <w:szCs w:val="20"/>
          <w:lang w:val="en-US"/>
        </w:rPr>
        <w:t>Fluorescent dye exchange in 80 × 90 × 4 µm MGCs was analyzed as a function of chamber position</w:t>
      </w:r>
      <w:r w:rsidR="00FB0E38">
        <w:rPr>
          <w:sz w:val="20"/>
          <w:szCs w:val="20"/>
          <w:lang w:val="en-US"/>
        </w:rPr>
        <w:t xml:space="preserve"> (see Materials and Methods in main paper)</w:t>
      </w:r>
      <w:r w:rsidRPr="00342EAF">
        <w:rPr>
          <w:sz w:val="20"/>
          <w:szCs w:val="20"/>
          <w:lang w:val="en-US"/>
        </w:rPr>
        <w:t>. For each array pair (#2–#6) within the switching zone, chambers located at both the front and the rear of the array were selected. Pressure conditions were alternated every 15 s, with one representative switching cycle shown. This induced a lateral displacement of the laminar interface from left to right, followed by a return after 15 s. To account for switching-induced delays, time was normalized to the onset of the first detectable signal change within each chamber, thereby excluding the profile switching time from the analysis.</w:t>
      </w:r>
      <w:r w:rsidR="00136EBD" w:rsidRPr="00342EAF">
        <w:rPr>
          <w:sz w:val="20"/>
          <w:szCs w:val="20"/>
          <w:lang w:val="en-US"/>
        </w:rPr>
        <w:t xml:space="preserve"> </w:t>
      </w:r>
    </w:p>
    <w:p w14:paraId="41F81AF8" w14:textId="66E2A0C3" w:rsidR="0023198E" w:rsidRPr="00342EAF" w:rsidRDefault="00136EBD" w:rsidP="00FB0E38">
      <w:pPr>
        <w:jc w:val="both"/>
        <w:rPr>
          <w:sz w:val="20"/>
          <w:szCs w:val="20"/>
          <w:lang w:val="en-US"/>
        </w:rPr>
      </w:pPr>
      <w:r w:rsidRPr="00342EAF">
        <w:rPr>
          <w:sz w:val="20"/>
          <w:szCs w:val="20"/>
          <w:lang w:val="en-US"/>
        </w:rPr>
        <w:t xml:space="preserve">Upon pressure switching, the laminar interface requires 2.7 s to traverse the switching zone, resulting in sequential exposure of array pairs and deviations from the intended 15 s per condition, with only the central array </w:t>
      </w:r>
      <w:r w:rsidR="000A27F9" w:rsidRPr="00342EAF">
        <w:rPr>
          <w:sz w:val="20"/>
          <w:szCs w:val="20"/>
          <w:lang w:val="en-US"/>
        </w:rPr>
        <w:t xml:space="preserve">pair </w:t>
      </w:r>
      <w:r w:rsidRPr="00342EAF">
        <w:rPr>
          <w:sz w:val="20"/>
          <w:szCs w:val="20"/>
          <w:lang w:val="en-US"/>
        </w:rPr>
        <w:t>#4 experiencing the programmed profile. Exposure times vary substantially across the device, increasing toward the outer arrays and reaching up to 22.5 s deviation in array pair #2. Medium exchange within individual MGCs is diffusion-driven and position-dependent, with slower exchange at the rear of arrays due to gradually developing concentration gradients caused by downstream convection.</w:t>
      </w:r>
    </w:p>
    <w:p w14:paraId="14DC6085" w14:textId="7DA6BD0D" w:rsidR="00370E25" w:rsidRPr="005A143E" w:rsidRDefault="00370E25" w:rsidP="00FB0E38">
      <w:pPr>
        <w:jc w:val="both"/>
        <w:rPr>
          <w:lang w:val="en-US"/>
        </w:rPr>
      </w:pPr>
      <w:r w:rsidRPr="005A143E">
        <w:rPr>
          <w:lang w:val="en-US"/>
        </w:rPr>
        <w:br w:type="page"/>
      </w:r>
    </w:p>
    <w:p w14:paraId="04D577C3" w14:textId="1EB5EEE5" w:rsidR="00370E25" w:rsidRPr="005A143E" w:rsidRDefault="00370E25" w:rsidP="00FB0E38">
      <w:pPr>
        <w:pStyle w:val="berschrift2"/>
        <w:jc w:val="both"/>
        <w:rPr>
          <w:lang w:val="en-US"/>
        </w:rPr>
      </w:pPr>
      <w:r w:rsidRPr="005A143E">
        <w:rPr>
          <w:lang w:val="en-US"/>
        </w:rPr>
        <w:lastRenderedPageBreak/>
        <w:t xml:space="preserve">Figure </w:t>
      </w:r>
      <w:r w:rsidR="00F56096" w:rsidRPr="005A143E">
        <w:rPr>
          <w:lang w:val="en-US"/>
        </w:rPr>
        <w:t>S</w:t>
      </w:r>
      <w:r w:rsidRPr="005A143E">
        <w:rPr>
          <w:lang w:val="en-US"/>
        </w:rPr>
        <w:t>2</w:t>
      </w:r>
    </w:p>
    <w:p w14:paraId="24196790" w14:textId="1AEA627D" w:rsidR="00370E25" w:rsidRPr="005A143E" w:rsidRDefault="004C2316" w:rsidP="00FB0E38">
      <w:pPr>
        <w:jc w:val="both"/>
        <w:rPr>
          <w:lang w:val="en-US"/>
        </w:rPr>
      </w:pPr>
      <w:r w:rsidRPr="005A143E">
        <w:rPr>
          <w:noProof/>
          <w:lang w:val="en-US"/>
        </w:rPr>
        <w:drawing>
          <wp:inline distT="0" distB="0" distL="0" distR="0" wp14:anchorId="087FD6F0" wp14:editId="6E625AE5">
            <wp:extent cx="5760720" cy="4099560"/>
            <wp:effectExtent l="0" t="0" r="0" b="0"/>
            <wp:docPr id="262342620" name="Grafik 6" descr="Ein Bild, das Text, Diagramm, Reihe,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42620" name="Grafik 6" descr="Ein Bild, das Text, Diagramm, Reihe, Kart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99560"/>
                    </a:xfrm>
                    <a:prstGeom prst="rect">
                      <a:avLst/>
                    </a:prstGeom>
                    <a:noFill/>
                    <a:ln>
                      <a:noFill/>
                    </a:ln>
                  </pic:spPr>
                </pic:pic>
              </a:graphicData>
            </a:graphic>
          </wp:inline>
        </w:drawing>
      </w:r>
    </w:p>
    <w:p w14:paraId="2399D2E7" w14:textId="41CF0972" w:rsidR="00C14CAF" w:rsidRPr="00342EAF" w:rsidRDefault="004C2316" w:rsidP="00FB0E38">
      <w:pPr>
        <w:jc w:val="both"/>
        <w:rPr>
          <w:sz w:val="20"/>
          <w:szCs w:val="20"/>
          <w:lang w:val="en-US"/>
        </w:rPr>
      </w:pPr>
      <w:r w:rsidRPr="00342EAF">
        <w:rPr>
          <w:sz w:val="20"/>
          <w:szCs w:val="20"/>
          <w:lang w:val="en-US"/>
        </w:rPr>
        <w:t xml:space="preserve">Fig. S2: Cellular performance of the three examined yeast strains </w:t>
      </w:r>
      <w:r w:rsidR="0084608D">
        <w:rPr>
          <w:sz w:val="20"/>
          <w:szCs w:val="20"/>
          <w:lang w:val="en-US"/>
        </w:rPr>
        <w:t>for</w:t>
      </w:r>
      <w:r w:rsidRPr="00342EAF">
        <w:rPr>
          <w:sz w:val="20"/>
          <w:szCs w:val="20"/>
          <w:lang w:val="en-US"/>
        </w:rPr>
        <w:t xml:space="preserve"> different times spent in excess condition. </w:t>
      </w:r>
    </w:p>
    <w:p w14:paraId="1C958F05" w14:textId="2AB4F95C" w:rsidR="004C2316" w:rsidRPr="00342EAF" w:rsidRDefault="00C12A54" w:rsidP="00FB0E38">
      <w:pPr>
        <w:jc w:val="both"/>
        <w:rPr>
          <w:sz w:val="20"/>
          <w:szCs w:val="20"/>
          <w:lang w:val="en-US"/>
        </w:rPr>
      </w:pPr>
      <w:r w:rsidRPr="00342EAF">
        <w:rPr>
          <w:sz w:val="20"/>
          <w:szCs w:val="20"/>
          <w:lang w:val="en-US"/>
        </w:rPr>
        <w:t xml:space="preserve">The figure shows different </w:t>
      </w:r>
      <w:r w:rsidR="00C7048B" w:rsidRPr="00342EAF">
        <w:rPr>
          <w:sz w:val="20"/>
          <w:szCs w:val="20"/>
          <w:lang w:val="en-US"/>
        </w:rPr>
        <w:t>k</w:t>
      </w:r>
      <w:r w:rsidRPr="00342EAF">
        <w:rPr>
          <w:sz w:val="20"/>
          <w:szCs w:val="20"/>
          <w:lang w:val="en-US"/>
        </w:rPr>
        <w:t xml:space="preserve">ey </w:t>
      </w:r>
      <w:r w:rsidR="00C7048B" w:rsidRPr="00342EAF">
        <w:rPr>
          <w:sz w:val="20"/>
          <w:szCs w:val="20"/>
          <w:lang w:val="en-US"/>
        </w:rPr>
        <w:t>p</w:t>
      </w:r>
      <w:r w:rsidRPr="00342EAF">
        <w:rPr>
          <w:sz w:val="20"/>
          <w:szCs w:val="20"/>
          <w:lang w:val="en-US"/>
        </w:rPr>
        <w:t xml:space="preserve">erformance </w:t>
      </w:r>
      <w:r w:rsidR="00C7048B" w:rsidRPr="00342EAF">
        <w:rPr>
          <w:sz w:val="20"/>
          <w:szCs w:val="20"/>
          <w:lang w:val="en-US"/>
        </w:rPr>
        <w:t>i</w:t>
      </w:r>
      <w:r w:rsidRPr="00342EAF">
        <w:rPr>
          <w:sz w:val="20"/>
          <w:szCs w:val="20"/>
          <w:lang w:val="en-US"/>
        </w:rPr>
        <w:t xml:space="preserve">ndicators (KPIs) of the three </w:t>
      </w:r>
      <w:r w:rsidR="008D043D" w:rsidRPr="00342EAF">
        <w:rPr>
          <w:sz w:val="20"/>
          <w:szCs w:val="20"/>
          <w:lang w:val="en-US"/>
        </w:rPr>
        <w:t>yeast strains investigated</w:t>
      </w:r>
      <w:r w:rsidRPr="00342EAF">
        <w:rPr>
          <w:sz w:val="20"/>
          <w:szCs w:val="20"/>
          <w:lang w:val="en-US"/>
        </w:rPr>
        <w:t>. The maximum growth rate (µ</w:t>
      </w:r>
      <w:r w:rsidRPr="00342EAF">
        <w:rPr>
          <w:sz w:val="20"/>
          <w:szCs w:val="20"/>
          <w:vertAlign w:val="subscript"/>
          <w:lang w:val="en-US"/>
        </w:rPr>
        <w:t>max</w:t>
      </w:r>
      <w:r w:rsidRPr="00342EAF">
        <w:rPr>
          <w:sz w:val="20"/>
          <w:szCs w:val="20"/>
          <w:lang w:val="en-US"/>
        </w:rPr>
        <w:t>) was determined at the population level (A). Cellular ATP levels and glycolytic flux were assessed using the QUEEN-2m sensor (B) and GlyRNA sensor (C), while cell size was monitored in parallel (D). For panels B–D, data are presented as the median of all single-cell measurements ± interquartile range (25–75%) collected over 10–18 hours of cultivation. When multiple experiments were performed under the same dynamic condition, spline curves were generated based on the mean</w:t>
      </w:r>
      <w:r w:rsidR="00AE1E3E" w:rsidRPr="00342EAF">
        <w:rPr>
          <w:sz w:val="20"/>
          <w:szCs w:val="20"/>
          <w:lang w:val="en-US"/>
        </w:rPr>
        <w:t>s</w:t>
      </w:r>
      <w:r w:rsidRPr="00342EAF">
        <w:rPr>
          <w:sz w:val="20"/>
          <w:szCs w:val="20"/>
          <w:lang w:val="en-US"/>
        </w:rPr>
        <w:t xml:space="preserve"> of the medians.</w:t>
      </w:r>
    </w:p>
    <w:p w14:paraId="79FB35A5" w14:textId="0060FEBE" w:rsidR="00370E25" w:rsidRPr="005A143E" w:rsidRDefault="00370E25" w:rsidP="00FB0E38">
      <w:pPr>
        <w:jc w:val="both"/>
        <w:rPr>
          <w:lang w:val="en-US"/>
        </w:rPr>
      </w:pPr>
      <w:r w:rsidRPr="005A143E">
        <w:rPr>
          <w:lang w:val="en-US"/>
        </w:rPr>
        <w:br w:type="page"/>
      </w:r>
    </w:p>
    <w:p w14:paraId="3FACF70E" w14:textId="768036DB" w:rsidR="008E1AC5" w:rsidRPr="005A143E" w:rsidRDefault="00370E25" w:rsidP="00FB0E38">
      <w:pPr>
        <w:pStyle w:val="berschrift2"/>
        <w:jc w:val="both"/>
        <w:rPr>
          <w:lang w:val="en-US"/>
        </w:rPr>
      </w:pPr>
      <w:r w:rsidRPr="005A143E">
        <w:rPr>
          <w:lang w:val="en-US"/>
        </w:rPr>
        <w:lastRenderedPageBreak/>
        <w:t xml:space="preserve">Figure </w:t>
      </w:r>
      <w:r w:rsidR="00F56096" w:rsidRPr="005A143E">
        <w:rPr>
          <w:lang w:val="en-US"/>
        </w:rPr>
        <w:t>S</w:t>
      </w:r>
      <w:r w:rsidRPr="005A143E">
        <w:rPr>
          <w:lang w:val="en-US"/>
        </w:rPr>
        <w:t>3</w:t>
      </w:r>
    </w:p>
    <w:p w14:paraId="3D3DD752" w14:textId="11F56977" w:rsidR="003433AB" w:rsidRPr="005A143E" w:rsidRDefault="00370E25" w:rsidP="00FB0E38">
      <w:pPr>
        <w:jc w:val="both"/>
        <w:rPr>
          <w:lang w:val="en-US"/>
        </w:rPr>
      </w:pPr>
      <w:r w:rsidRPr="005A143E">
        <w:rPr>
          <w:noProof/>
          <w:lang w:val="en-US"/>
        </w:rPr>
        <w:drawing>
          <wp:inline distT="0" distB="0" distL="0" distR="0" wp14:anchorId="72E231BD" wp14:editId="77DF1AC7">
            <wp:extent cx="5760720" cy="6027332"/>
            <wp:effectExtent l="0" t="0" r="0" b="0"/>
            <wp:docPr id="2069684961" name="Grafik 4"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84961" name="Grafik 4" descr="Ein Bild, das Text, Diagramm, Screenshot, Reih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027332"/>
                    </a:xfrm>
                    <a:prstGeom prst="rect">
                      <a:avLst/>
                    </a:prstGeom>
                    <a:noFill/>
                    <a:ln>
                      <a:noFill/>
                    </a:ln>
                  </pic:spPr>
                </pic:pic>
              </a:graphicData>
            </a:graphic>
          </wp:inline>
        </w:drawing>
      </w:r>
    </w:p>
    <w:p w14:paraId="62321D1C" w14:textId="18390DBB" w:rsidR="00723ACC" w:rsidRPr="00342EAF" w:rsidRDefault="00723ACC" w:rsidP="00FB0E38">
      <w:pPr>
        <w:jc w:val="both"/>
        <w:rPr>
          <w:sz w:val="20"/>
          <w:szCs w:val="20"/>
          <w:lang w:val="en-US"/>
        </w:rPr>
      </w:pPr>
      <w:r w:rsidRPr="00342EAF">
        <w:rPr>
          <w:sz w:val="20"/>
          <w:szCs w:val="20"/>
          <w:lang w:val="en-US"/>
        </w:rPr>
        <w:t>Fig. S3</w:t>
      </w:r>
      <w:r w:rsidR="008D043D" w:rsidRPr="00342EAF">
        <w:rPr>
          <w:sz w:val="20"/>
          <w:szCs w:val="20"/>
          <w:lang w:val="en-US"/>
        </w:rPr>
        <w:t>:</w:t>
      </w:r>
      <w:r w:rsidR="00AE1E3E" w:rsidRPr="00342EAF">
        <w:rPr>
          <w:sz w:val="20"/>
          <w:szCs w:val="20"/>
          <w:lang w:val="en-US"/>
        </w:rPr>
        <w:t xml:space="preserve"> </w:t>
      </w:r>
      <w:r w:rsidR="00DE7227" w:rsidRPr="00342EAF">
        <w:rPr>
          <w:sz w:val="20"/>
          <w:szCs w:val="20"/>
          <w:lang w:val="en-US"/>
        </w:rPr>
        <w:t>Growth, cell size and ATP level</w:t>
      </w:r>
      <w:r w:rsidR="00AE1E3E" w:rsidRPr="00342EAF">
        <w:rPr>
          <w:sz w:val="20"/>
          <w:szCs w:val="20"/>
          <w:lang w:val="en-US"/>
        </w:rPr>
        <w:t xml:space="preserve"> of the strain </w:t>
      </w:r>
      <w:r w:rsidR="00FB0E38" w:rsidRPr="00342EAF">
        <w:rPr>
          <w:sz w:val="20"/>
          <w:szCs w:val="20"/>
          <w:lang w:val="en-US"/>
        </w:rPr>
        <w:t>C</w:t>
      </w:r>
      <w:r w:rsidR="00FB0E38">
        <w:rPr>
          <w:sz w:val="20"/>
          <w:szCs w:val="20"/>
          <w:lang w:val="en-US"/>
        </w:rPr>
        <w:t>EN</w:t>
      </w:r>
      <w:r w:rsidR="00E34F2E">
        <w:rPr>
          <w:sz w:val="20"/>
          <w:szCs w:val="20"/>
          <w:lang w:val="en-US"/>
        </w:rPr>
        <w:t>.</w:t>
      </w:r>
      <w:r w:rsidR="00AE1E3E" w:rsidRPr="00342EAF">
        <w:rPr>
          <w:sz w:val="20"/>
          <w:szCs w:val="20"/>
          <w:lang w:val="en-US"/>
        </w:rPr>
        <w:t>PK</w:t>
      </w:r>
      <w:r w:rsidR="00E34F2E">
        <w:rPr>
          <w:sz w:val="20"/>
          <w:szCs w:val="20"/>
          <w:lang w:val="en-US"/>
        </w:rPr>
        <w:t>113-7D</w:t>
      </w:r>
      <w:r w:rsidR="00AE1E3E" w:rsidRPr="00342EAF">
        <w:rPr>
          <w:sz w:val="20"/>
          <w:szCs w:val="20"/>
          <w:lang w:val="en-US"/>
        </w:rPr>
        <w:t xml:space="preserve"> at 9 s spent in excess conditions</w:t>
      </w:r>
      <w:r w:rsidR="000322F1" w:rsidRPr="00342EAF">
        <w:rPr>
          <w:sz w:val="20"/>
          <w:szCs w:val="20"/>
          <w:lang w:val="en-US"/>
        </w:rPr>
        <w:t xml:space="preserve"> over the course of cultivation</w:t>
      </w:r>
      <w:r w:rsidR="00AE1E3E" w:rsidRPr="00342EAF">
        <w:rPr>
          <w:sz w:val="20"/>
          <w:szCs w:val="20"/>
          <w:lang w:val="en-US"/>
        </w:rPr>
        <w:t>.</w:t>
      </w:r>
    </w:p>
    <w:p w14:paraId="525A85C0" w14:textId="24B851FD" w:rsidR="00723ACC" w:rsidRPr="00342EAF" w:rsidRDefault="00120F08" w:rsidP="00FB0E38">
      <w:pPr>
        <w:jc w:val="both"/>
        <w:rPr>
          <w:sz w:val="20"/>
          <w:szCs w:val="20"/>
          <w:lang w:val="en-US"/>
        </w:rPr>
      </w:pPr>
      <w:r w:rsidRPr="00342EAF">
        <w:rPr>
          <w:sz w:val="20"/>
          <w:szCs w:val="20"/>
        </w:rPr>
        <w:t>The panel illustrates the temporal development of KPIs throughout the cultivation. Cell count and total colony area were used as proxies for cellular growth, with linear fits applied to both parameters to estimate growth rates. Single-cell area served as an indicator of cell size and morphological changes. Biosensor dynamics were assessed based on the fluorescence intensities of two distinct fluorescence channels, representing different conformational states of the QUEEN-2m sensor. The ratio of these fluorescence signals was used to track changes in intracellular ATP levels over the course of cultivation, while biomass-specific fluorescence signals were derived by normalizing fluorescence intensities to the cell area.</w:t>
      </w:r>
      <w:r w:rsidRPr="00342EAF">
        <w:rPr>
          <w:sz w:val="20"/>
          <w:szCs w:val="20"/>
          <w:lang w:val="en-US"/>
        </w:rPr>
        <w:t xml:space="preserve"> </w:t>
      </w:r>
      <w:r w:rsidR="000322F1" w:rsidRPr="00342EAF">
        <w:rPr>
          <w:sz w:val="20"/>
          <w:szCs w:val="20"/>
          <w:lang w:val="en-US"/>
        </w:rPr>
        <w:t>For all panels excluding the cell count/total area, data are presented as the median of all single-cell measurements ± interquartile range (25–75%) collected over the course of cultivation.</w:t>
      </w:r>
      <w:r w:rsidR="00723ACC" w:rsidRPr="00342EAF">
        <w:rPr>
          <w:sz w:val="20"/>
          <w:szCs w:val="20"/>
          <w:lang w:val="en-US"/>
        </w:rPr>
        <w:br w:type="page"/>
      </w:r>
    </w:p>
    <w:p w14:paraId="191DDDE3" w14:textId="3B3CD2C0" w:rsidR="00723ACC" w:rsidRPr="005A143E" w:rsidRDefault="00723ACC" w:rsidP="00FB0E38">
      <w:pPr>
        <w:pStyle w:val="berschrift2"/>
        <w:jc w:val="both"/>
        <w:rPr>
          <w:lang w:val="en-US"/>
        </w:rPr>
      </w:pPr>
      <w:r w:rsidRPr="005A143E">
        <w:rPr>
          <w:lang w:val="en-US"/>
        </w:rPr>
        <w:lastRenderedPageBreak/>
        <w:t>Figure S4</w:t>
      </w:r>
    </w:p>
    <w:p w14:paraId="58DF889A" w14:textId="2749B968" w:rsidR="003433AB" w:rsidRPr="005A143E" w:rsidRDefault="003433AB" w:rsidP="00FB0E38">
      <w:pPr>
        <w:jc w:val="both"/>
        <w:rPr>
          <w:lang w:val="en-US"/>
        </w:rPr>
      </w:pPr>
      <w:r w:rsidRPr="005A143E">
        <w:rPr>
          <w:noProof/>
          <w:lang w:val="en-US"/>
        </w:rPr>
        <w:drawing>
          <wp:inline distT="0" distB="0" distL="0" distR="0" wp14:anchorId="095D3C50" wp14:editId="24EE779F">
            <wp:extent cx="5760720" cy="6029960"/>
            <wp:effectExtent l="0" t="0" r="0" b="8890"/>
            <wp:docPr id="311938164" name="Grafik 2" descr="Ein Bild, das Text,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38164" name="Grafik 2" descr="Ein Bild, das Text, Screenshot, Diagramm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029960"/>
                    </a:xfrm>
                    <a:prstGeom prst="rect">
                      <a:avLst/>
                    </a:prstGeom>
                    <a:noFill/>
                    <a:ln>
                      <a:noFill/>
                    </a:ln>
                  </pic:spPr>
                </pic:pic>
              </a:graphicData>
            </a:graphic>
          </wp:inline>
        </w:drawing>
      </w:r>
    </w:p>
    <w:p w14:paraId="55DB2B7C" w14:textId="3F2FD30C" w:rsidR="003433AB" w:rsidRPr="00342EAF" w:rsidRDefault="00723ACC" w:rsidP="00FB0E38">
      <w:pPr>
        <w:jc w:val="both"/>
        <w:rPr>
          <w:sz w:val="20"/>
          <w:szCs w:val="20"/>
          <w:lang w:val="en-US"/>
        </w:rPr>
      </w:pPr>
      <w:r w:rsidRPr="00342EAF">
        <w:rPr>
          <w:sz w:val="20"/>
          <w:szCs w:val="20"/>
          <w:lang w:val="en-US"/>
        </w:rPr>
        <w:t>Fig. S4:</w:t>
      </w:r>
      <w:r w:rsidR="00DE7227" w:rsidRPr="00342EAF">
        <w:rPr>
          <w:sz w:val="20"/>
          <w:szCs w:val="20"/>
          <w:lang w:val="en-US"/>
        </w:rPr>
        <w:t xml:space="preserve"> Growth, cell size and glycolytic flux of the strain </w:t>
      </w:r>
      <w:r w:rsidR="00E34F2E" w:rsidRPr="00342EAF">
        <w:rPr>
          <w:sz w:val="20"/>
          <w:szCs w:val="20"/>
          <w:lang w:val="en-US"/>
        </w:rPr>
        <w:t>C</w:t>
      </w:r>
      <w:r w:rsidR="00FB0E38">
        <w:rPr>
          <w:sz w:val="20"/>
          <w:szCs w:val="20"/>
          <w:lang w:val="en-US"/>
        </w:rPr>
        <w:t>EN</w:t>
      </w:r>
      <w:r w:rsidR="00E34F2E">
        <w:rPr>
          <w:sz w:val="20"/>
          <w:szCs w:val="20"/>
          <w:lang w:val="en-US"/>
        </w:rPr>
        <w:t>.</w:t>
      </w:r>
      <w:r w:rsidR="00E34F2E" w:rsidRPr="00342EAF">
        <w:rPr>
          <w:sz w:val="20"/>
          <w:szCs w:val="20"/>
          <w:lang w:val="en-US"/>
        </w:rPr>
        <w:t>PK</w:t>
      </w:r>
      <w:r w:rsidR="00E34F2E">
        <w:rPr>
          <w:sz w:val="20"/>
          <w:szCs w:val="20"/>
          <w:lang w:val="en-US"/>
        </w:rPr>
        <w:t>113-7D</w:t>
      </w:r>
      <w:r w:rsidR="00DE7227" w:rsidRPr="00342EAF">
        <w:rPr>
          <w:sz w:val="20"/>
          <w:szCs w:val="20"/>
          <w:lang w:val="en-US"/>
        </w:rPr>
        <w:t xml:space="preserve"> at 9 s spent in excess conditions over the course of cultivation.</w:t>
      </w:r>
    </w:p>
    <w:p w14:paraId="38D3B520" w14:textId="6F311495" w:rsidR="00DE7227" w:rsidRPr="00342EAF" w:rsidRDefault="00DE7227" w:rsidP="00FB0E38">
      <w:pPr>
        <w:jc w:val="both"/>
        <w:rPr>
          <w:sz w:val="20"/>
          <w:szCs w:val="20"/>
          <w:lang w:val="en-US"/>
        </w:rPr>
      </w:pPr>
      <w:r w:rsidRPr="00342EAF">
        <w:rPr>
          <w:sz w:val="20"/>
          <w:szCs w:val="20"/>
        </w:rPr>
        <w:t xml:space="preserve">The panel illustrates the temporal development of KPIs throughout the cultivation. Cell count and total colony area were used as proxies for cellular growth, with linear fits applied to both parameters to estimate growth rates. Single-cell area served as an indicator of cell size and morphological changes. Biosensor dynamics were assessed based on the </w:t>
      </w:r>
      <w:r w:rsidR="00325989">
        <w:rPr>
          <w:sz w:val="20"/>
          <w:szCs w:val="20"/>
        </w:rPr>
        <w:t xml:space="preserve">ratio the </w:t>
      </w:r>
      <w:r w:rsidRPr="00342EAF">
        <w:rPr>
          <w:sz w:val="20"/>
          <w:szCs w:val="20"/>
        </w:rPr>
        <w:t>fluorescence intensities of two distinct fluorophores</w:t>
      </w:r>
      <w:r w:rsidR="00325989">
        <w:rPr>
          <w:sz w:val="20"/>
          <w:szCs w:val="20"/>
        </w:rPr>
        <w:t xml:space="preserve">. CFP levels correlate reversely with fructose-1,6-bisphosphate levels and the signal </w:t>
      </w:r>
      <w:r w:rsidR="00921B43">
        <w:rPr>
          <w:sz w:val="20"/>
          <w:szCs w:val="20"/>
        </w:rPr>
        <w:t>are</w:t>
      </w:r>
      <w:r w:rsidR="00325989">
        <w:rPr>
          <w:sz w:val="20"/>
          <w:szCs w:val="20"/>
        </w:rPr>
        <w:t xml:space="preserve"> normalised to constitutively expressed RFP.</w:t>
      </w:r>
      <w:r w:rsidRPr="00342EAF">
        <w:rPr>
          <w:sz w:val="20"/>
          <w:szCs w:val="20"/>
        </w:rPr>
        <w:t xml:space="preserve"> The ratio of these fluorescence signals was used to track changes in the glycolytic flux over the course of cultivation, while biomass-specific fluorescence signals were derived by normalizing fluorescence intensities to the cell area.</w:t>
      </w:r>
      <w:r w:rsidR="00342EAF" w:rsidRPr="00342EAF">
        <w:rPr>
          <w:sz w:val="20"/>
          <w:szCs w:val="20"/>
        </w:rPr>
        <w:t xml:space="preserve"> The displayed YFP signal and resulting YFP/RFP ratio</w:t>
      </w:r>
      <w:r w:rsidR="00921B43">
        <w:rPr>
          <w:sz w:val="20"/>
          <w:szCs w:val="20"/>
        </w:rPr>
        <w:t xml:space="preserve"> indicate the level of oxidative stress but</w:t>
      </w:r>
      <w:r w:rsidR="00342EAF" w:rsidRPr="00342EAF">
        <w:rPr>
          <w:sz w:val="20"/>
          <w:szCs w:val="20"/>
        </w:rPr>
        <w:t xml:space="preserve"> was not investigated in the presented study.</w:t>
      </w:r>
      <w:r w:rsidRPr="00342EAF">
        <w:rPr>
          <w:sz w:val="20"/>
          <w:szCs w:val="20"/>
          <w:lang w:val="en-US"/>
        </w:rPr>
        <w:t xml:space="preserve"> For all panels excluding the cell count/total area, data are presented as the median of all single-cell measurements ± interquartile range (25–75%) collected over the course of cultivation.</w:t>
      </w:r>
      <w:r w:rsidRPr="00342EAF">
        <w:rPr>
          <w:sz w:val="20"/>
          <w:szCs w:val="20"/>
          <w:lang w:val="en-US"/>
        </w:rPr>
        <w:br w:type="page"/>
      </w:r>
    </w:p>
    <w:p w14:paraId="47272F30" w14:textId="77777777" w:rsidR="00723ACC" w:rsidRPr="005A143E" w:rsidRDefault="00723ACC" w:rsidP="00FB0E38">
      <w:pPr>
        <w:pStyle w:val="berschrift2"/>
        <w:jc w:val="both"/>
        <w:rPr>
          <w:lang w:val="en-US"/>
        </w:rPr>
      </w:pPr>
      <w:r w:rsidRPr="005A143E">
        <w:rPr>
          <w:lang w:val="en-US"/>
        </w:rPr>
        <w:lastRenderedPageBreak/>
        <w:t>Figure S5</w:t>
      </w:r>
    </w:p>
    <w:p w14:paraId="4B96C14A" w14:textId="77777777" w:rsidR="00723ACC" w:rsidRPr="005A143E" w:rsidRDefault="00A745CA" w:rsidP="00FB0E38">
      <w:pPr>
        <w:jc w:val="both"/>
        <w:rPr>
          <w:lang w:val="en-US"/>
        </w:rPr>
      </w:pPr>
      <w:r w:rsidRPr="005A143E">
        <w:rPr>
          <w:noProof/>
          <w:lang w:val="en-US"/>
        </w:rPr>
        <w:drawing>
          <wp:inline distT="0" distB="0" distL="0" distR="0" wp14:anchorId="156AFF45" wp14:editId="6F5B2D95">
            <wp:extent cx="5762625" cy="6029960"/>
            <wp:effectExtent l="0" t="0" r="9525" b="8890"/>
            <wp:docPr id="20076665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6029960"/>
                    </a:xfrm>
                    <a:prstGeom prst="rect">
                      <a:avLst/>
                    </a:prstGeom>
                    <a:noFill/>
                    <a:ln>
                      <a:noFill/>
                    </a:ln>
                  </pic:spPr>
                </pic:pic>
              </a:graphicData>
            </a:graphic>
          </wp:inline>
        </w:drawing>
      </w:r>
    </w:p>
    <w:p w14:paraId="2868E072" w14:textId="3B1D2784" w:rsidR="00723ACC" w:rsidRPr="00342EAF" w:rsidRDefault="00723ACC" w:rsidP="00FB0E38">
      <w:pPr>
        <w:jc w:val="both"/>
        <w:rPr>
          <w:sz w:val="20"/>
          <w:szCs w:val="20"/>
          <w:lang w:val="en-US"/>
        </w:rPr>
      </w:pPr>
      <w:r w:rsidRPr="00342EAF">
        <w:rPr>
          <w:sz w:val="20"/>
          <w:szCs w:val="20"/>
          <w:lang w:val="en-US"/>
        </w:rPr>
        <w:t>Fig. S5:</w:t>
      </w:r>
      <w:r w:rsidR="00120F08" w:rsidRPr="00342EAF">
        <w:rPr>
          <w:sz w:val="20"/>
          <w:szCs w:val="20"/>
          <w:lang w:val="en-US"/>
        </w:rPr>
        <w:t xml:space="preserve"> </w:t>
      </w:r>
      <w:r w:rsidR="00DE7227" w:rsidRPr="00342EAF">
        <w:rPr>
          <w:sz w:val="20"/>
          <w:szCs w:val="20"/>
          <w:lang w:val="en-US"/>
        </w:rPr>
        <w:t xml:space="preserve">Growth, cell size and ATP level </w:t>
      </w:r>
      <w:r w:rsidR="00120F08" w:rsidRPr="00342EAF">
        <w:rPr>
          <w:sz w:val="20"/>
          <w:szCs w:val="20"/>
          <w:lang w:val="en-US"/>
        </w:rPr>
        <w:t>of the strain Ethanol</w:t>
      </w:r>
      <w:r w:rsidR="00342EAF" w:rsidRPr="00342EAF">
        <w:rPr>
          <w:sz w:val="20"/>
          <w:szCs w:val="20"/>
          <w:lang w:val="en-US"/>
        </w:rPr>
        <w:t xml:space="preserve"> </w:t>
      </w:r>
      <w:r w:rsidR="00120F08" w:rsidRPr="00342EAF">
        <w:rPr>
          <w:sz w:val="20"/>
          <w:szCs w:val="20"/>
          <w:lang w:val="en-US"/>
        </w:rPr>
        <w:t>Red at 9 s spent in excess conditions over the course of cultivation.</w:t>
      </w:r>
    </w:p>
    <w:p w14:paraId="44839E68" w14:textId="6AD6B569" w:rsidR="00723ACC" w:rsidRPr="00342EAF" w:rsidRDefault="00120F08" w:rsidP="00FB0E38">
      <w:pPr>
        <w:jc w:val="both"/>
        <w:rPr>
          <w:sz w:val="20"/>
          <w:szCs w:val="20"/>
          <w:lang w:val="en-US"/>
        </w:rPr>
      </w:pPr>
      <w:r w:rsidRPr="00342EAF">
        <w:rPr>
          <w:sz w:val="20"/>
          <w:szCs w:val="20"/>
        </w:rPr>
        <w:t>The panel illustrates the temporal development of KPIs throughout the cultivation. Cell count and total colony area were used as proxies for cellular growth, with linear fits applied to both parameters to estimate growth rates. Single-cell area served as an indicator of cell size and morphological changes. Biosensor dynamics were assessed based on the fluorescence intensities of two distinct fluorescence channels, representing different conformational states of the QUEEN-2m sensor. The ratio of these fluorescence signals was used to track changes in intracellular ATP levels over the course of cultivation, while biomass-specific fluorescence signals were derived by normalizing fluorescence intensities to the cell area.</w:t>
      </w:r>
      <w:r w:rsidRPr="00342EAF">
        <w:rPr>
          <w:sz w:val="20"/>
          <w:szCs w:val="20"/>
          <w:lang w:val="en-US"/>
        </w:rPr>
        <w:t xml:space="preserve"> For all panels excluding the cell count/total area, data are presented as the median of all single-cell measurements ± interquartile range (25–75%) collected over the course of cultivation.</w:t>
      </w:r>
      <w:r w:rsidR="00723ACC" w:rsidRPr="00342EAF">
        <w:rPr>
          <w:sz w:val="20"/>
          <w:szCs w:val="20"/>
          <w:lang w:val="en-US"/>
        </w:rPr>
        <w:br w:type="page"/>
      </w:r>
    </w:p>
    <w:p w14:paraId="088AE86F" w14:textId="3D117F7A" w:rsidR="00723ACC" w:rsidRPr="005A143E" w:rsidRDefault="00723ACC" w:rsidP="00FB0E38">
      <w:pPr>
        <w:pStyle w:val="berschrift2"/>
        <w:jc w:val="both"/>
        <w:rPr>
          <w:lang w:val="en-US"/>
        </w:rPr>
      </w:pPr>
      <w:r w:rsidRPr="005A143E">
        <w:rPr>
          <w:lang w:val="en-US"/>
        </w:rPr>
        <w:lastRenderedPageBreak/>
        <w:t>Figure S6</w:t>
      </w:r>
    </w:p>
    <w:p w14:paraId="5BB19E83" w14:textId="71822240" w:rsidR="008E1AC5" w:rsidRPr="005A143E" w:rsidRDefault="00A745CA" w:rsidP="00FB0E38">
      <w:pPr>
        <w:jc w:val="both"/>
        <w:rPr>
          <w:lang w:val="en-US"/>
        </w:rPr>
      </w:pPr>
      <w:r w:rsidRPr="005A143E">
        <w:rPr>
          <w:noProof/>
          <w:lang w:val="en-US"/>
        </w:rPr>
        <w:drawing>
          <wp:inline distT="0" distB="0" distL="0" distR="0" wp14:anchorId="50A946BA" wp14:editId="7594FA81">
            <wp:extent cx="5762625" cy="6029960"/>
            <wp:effectExtent l="0" t="0" r="9525" b="8890"/>
            <wp:docPr id="14875384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6029960"/>
                    </a:xfrm>
                    <a:prstGeom prst="rect">
                      <a:avLst/>
                    </a:prstGeom>
                    <a:noFill/>
                    <a:ln>
                      <a:noFill/>
                    </a:ln>
                  </pic:spPr>
                </pic:pic>
              </a:graphicData>
            </a:graphic>
          </wp:inline>
        </w:drawing>
      </w:r>
    </w:p>
    <w:p w14:paraId="28407E2A" w14:textId="3A86D617" w:rsidR="003433AB" w:rsidRPr="00342EAF" w:rsidRDefault="00723ACC" w:rsidP="00FB0E38">
      <w:pPr>
        <w:jc w:val="both"/>
        <w:rPr>
          <w:sz w:val="20"/>
          <w:szCs w:val="20"/>
          <w:lang w:val="en-US"/>
        </w:rPr>
      </w:pPr>
      <w:r w:rsidRPr="00342EAF">
        <w:rPr>
          <w:sz w:val="20"/>
          <w:szCs w:val="20"/>
          <w:lang w:val="en-US"/>
        </w:rPr>
        <w:t>Fig. S6:</w:t>
      </w:r>
      <w:r w:rsidR="00DE7227" w:rsidRPr="00342EAF">
        <w:rPr>
          <w:sz w:val="20"/>
          <w:szCs w:val="20"/>
          <w:lang w:val="en-US"/>
        </w:rPr>
        <w:t xml:space="preserve"> </w:t>
      </w:r>
      <w:bookmarkStart w:id="0" w:name="_Hlk220059890"/>
      <w:r w:rsidR="00DE7227" w:rsidRPr="00342EAF">
        <w:rPr>
          <w:sz w:val="20"/>
          <w:szCs w:val="20"/>
          <w:lang w:val="en-US"/>
        </w:rPr>
        <w:t>Growth, cell size and glycolytic flux of the strain Ethanol</w:t>
      </w:r>
      <w:r w:rsidR="00342EAF" w:rsidRPr="00342EAF">
        <w:rPr>
          <w:sz w:val="20"/>
          <w:szCs w:val="20"/>
          <w:lang w:val="en-US"/>
        </w:rPr>
        <w:t xml:space="preserve"> </w:t>
      </w:r>
      <w:r w:rsidR="00DE7227" w:rsidRPr="00342EAF">
        <w:rPr>
          <w:sz w:val="20"/>
          <w:szCs w:val="20"/>
          <w:lang w:val="en-US"/>
        </w:rPr>
        <w:t>Red at 9 s spent in excess conditions over the course of cultivation.</w:t>
      </w:r>
      <w:bookmarkEnd w:id="0"/>
    </w:p>
    <w:p w14:paraId="72AB5494" w14:textId="1D6D5D34" w:rsidR="00723ACC" w:rsidRPr="00342EAF" w:rsidRDefault="00921B43" w:rsidP="00FB0E38">
      <w:pPr>
        <w:jc w:val="both"/>
        <w:rPr>
          <w:sz w:val="20"/>
          <w:szCs w:val="20"/>
          <w:lang w:val="en-US"/>
        </w:rPr>
      </w:pPr>
      <w:r w:rsidRPr="00342EAF">
        <w:rPr>
          <w:sz w:val="20"/>
          <w:szCs w:val="20"/>
        </w:rPr>
        <w:t xml:space="preserve">The panel illustrates the temporal development of KPIs throughout the cultivation. Cell count and total colony area were used as proxies for cellular growth, with linear fits applied to both parameters to estimate growth rates. Single-cell area served as an indicator of cell size and morphological changes. Biosensor dynamics were assessed based on the </w:t>
      </w:r>
      <w:r>
        <w:rPr>
          <w:sz w:val="20"/>
          <w:szCs w:val="20"/>
        </w:rPr>
        <w:t xml:space="preserve">ratio the </w:t>
      </w:r>
      <w:r w:rsidRPr="00342EAF">
        <w:rPr>
          <w:sz w:val="20"/>
          <w:szCs w:val="20"/>
        </w:rPr>
        <w:t>fluorescence intensities of two distinct fluorophores</w:t>
      </w:r>
      <w:r>
        <w:rPr>
          <w:sz w:val="20"/>
          <w:szCs w:val="20"/>
        </w:rPr>
        <w:t>. CFP levels correlate reversely with fructose-1,6-bisphosphate levels and the signal are normalised to constitutively expressed RFP.</w:t>
      </w:r>
      <w:r w:rsidRPr="00342EAF">
        <w:rPr>
          <w:sz w:val="20"/>
          <w:szCs w:val="20"/>
        </w:rPr>
        <w:t xml:space="preserve"> The ratio of these fluorescence signals was used to track changes in the glycolytic flux over the course of cultivation, while biomass-specific fluorescence signals were derived by normalizing fluorescence intensities to the cell area. The displayed YFP signal and resulting YFP/RFP ratio</w:t>
      </w:r>
      <w:r>
        <w:rPr>
          <w:sz w:val="20"/>
          <w:szCs w:val="20"/>
        </w:rPr>
        <w:t xml:space="preserve"> indicate the level of oxidative stress but</w:t>
      </w:r>
      <w:r w:rsidRPr="00342EAF">
        <w:rPr>
          <w:sz w:val="20"/>
          <w:szCs w:val="20"/>
        </w:rPr>
        <w:t xml:space="preserve"> was not investigated in the presented study.</w:t>
      </w:r>
      <w:r w:rsidRPr="00342EAF">
        <w:rPr>
          <w:sz w:val="20"/>
          <w:szCs w:val="20"/>
          <w:lang w:val="en-US"/>
        </w:rPr>
        <w:t xml:space="preserve"> For all panels excluding the cell count/total area, data are presented as the median of all single-cell measurements ± interquartile range (25–75%) collected over the course of cultivation.</w:t>
      </w:r>
      <w:r w:rsidR="00723ACC" w:rsidRPr="00342EAF">
        <w:rPr>
          <w:sz w:val="20"/>
          <w:szCs w:val="20"/>
          <w:lang w:val="en-US"/>
        </w:rPr>
        <w:br w:type="page"/>
      </w:r>
    </w:p>
    <w:p w14:paraId="5D5C1504" w14:textId="0304BB6A" w:rsidR="00723ACC" w:rsidRPr="005A143E" w:rsidRDefault="00723ACC" w:rsidP="00FB0E38">
      <w:pPr>
        <w:pStyle w:val="berschrift2"/>
        <w:jc w:val="both"/>
        <w:rPr>
          <w:lang w:val="en-US"/>
        </w:rPr>
      </w:pPr>
      <w:r w:rsidRPr="005A143E">
        <w:rPr>
          <w:lang w:val="en-US"/>
        </w:rPr>
        <w:lastRenderedPageBreak/>
        <w:t>Figure S7</w:t>
      </w:r>
    </w:p>
    <w:p w14:paraId="16E56D4A" w14:textId="77777777" w:rsidR="00723ACC" w:rsidRPr="005A143E" w:rsidRDefault="00370E25" w:rsidP="00FB0E38">
      <w:pPr>
        <w:jc w:val="both"/>
        <w:rPr>
          <w:lang w:val="en-US"/>
        </w:rPr>
      </w:pPr>
      <w:r w:rsidRPr="005A143E">
        <w:rPr>
          <w:noProof/>
          <w:lang w:val="en-US"/>
        </w:rPr>
        <w:drawing>
          <wp:inline distT="0" distB="0" distL="0" distR="0" wp14:anchorId="1FA907A4" wp14:editId="5462FA84">
            <wp:extent cx="5760720" cy="6027332"/>
            <wp:effectExtent l="0" t="0" r="0" b="0"/>
            <wp:docPr id="365080571" name="Grafik 5"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80571" name="Grafik 5" descr="Ein Bild, das Text, Diagramm, Reihe, Screenshot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027332"/>
                    </a:xfrm>
                    <a:prstGeom prst="rect">
                      <a:avLst/>
                    </a:prstGeom>
                    <a:noFill/>
                    <a:ln>
                      <a:noFill/>
                    </a:ln>
                  </pic:spPr>
                </pic:pic>
              </a:graphicData>
            </a:graphic>
          </wp:inline>
        </w:drawing>
      </w:r>
    </w:p>
    <w:p w14:paraId="2B8CD89E" w14:textId="2BD1DDC4" w:rsidR="00723ACC" w:rsidRPr="00342EAF" w:rsidRDefault="00723ACC" w:rsidP="00FB0E38">
      <w:pPr>
        <w:jc w:val="both"/>
        <w:rPr>
          <w:sz w:val="20"/>
          <w:szCs w:val="20"/>
          <w:lang w:val="en-US"/>
        </w:rPr>
      </w:pPr>
      <w:r w:rsidRPr="00342EAF">
        <w:rPr>
          <w:sz w:val="20"/>
          <w:szCs w:val="20"/>
          <w:lang w:val="en-US"/>
        </w:rPr>
        <w:t>Fig. S7</w:t>
      </w:r>
      <w:r w:rsidR="008D043D" w:rsidRPr="00342EAF">
        <w:rPr>
          <w:sz w:val="20"/>
          <w:szCs w:val="20"/>
          <w:lang w:val="en-US"/>
        </w:rPr>
        <w:t>:</w:t>
      </w:r>
      <w:r w:rsidR="00120F08" w:rsidRPr="00342EAF">
        <w:rPr>
          <w:sz w:val="20"/>
          <w:szCs w:val="20"/>
          <w:lang w:val="en-US"/>
        </w:rPr>
        <w:t xml:space="preserve"> </w:t>
      </w:r>
      <w:r w:rsidR="00DE7227" w:rsidRPr="00342EAF">
        <w:rPr>
          <w:sz w:val="20"/>
          <w:szCs w:val="20"/>
          <w:lang w:val="en-US"/>
        </w:rPr>
        <w:t xml:space="preserve">Growth, cell size and ATP level </w:t>
      </w:r>
      <w:r w:rsidR="00120F08" w:rsidRPr="00342EAF">
        <w:rPr>
          <w:sz w:val="20"/>
          <w:szCs w:val="20"/>
          <w:lang w:val="en-US"/>
        </w:rPr>
        <w:t>of the strain PE2 at 9 s spent in excess conditions over the course of cultivation.</w:t>
      </w:r>
    </w:p>
    <w:p w14:paraId="2EF67791" w14:textId="5C35E7E0" w:rsidR="00723ACC" w:rsidRPr="00342EAF" w:rsidRDefault="00120F08" w:rsidP="00FB0E38">
      <w:pPr>
        <w:jc w:val="both"/>
        <w:rPr>
          <w:sz w:val="20"/>
          <w:szCs w:val="20"/>
          <w:lang w:val="en-US"/>
        </w:rPr>
      </w:pPr>
      <w:r w:rsidRPr="00342EAF">
        <w:rPr>
          <w:sz w:val="20"/>
          <w:szCs w:val="20"/>
        </w:rPr>
        <w:t>The panel illustrates the temporal development of KPIs throughout the cultivation. Cell count and total colony area were used as proxies for cellular growth, with linear fits applied to both parameters to estimate growth rates. Single-cell area served as an indicator of cell size and morphological changes. Biosensor dynamics were assessed based on the fluorescence intensities of two distinct fluorescence channels, representing different conformational states of the QUEEN-2m sensor. The ratio of these fluorescence signals was used to track changes in intracellular ATP levels over the course of cultivation, while biomass-specific fluorescence signals were derived by normalizing fluorescence intensities to the cell area.</w:t>
      </w:r>
      <w:r w:rsidRPr="00342EAF">
        <w:rPr>
          <w:sz w:val="20"/>
          <w:szCs w:val="20"/>
          <w:lang w:val="en-US"/>
        </w:rPr>
        <w:t xml:space="preserve"> For all panels excluding the cell count/total area, data are presented as the median of all single-cell measurements ± interquartile range (25–75%) collected over the course of cultivation.</w:t>
      </w:r>
      <w:r w:rsidR="00723ACC" w:rsidRPr="00342EAF">
        <w:rPr>
          <w:sz w:val="20"/>
          <w:szCs w:val="20"/>
          <w:lang w:val="en-US"/>
        </w:rPr>
        <w:br w:type="page"/>
      </w:r>
    </w:p>
    <w:p w14:paraId="34C7E67E" w14:textId="295E7AF4" w:rsidR="00723ACC" w:rsidRPr="005A143E" w:rsidRDefault="00723ACC" w:rsidP="00FB0E38">
      <w:pPr>
        <w:pStyle w:val="berschrift2"/>
        <w:jc w:val="both"/>
        <w:rPr>
          <w:lang w:val="en-US"/>
        </w:rPr>
      </w:pPr>
      <w:r w:rsidRPr="005A143E">
        <w:rPr>
          <w:lang w:val="en-US"/>
        </w:rPr>
        <w:lastRenderedPageBreak/>
        <w:t>Figure S8</w:t>
      </w:r>
    </w:p>
    <w:p w14:paraId="7E9F989E" w14:textId="6796952A" w:rsidR="003433AB" w:rsidRPr="005A143E" w:rsidRDefault="003433AB" w:rsidP="00FB0E38">
      <w:pPr>
        <w:jc w:val="both"/>
        <w:rPr>
          <w:lang w:val="en-US"/>
        </w:rPr>
      </w:pPr>
      <w:r w:rsidRPr="005A143E">
        <w:rPr>
          <w:noProof/>
          <w:lang w:val="en-US"/>
        </w:rPr>
        <w:drawing>
          <wp:inline distT="0" distB="0" distL="0" distR="0" wp14:anchorId="022351D0" wp14:editId="45CC0067">
            <wp:extent cx="5762625" cy="6029325"/>
            <wp:effectExtent l="0" t="0" r="9525" b="9525"/>
            <wp:docPr id="14648750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6029325"/>
                    </a:xfrm>
                    <a:prstGeom prst="rect">
                      <a:avLst/>
                    </a:prstGeom>
                    <a:noFill/>
                    <a:ln>
                      <a:noFill/>
                    </a:ln>
                  </pic:spPr>
                </pic:pic>
              </a:graphicData>
            </a:graphic>
          </wp:inline>
        </w:drawing>
      </w:r>
    </w:p>
    <w:p w14:paraId="708E64F7" w14:textId="4F74E2FF" w:rsidR="00E9357D" w:rsidRPr="00342EAF" w:rsidRDefault="00723ACC" w:rsidP="00FB0E38">
      <w:pPr>
        <w:jc w:val="both"/>
        <w:rPr>
          <w:sz w:val="20"/>
          <w:szCs w:val="20"/>
          <w:lang w:val="en-US"/>
        </w:rPr>
      </w:pPr>
      <w:r w:rsidRPr="00342EAF">
        <w:rPr>
          <w:sz w:val="20"/>
          <w:szCs w:val="20"/>
          <w:lang w:val="en-US"/>
        </w:rPr>
        <w:t xml:space="preserve">Fig. S8: </w:t>
      </w:r>
      <w:r w:rsidR="00DE7227" w:rsidRPr="00342EAF">
        <w:rPr>
          <w:sz w:val="20"/>
          <w:szCs w:val="20"/>
          <w:lang w:val="en-US"/>
        </w:rPr>
        <w:t>Growth, cell size and glycolytic flux of the strain PE2 at 9 s spent in excess conditions over the course of cultivation.</w:t>
      </w:r>
    </w:p>
    <w:p w14:paraId="0BC07175" w14:textId="2F75271E" w:rsidR="00370E25" w:rsidRPr="00342EAF" w:rsidRDefault="00921B43" w:rsidP="00FB0E38">
      <w:pPr>
        <w:jc w:val="both"/>
        <w:rPr>
          <w:sz w:val="20"/>
          <w:szCs w:val="20"/>
          <w:lang w:val="en-US"/>
        </w:rPr>
      </w:pPr>
      <w:r w:rsidRPr="00342EAF">
        <w:rPr>
          <w:sz w:val="20"/>
          <w:szCs w:val="20"/>
        </w:rPr>
        <w:t xml:space="preserve">The panel illustrates the temporal development of KPIs throughout the cultivation. Cell count and total colony area were used as proxies for cellular growth, with linear fits applied to both parameters to estimate growth rates. Single-cell area served as an indicator of cell size and morphological changes. Biosensor dynamics were assessed based on the </w:t>
      </w:r>
      <w:r>
        <w:rPr>
          <w:sz w:val="20"/>
          <w:szCs w:val="20"/>
        </w:rPr>
        <w:t xml:space="preserve">ratio the </w:t>
      </w:r>
      <w:r w:rsidRPr="00342EAF">
        <w:rPr>
          <w:sz w:val="20"/>
          <w:szCs w:val="20"/>
        </w:rPr>
        <w:t>fluorescence intensities of two distinct fluorophores</w:t>
      </w:r>
      <w:r>
        <w:rPr>
          <w:sz w:val="20"/>
          <w:szCs w:val="20"/>
        </w:rPr>
        <w:t>. CFP levels correlate reversely with fructose-1,6-bisphosphate levels and the signal are normalised to constitutively expressed RFP.</w:t>
      </w:r>
      <w:r w:rsidRPr="00342EAF">
        <w:rPr>
          <w:sz w:val="20"/>
          <w:szCs w:val="20"/>
        </w:rPr>
        <w:t xml:space="preserve"> The ratio of these fluorescence signals was used to track changes in the glycolytic flux over the course of cultivation, while biomass-specific fluorescence signals were derived by normalizing fluorescence intensities to the cell area. The displayed YFP signal and resulting YFP/RFP ratio</w:t>
      </w:r>
      <w:r>
        <w:rPr>
          <w:sz w:val="20"/>
          <w:szCs w:val="20"/>
        </w:rPr>
        <w:t xml:space="preserve"> indicate the level of oxidative stress but</w:t>
      </w:r>
      <w:r w:rsidRPr="00342EAF">
        <w:rPr>
          <w:sz w:val="20"/>
          <w:szCs w:val="20"/>
        </w:rPr>
        <w:t xml:space="preserve"> was not investigated in the presented study.</w:t>
      </w:r>
      <w:r w:rsidRPr="00342EAF">
        <w:rPr>
          <w:sz w:val="20"/>
          <w:szCs w:val="20"/>
          <w:lang w:val="en-US"/>
        </w:rPr>
        <w:t xml:space="preserve"> For all panels excluding the cell count/total area, data are presented as the median of all single-cell measurements ± interquartile range (25–75%) collected over the course of cultivation.</w:t>
      </w:r>
      <w:r w:rsidR="00370E25" w:rsidRPr="00342EAF">
        <w:rPr>
          <w:sz w:val="20"/>
          <w:szCs w:val="20"/>
          <w:lang w:val="en-US"/>
        </w:rPr>
        <w:br w:type="page"/>
      </w:r>
    </w:p>
    <w:p w14:paraId="5343C034" w14:textId="2FC57934" w:rsidR="008E1AC5" w:rsidRPr="005A143E" w:rsidRDefault="00370E25" w:rsidP="00FB0E38">
      <w:pPr>
        <w:pStyle w:val="berschrift2"/>
        <w:jc w:val="both"/>
        <w:rPr>
          <w:lang w:val="en-US"/>
        </w:rPr>
      </w:pPr>
      <w:r w:rsidRPr="005A143E">
        <w:rPr>
          <w:lang w:val="en-US"/>
        </w:rPr>
        <w:lastRenderedPageBreak/>
        <w:t xml:space="preserve">Figure </w:t>
      </w:r>
      <w:r w:rsidR="00F56096" w:rsidRPr="005A143E">
        <w:rPr>
          <w:lang w:val="en-US"/>
        </w:rPr>
        <w:t>S</w:t>
      </w:r>
      <w:r w:rsidR="00723ACC" w:rsidRPr="005A143E">
        <w:rPr>
          <w:lang w:val="en-US"/>
        </w:rPr>
        <w:t>9</w:t>
      </w:r>
    </w:p>
    <w:p w14:paraId="5947AA69" w14:textId="744B1E3D" w:rsidR="00370E25" w:rsidRPr="005A143E" w:rsidRDefault="005F3011" w:rsidP="00FB0E38">
      <w:pPr>
        <w:jc w:val="both"/>
        <w:rPr>
          <w:lang w:val="en-US"/>
        </w:rPr>
      </w:pPr>
      <w:r w:rsidRPr="005A143E">
        <w:rPr>
          <w:noProof/>
          <w:lang w:val="en-US"/>
        </w:rPr>
        <w:drawing>
          <wp:inline distT="0" distB="0" distL="0" distR="0" wp14:anchorId="7FC359DE" wp14:editId="04D55694">
            <wp:extent cx="5753100" cy="3819525"/>
            <wp:effectExtent l="0" t="0" r="0" b="9525"/>
            <wp:docPr id="1396216098" name="Grafik 7"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16098" name="Grafik 7" descr="Ein Bild, das Text, Diagramm, Reihe, Screenshot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r w:rsidRPr="005A143E">
        <w:rPr>
          <w:noProof/>
          <w:lang w:val="en-US"/>
        </w:rPr>
        <w:drawing>
          <wp:inline distT="0" distB="0" distL="0" distR="0" wp14:anchorId="7A5CCF47" wp14:editId="0A37416B">
            <wp:extent cx="5753100" cy="3819525"/>
            <wp:effectExtent l="0" t="0" r="0" b="9525"/>
            <wp:docPr id="142798913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14:paraId="61004A91" w14:textId="5CAC517F" w:rsidR="005F3011" w:rsidRPr="005A143E" w:rsidRDefault="005F3011" w:rsidP="00FB0E38">
      <w:pPr>
        <w:jc w:val="both"/>
        <w:rPr>
          <w:lang w:val="en-US"/>
        </w:rPr>
      </w:pPr>
      <w:r w:rsidRPr="005A143E">
        <w:rPr>
          <w:noProof/>
          <w:lang w:val="en-US"/>
        </w:rPr>
        <w:lastRenderedPageBreak/>
        <w:drawing>
          <wp:inline distT="0" distB="0" distL="0" distR="0" wp14:anchorId="43BB8592" wp14:editId="13FDC9E6">
            <wp:extent cx="5753100" cy="3819525"/>
            <wp:effectExtent l="0" t="0" r="0" b="9525"/>
            <wp:docPr id="86567511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14:paraId="1AFDC1BA" w14:textId="5F131110" w:rsidR="005F3011" w:rsidRPr="00342EAF" w:rsidRDefault="00C0727C" w:rsidP="00FB0E38">
      <w:pPr>
        <w:jc w:val="both"/>
        <w:rPr>
          <w:sz w:val="20"/>
          <w:szCs w:val="20"/>
        </w:rPr>
      </w:pPr>
      <w:r w:rsidRPr="00342EAF">
        <w:rPr>
          <w:sz w:val="20"/>
          <w:szCs w:val="20"/>
          <w:lang w:val="en-US"/>
        </w:rPr>
        <w:t>Fig. S9:</w:t>
      </w:r>
      <w:r w:rsidR="005A143E" w:rsidRPr="00342EAF">
        <w:rPr>
          <w:sz w:val="20"/>
          <w:szCs w:val="20"/>
          <w:lang w:val="en-US"/>
        </w:rPr>
        <w:t xml:space="preserve"> Attempted Monod-kinetic fit </w:t>
      </w:r>
      <w:r w:rsidR="00D259EB">
        <w:rPr>
          <w:sz w:val="20"/>
          <w:szCs w:val="20"/>
          <w:lang w:val="en-US"/>
        </w:rPr>
        <w:t xml:space="preserve">and linear fit </w:t>
      </w:r>
      <w:r w:rsidR="005A143E" w:rsidRPr="00342EAF">
        <w:rPr>
          <w:sz w:val="20"/>
          <w:szCs w:val="20"/>
          <w:lang w:val="en-US"/>
        </w:rPr>
        <w:t xml:space="preserve">to illustrate the growth curve behavior </w:t>
      </w:r>
      <w:r w:rsidR="005A143E" w:rsidRPr="00342EAF">
        <w:rPr>
          <w:sz w:val="20"/>
          <w:szCs w:val="20"/>
        </w:rPr>
        <w:t>for all three yeast strains</w:t>
      </w:r>
      <w:r w:rsidR="004B6F60" w:rsidRPr="00342EAF">
        <w:rPr>
          <w:sz w:val="20"/>
          <w:szCs w:val="20"/>
        </w:rPr>
        <w:t>.</w:t>
      </w:r>
    </w:p>
    <w:sectPr w:rsidR="005F3011" w:rsidRPr="00342EAF">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61121" w14:textId="77777777" w:rsidR="00E56C69" w:rsidRDefault="00E56C69" w:rsidP="00C9252D">
      <w:pPr>
        <w:spacing w:after="0" w:line="240" w:lineRule="auto"/>
      </w:pPr>
      <w:r>
        <w:separator/>
      </w:r>
    </w:p>
  </w:endnote>
  <w:endnote w:type="continuationSeparator" w:id="0">
    <w:p w14:paraId="4367C5A3" w14:textId="77777777" w:rsidR="00E56C69" w:rsidRDefault="00E56C69" w:rsidP="00C92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rif">
    <w:charset w:val="00"/>
    <w:family w:val="roman"/>
    <w:pitch w:val="variable"/>
    <w:sig w:usb0="A11526FF" w:usb1="C000EC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172248"/>
      <w:docPartObj>
        <w:docPartGallery w:val="Page Numbers (Bottom of Page)"/>
        <w:docPartUnique/>
      </w:docPartObj>
    </w:sdtPr>
    <w:sdtContent>
      <w:p w14:paraId="5F1F11CD" w14:textId="2F8890BE" w:rsidR="00C9252D" w:rsidRDefault="00C9252D">
        <w:pPr>
          <w:pStyle w:val="Fuzeile"/>
          <w:jc w:val="center"/>
        </w:pPr>
        <w:r>
          <w:fldChar w:fldCharType="begin"/>
        </w:r>
        <w:r>
          <w:instrText>PAGE   \* MERGEFORMAT</w:instrText>
        </w:r>
        <w:r>
          <w:fldChar w:fldCharType="separate"/>
        </w:r>
        <w:r>
          <w:rPr>
            <w:lang w:val="de-DE"/>
          </w:rPr>
          <w:t>2</w:t>
        </w:r>
        <w:r>
          <w:fldChar w:fldCharType="end"/>
        </w:r>
      </w:p>
    </w:sdtContent>
  </w:sdt>
  <w:p w14:paraId="338E7A26" w14:textId="77777777" w:rsidR="00C9252D" w:rsidRDefault="00C925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CAC65" w14:textId="77777777" w:rsidR="00E56C69" w:rsidRDefault="00E56C69" w:rsidP="00C9252D">
      <w:pPr>
        <w:spacing w:after="0" w:line="240" w:lineRule="auto"/>
      </w:pPr>
      <w:r>
        <w:separator/>
      </w:r>
    </w:p>
  </w:footnote>
  <w:footnote w:type="continuationSeparator" w:id="0">
    <w:p w14:paraId="3D9DCE2F" w14:textId="77777777" w:rsidR="00E56C69" w:rsidRDefault="00E56C69" w:rsidP="00C92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9B3"/>
    <w:multiLevelType w:val="hybridMultilevel"/>
    <w:tmpl w:val="6ADE2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16EEA"/>
    <w:multiLevelType w:val="hybridMultilevel"/>
    <w:tmpl w:val="36BE664C"/>
    <w:lvl w:ilvl="0" w:tplc="7D92D64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A522643"/>
    <w:multiLevelType w:val="hybridMultilevel"/>
    <w:tmpl w:val="8F6CA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9089329">
    <w:abstractNumId w:val="1"/>
  </w:num>
  <w:num w:numId="2" w16cid:durableId="515728597">
    <w:abstractNumId w:val="0"/>
  </w:num>
  <w:num w:numId="3" w16cid:durableId="156531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27"/>
    <w:rsid w:val="000322F1"/>
    <w:rsid w:val="000844A3"/>
    <w:rsid w:val="000A27F9"/>
    <w:rsid w:val="000E5F30"/>
    <w:rsid w:val="00120F08"/>
    <w:rsid w:val="00136EBD"/>
    <w:rsid w:val="001B101A"/>
    <w:rsid w:val="001B2838"/>
    <w:rsid w:val="001E14BE"/>
    <w:rsid w:val="001F50EE"/>
    <w:rsid w:val="0023198E"/>
    <w:rsid w:val="00325989"/>
    <w:rsid w:val="00332778"/>
    <w:rsid w:val="00336F9E"/>
    <w:rsid w:val="00342EAF"/>
    <w:rsid w:val="003433AB"/>
    <w:rsid w:val="00370E25"/>
    <w:rsid w:val="00405431"/>
    <w:rsid w:val="004558B4"/>
    <w:rsid w:val="004755DB"/>
    <w:rsid w:val="004B6F60"/>
    <w:rsid w:val="004C2316"/>
    <w:rsid w:val="0056585E"/>
    <w:rsid w:val="005A143E"/>
    <w:rsid w:val="005F3011"/>
    <w:rsid w:val="00643ABD"/>
    <w:rsid w:val="00655627"/>
    <w:rsid w:val="006557B2"/>
    <w:rsid w:val="00676AD0"/>
    <w:rsid w:val="00676E2C"/>
    <w:rsid w:val="006B49B4"/>
    <w:rsid w:val="006B4FFD"/>
    <w:rsid w:val="006C37A7"/>
    <w:rsid w:val="00715ECC"/>
    <w:rsid w:val="00723AA8"/>
    <w:rsid w:val="00723ACC"/>
    <w:rsid w:val="00734E88"/>
    <w:rsid w:val="0080493A"/>
    <w:rsid w:val="0084608D"/>
    <w:rsid w:val="00894749"/>
    <w:rsid w:val="008D043D"/>
    <w:rsid w:val="008E1AC5"/>
    <w:rsid w:val="00914FA9"/>
    <w:rsid w:val="00921B43"/>
    <w:rsid w:val="00A745CA"/>
    <w:rsid w:val="00AE1E3E"/>
    <w:rsid w:val="00C0727C"/>
    <w:rsid w:val="00C12A54"/>
    <w:rsid w:val="00C14CAF"/>
    <w:rsid w:val="00C7048B"/>
    <w:rsid w:val="00C9252D"/>
    <w:rsid w:val="00CC67DC"/>
    <w:rsid w:val="00CF6944"/>
    <w:rsid w:val="00D259EB"/>
    <w:rsid w:val="00D86A72"/>
    <w:rsid w:val="00DE7227"/>
    <w:rsid w:val="00DF5A6D"/>
    <w:rsid w:val="00E34F2E"/>
    <w:rsid w:val="00E56C69"/>
    <w:rsid w:val="00E708DB"/>
    <w:rsid w:val="00E91759"/>
    <w:rsid w:val="00E9357D"/>
    <w:rsid w:val="00EA4816"/>
    <w:rsid w:val="00EF4EBD"/>
    <w:rsid w:val="00F03A94"/>
    <w:rsid w:val="00F56096"/>
    <w:rsid w:val="00FB0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44DAA"/>
  <w15:chartTrackingRefBased/>
  <w15:docId w15:val="{8A9D9D50-27B9-4AA2-9581-88962895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5562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unhideWhenUsed/>
    <w:qFormat/>
    <w:rsid w:val="0065562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655627"/>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655627"/>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655627"/>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65562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5562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5562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5562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55627"/>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rsid w:val="00655627"/>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655627"/>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655627"/>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655627"/>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65562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5562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5562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55627"/>
    <w:rPr>
      <w:rFonts w:eastAsiaTheme="majorEastAsia" w:cstheme="majorBidi"/>
      <w:color w:val="272727" w:themeColor="text1" w:themeTint="D8"/>
    </w:rPr>
  </w:style>
  <w:style w:type="paragraph" w:styleId="Titel">
    <w:name w:val="Title"/>
    <w:basedOn w:val="Standard"/>
    <w:next w:val="Standard"/>
    <w:link w:val="TitelZchn"/>
    <w:uiPriority w:val="10"/>
    <w:qFormat/>
    <w:rsid w:val="006556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5562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5562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5562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5562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55627"/>
    <w:rPr>
      <w:i/>
      <w:iCs/>
      <w:color w:val="404040" w:themeColor="text1" w:themeTint="BF"/>
    </w:rPr>
  </w:style>
  <w:style w:type="paragraph" w:styleId="Listenabsatz">
    <w:name w:val="List Paragraph"/>
    <w:basedOn w:val="Standard"/>
    <w:uiPriority w:val="34"/>
    <w:qFormat/>
    <w:rsid w:val="00655627"/>
    <w:pPr>
      <w:ind w:left="720"/>
      <w:contextualSpacing/>
    </w:pPr>
  </w:style>
  <w:style w:type="character" w:styleId="IntensiveHervorhebung">
    <w:name w:val="Intense Emphasis"/>
    <w:basedOn w:val="Absatz-Standardschriftart"/>
    <w:uiPriority w:val="21"/>
    <w:qFormat/>
    <w:rsid w:val="00655627"/>
    <w:rPr>
      <w:i/>
      <w:iCs/>
      <w:color w:val="2E74B5" w:themeColor="accent1" w:themeShade="BF"/>
    </w:rPr>
  </w:style>
  <w:style w:type="paragraph" w:styleId="IntensivesZitat">
    <w:name w:val="Intense Quote"/>
    <w:basedOn w:val="Standard"/>
    <w:next w:val="Standard"/>
    <w:link w:val="IntensivesZitatZchn"/>
    <w:uiPriority w:val="30"/>
    <w:qFormat/>
    <w:rsid w:val="0065562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655627"/>
    <w:rPr>
      <w:i/>
      <w:iCs/>
      <w:color w:val="2E74B5" w:themeColor="accent1" w:themeShade="BF"/>
    </w:rPr>
  </w:style>
  <w:style w:type="character" w:styleId="IntensiverVerweis">
    <w:name w:val="Intense Reference"/>
    <w:basedOn w:val="Absatz-Standardschriftart"/>
    <w:uiPriority w:val="32"/>
    <w:qFormat/>
    <w:rsid w:val="00655627"/>
    <w:rPr>
      <w:b/>
      <w:bCs/>
      <w:smallCaps/>
      <w:color w:val="2E74B5" w:themeColor="accent1" w:themeShade="BF"/>
      <w:spacing w:val="5"/>
    </w:rPr>
  </w:style>
  <w:style w:type="character" w:styleId="Kommentarzeichen">
    <w:name w:val="annotation reference"/>
    <w:basedOn w:val="Absatz-Standardschriftart"/>
    <w:uiPriority w:val="99"/>
    <w:semiHidden/>
    <w:unhideWhenUsed/>
    <w:rsid w:val="004C2316"/>
    <w:rPr>
      <w:sz w:val="16"/>
      <w:szCs w:val="16"/>
    </w:rPr>
  </w:style>
  <w:style w:type="paragraph" w:styleId="Kommentartext">
    <w:name w:val="annotation text"/>
    <w:basedOn w:val="Standard"/>
    <w:link w:val="KommentartextZchn"/>
    <w:uiPriority w:val="99"/>
    <w:unhideWhenUsed/>
    <w:rsid w:val="004C2316"/>
    <w:pPr>
      <w:spacing w:line="240" w:lineRule="auto"/>
    </w:pPr>
    <w:rPr>
      <w:kern w:val="0"/>
      <w:sz w:val="20"/>
      <w:szCs w:val="20"/>
      <w:lang w:val="en-US"/>
    </w:rPr>
  </w:style>
  <w:style w:type="character" w:customStyle="1" w:styleId="KommentartextZchn">
    <w:name w:val="Kommentartext Zchn"/>
    <w:basedOn w:val="Absatz-Standardschriftart"/>
    <w:link w:val="Kommentartext"/>
    <w:uiPriority w:val="99"/>
    <w:rsid w:val="004C2316"/>
    <w:rPr>
      <w:kern w:val="0"/>
      <w:sz w:val="20"/>
      <w:szCs w:val="20"/>
      <w:lang w:val="en-US"/>
    </w:rPr>
  </w:style>
  <w:style w:type="table" w:styleId="Tabellenraster">
    <w:name w:val="Table Grid"/>
    <w:basedOn w:val="NormaleTabelle"/>
    <w:uiPriority w:val="39"/>
    <w:rsid w:val="00F03A94"/>
    <w:pPr>
      <w:spacing w:after="0" w:line="240" w:lineRule="auto"/>
    </w:pPr>
    <w:rPr>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uiPriority w:val="37"/>
    <w:unhideWhenUsed/>
    <w:rsid w:val="00F03A94"/>
    <w:pPr>
      <w:spacing w:after="240" w:line="240" w:lineRule="auto"/>
    </w:pPr>
  </w:style>
  <w:style w:type="table" w:styleId="Listentabelle2Akzent3">
    <w:name w:val="List Table 2 Accent 3"/>
    <w:basedOn w:val="NormaleTabelle"/>
    <w:uiPriority w:val="47"/>
    <w:rsid w:val="00F03A9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mmentarthema">
    <w:name w:val="annotation subject"/>
    <w:basedOn w:val="Kommentartext"/>
    <w:next w:val="Kommentartext"/>
    <w:link w:val="KommentarthemaZchn"/>
    <w:uiPriority w:val="99"/>
    <w:semiHidden/>
    <w:unhideWhenUsed/>
    <w:rsid w:val="00405431"/>
    <w:rPr>
      <w:b/>
      <w:bCs/>
      <w:kern w:val="2"/>
      <w:lang w:val="en-GB"/>
    </w:rPr>
  </w:style>
  <w:style w:type="character" w:customStyle="1" w:styleId="KommentarthemaZchn">
    <w:name w:val="Kommentarthema Zchn"/>
    <w:basedOn w:val="KommentartextZchn"/>
    <w:link w:val="Kommentarthema"/>
    <w:uiPriority w:val="99"/>
    <w:semiHidden/>
    <w:rsid w:val="00405431"/>
    <w:rPr>
      <w:b/>
      <w:bCs/>
      <w:kern w:val="0"/>
      <w:sz w:val="20"/>
      <w:szCs w:val="20"/>
      <w:lang w:val="en-US"/>
    </w:rPr>
  </w:style>
  <w:style w:type="paragraph" w:styleId="berarbeitung">
    <w:name w:val="Revision"/>
    <w:hidden/>
    <w:uiPriority w:val="99"/>
    <w:semiHidden/>
    <w:rsid w:val="001B2838"/>
    <w:pPr>
      <w:spacing w:after="0" w:line="240" w:lineRule="auto"/>
    </w:pPr>
  </w:style>
  <w:style w:type="paragraph" w:styleId="Kopfzeile">
    <w:name w:val="header"/>
    <w:basedOn w:val="Standard"/>
    <w:link w:val="KopfzeileZchn"/>
    <w:uiPriority w:val="99"/>
    <w:unhideWhenUsed/>
    <w:rsid w:val="00C925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252D"/>
  </w:style>
  <w:style w:type="paragraph" w:styleId="Fuzeile">
    <w:name w:val="footer"/>
    <w:basedOn w:val="Standard"/>
    <w:link w:val="FuzeileZchn"/>
    <w:uiPriority w:val="99"/>
    <w:unhideWhenUsed/>
    <w:rsid w:val="00C9252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2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7A24F-B456-406C-91E4-4CD8FEAAE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6941</Words>
  <Characters>39568</Characters>
  <Application>Microsoft Office Word</Application>
  <DocSecurity>0</DocSecurity>
  <Lines>329</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Blöbaum</dc:creator>
  <cp:keywords/>
  <dc:description/>
  <cp:lastModifiedBy>Julian Schmitz</cp:lastModifiedBy>
  <cp:revision>14</cp:revision>
  <cp:lastPrinted>2026-01-21T13:14:00Z</cp:lastPrinted>
  <dcterms:created xsi:type="dcterms:W3CDTF">2026-01-23T08:22:00Z</dcterms:created>
  <dcterms:modified xsi:type="dcterms:W3CDTF">2026-01-23T13:35:00Z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id="OrLc8M1K"/&gt;&lt;style id="http://www.zotero.org/styles/microbial-cell-factories"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