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01701F" w14:textId="77777777" w:rsidR="006E50CD" w:rsidRPr="00D25458" w:rsidRDefault="006E50CD" w:rsidP="006E50CD">
      <w:pPr>
        <w:rPr>
          <w:b/>
          <w:bCs/>
        </w:rPr>
      </w:pPr>
      <w:r w:rsidRPr="00D25458">
        <w:rPr>
          <w:rFonts w:hint="eastAsia"/>
          <w:b/>
          <w:bCs/>
        </w:rPr>
        <w:t>Supporting information</w:t>
      </w:r>
    </w:p>
    <w:p w14:paraId="56374760" w14:textId="77777777" w:rsidR="006E50CD" w:rsidRDefault="006E50CD" w:rsidP="006E50CD"/>
    <w:p w14:paraId="21BA2038" w14:textId="77777777" w:rsidR="006E50CD" w:rsidRPr="00CF1B02" w:rsidRDefault="006E50CD" w:rsidP="006E50CD">
      <w:pPr>
        <w:rPr>
          <w:rFonts w:ascii="Times New Roman" w:hAnsi="Times New Roman" w:cs="Times New Roman"/>
          <w:sz w:val="22"/>
        </w:rPr>
      </w:pPr>
      <w:r w:rsidRPr="00CF1B02">
        <w:rPr>
          <w:rFonts w:ascii="Times New Roman" w:hAnsi="Times New Roman" w:cs="Times New Roman"/>
          <w:sz w:val="22"/>
        </w:rPr>
        <w:t xml:space="preserve">The structural stability of </w:t>
      </w:r>
      <w:r w:rsidRPr="00CF1B02">
        <w:rPr>
          <w:rFonts w:ascii="Times New Roman" w:hAnsi="Times New Roman" w:cs="Times New Roman"/>
          <w:i/>
          <w:iCs/>
          <w:sz w:val="22"/>
        </w:rPr>
        <w:t>A</w:t>
      </w:r>
      <w:r w:rsidRPr="00CF1B02">
        <w:rPr>
          <w:rFonts w:ascii="Times New Roman" w:hAnsi="Times New Roman" w:cs="Times New Roman"/>
          <w:sz w:val="22"/>
        </w:rPr>
        <w:t>RuO</w:t>
      </w:r>
      <w:r w:rsidRPr="00CF1B02">
        <w:rPr>
          <w:rFonts w:ascii="Times New Roman" w:hAnsi="Times New Roman" w:cs="Times New Roman"/>
          <w:sz w:val="22"/>
          <w:vertAlign w:val="subscript"/>
        </w:rPr>
        <w:t>3</w:t>
      </w:r>
      <w:r w:rsidRPr="00CF1B02">
        <w:rPr>
          <w:rFonts w:ascii="Times New Roman" w:hAnsi="Times New Roman" w:cs="Times New Roman"/>
          <w:sz w:val="22"/>
        </w:rPr>
        <w:t xml:space="preserve"> perovskites is quantified by the Goldschmidt Tolerance Factor (</w:t>
      </w:r>
      <w:r w:rsidRPr="00CF1B02">
        <w:rPr>
          <w:rFonts w:ascii="Times New Roman" w:hAnsi="Times New Roman" w:cs="Times New Roman"/>
          <w:i/>
          <w:iCs/>
          <w:sz w:val="22"/>
        </w:rPr>
        <w:t>t</w:t>
      </w:r>
      <w:r w:rsidRPr="00CF1B02">
        <w:rPr>
          <w:rFonts w:ascii="Times New Roman" w:hAnsi="Times New Roman" w:cs="Times New Roman"/>
          <w:sz w:val="22"/>
        </w:rPr>
        <w:t>):</w:t>
      </w:r>
    </w:p>
    <w:p w14:paraId="7C72BEDC" w14:textId="77777777" w:rsidR="006E50CD" w:rsidRPr="00CF1B02" w:rsidRDefault="006E50CD" w:rsidP="006E50CD">
      <w:pPr>
        <w:rPr>
          <w:rFonts w:ascii="Times New Roman" w:hAnsi="Times New Roman" w:cs="Times New Roman"/>
          <w:sz w:val="22"/>
        </w:rPr>
      </w:pPr>
      <m:oMathPara>
        <m:oMath>
          <m:r>
            <w:rPr>
              <w:rFonts w:ascii="Cambria Math" w:hAnsi="Cambria Math" w:cs="Times New Roman"/>
              <w:sz w:val="22"/>
            </w:rPr>
            <m:t xml:space="preserve">t= </m:t>
          </m:r>
          <m:f>
            <m:fPr>
              <m:ctrlPr>
                <w:rPr>
                  <w:rFonts w:ascii="Cambria Math" w:hAnsi="Cambria Math" w:cs="Times New Roman"/>
                  <w:i/>
                  <w:sz w:val="22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A</m:t>
                  </m:r>
                </m:sub>
              </m:sSub>
              <m:r>
                <w:rPr>
                  <w:rFonts w:ascii="Cambria Math" w:hAnsi="Cambria Math" w:cs="Times New Roman"/>
                  <w:sz w:val="22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sz w:val="22"/>
                    </w:rPr>
                    <m:t>r</m:t>
                  </m:r>
                </m:e>
                <m:sub>
                  <m:r>
                    <w:rPr>
                      <w:rFonts w:ascii="Cambria Math" w:hAnsi="Cambria Math" w:cs="Times New Roman"/>
                      <w:sz w:val="22"/>
                    </w:rPr>
                    <m:t>O</m:t>
                  </m:r>
                </m:sub>
              </m:sSub>
            </m:num>
            <m:den>
              <m:rad>
                <m:radPr>
                  <m:degHide m:val="1"/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radPr>
                <m:deg/>
                <m:e>
                  <m:r>
                    <w:rPr>
                      <w:rFonts w:ascii="Cambria Math" w:hAnsi="Cambria Math" w:cs="Times New Roman"/>
                      <w:sz w:val="22"/>
                    </w:rPr>
                    <m:t>2</m:t>
                  </m:r>
                </m:e>
              </m:rad>
              <m:d>
                <m:dPr>
                  <m:ctrlPr>
                    <w:rPr>
                      <w:rFonts w:ascii="Cambria Math" w:hAnsi="Cambria Math" w:cs="Times New Roman"/>
                      <w:i/>
                      <w:sz w:val="22"/>
                    </w:rPr>
                  </m:ctrlPr>
                </m:d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Ru</m:t>
                      </m:r>
                    </m:sub>
                  </m:sSub>
                  <m:r>
                    <w:rPr>
                      <w:rFonts w:ascii="Cambria Math" w:hAnsi="Cambria Math" w:cs="Times New Roman"/>
                      <w:sz w:val="22"/>
                    </w:rPr>
                    <m:t>+</m:t>
                  </m:r>
                  <m:sSub>
                    <m:sSubPr>
                      <m:ctrlPr>
                        <w:rPr>
                          <w:rFonts w:ascii="Cambria Math" w:hAnsi="Cambria Math" w:cs="Times New Roman"/>
                          <w:i/>
                          <w:sz w:val="22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2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2"/>
                        </w:rPr>
                        <m:t>O</m:t>
                      </m:r>
                    </m:sub>
                  </m:sSub>
                </m:e>
              </m:d>
            </m:den>
          </m:f>
          <m:r>
            <w:rPr>
              <w:rFonts w:ascii="Cambria Math" w:hAnsi="Cambria Math" w:cs="Times New Roman"/>
              <w:sz w:val="22"/>
            </w:rPr>
            <m:t xml:space="preserve"> </m:t>
          </m:r>
        </m:oMath>
      </m:oMathPara>
    </w:p>
    <w:p w14:paraId="5910F8CE" w14:textId="77777777" w:rsidR="006E50CD" w:rsidRPr="00CF1B02" w:rsidRDefault="006E50CD" w:rsidP="006E50CD">
      <w:pPr>
        <w:rPr>
          <w:rFonts w:ascii="Times New Roman" w:hAnsi="Times New Roman" w:cs="Times New Roman"/>
          <w:sz w:val="22"/>
        </w:rPr>
      </w:pPr>
      <w:r w:rsidRPr="00CF1B02">
        <w:rPr>
          <w:rFonts w:ascii="Times New Roman" w:hAnsi="Times New Roman" w:cs="Times New Roman"/>
          <w:sz w:val="22"/>
        </w:rPr>
        <w:t>While Sr</w:t>
      </w:r>
      <w:r w:rsidRPr="00CF1B02">
        <w:rPr>
          <w:rFonts w:ascii="Times New Roman" w:hAnsi="Times New Roman" w:cs="Times New Roman"/>
          <w:sz w:val="22"/>
          <w:vertAlign w:val="superscript"/>
        </w:rPr>
        <w:t>2+</w:t>
      </w:r>
      <w:r w:rsidRPr="00CF1B02">
        <w:rPr>
          <w:rFonts w:ascii="Times New Roman" w:hAnsi="Times New Roman" w:cs="Times New Roman"/>
          <w:sz w:val="22"/>
        </w:rPr>
        <w:t xml:space="preserve"> (</w:t>
      </w:r>
      <w:r w:rsidRPr="00CF1B02">
        <w:rPr>
          <w:rFonts w:ascii="Times New Roman" w:hAnsi="Times New Roman" w:cs="Times New Roman"/>
          <w:i/>
          <w:iCs/>
          <w:sz w:val="22"/>
        </w:rPr>
        <w:t>r</w:t>
      </w:r>
      <w:r w:rsidRPr="00CF1B02">
        <w:rPr>
          <w:rFonts w:ascii="Times New Roman" w:hAnsi="Times New Roman" w:cs="Times New Roman"/>
          <w:sz w:val="22"/>
          <w:vertAlign w:val="subscript"/>
        </w:rPr>
        <w:t>A</w:t>
      </w:r>
      <w:r w:rsidRPr="00CF1B02">
        <w:rPr>
          <w:rFonts w:ascii="Times New Roman" w:hAnsi="Times New Roman" w:cs="Times New Roman"/>
          <w:sz w:val="22"/>
        </w:rPr>
        <w:t xml:space="preserve"> = 1.44 Å) results in </w:t>
      </w:r>
      <w:r w:rsidRPr="00CF1B02">
        <w:rPr>
          <w:rFonts w:ascii="Times New Roman" w:hAnsi="Times New Roman" w:cs="Times New Roman"/>
          <w:i/>
          <w:iCs/>
          <w:sz w:val="22"/>
        </w:rPr>
        <w:t>t</w:t>
      </w:r>
      <w:r w:rsidRPr="00CF1B02">
        <w:rPr>
          <w:rFonts w:ascii="Times New Roman" w:hAnsi="Times New Roman" w:cs="Times New Roman"/>
          <w:sz w:val="22"/>
        </w:rPr>
        <w:t xml:space="preserve"> ~ 0.96 (closer to an ideal cubic structure), the smaller Ca</w:t>
      </w:r>
      <w:r w:rsidRPr="00CF1B02">
        <w:rPr>
          <w:rFonts w:ascii="Times New Roman" w:hAnsi="Times New Roman" w:cs="Times New Roman"/>
          <w:sz w:val="22"/>
          <w:vertAlign w:val="superscript"/>
        </w:rPr>
        <w:t>2+</w:t>
      </w:r>
      <w:r w:rsidRPr="00CF1B02">
        <w:rPr>
          <w:rFonts w:ascii="Times New Roman" w:hAnsi="Times New Roman" w:cs="Times New Roman"/>
          <w:sz w:val="22"/>
        </w:rPr>
        <w:t xml:space="preserve"> radius (</w:t>
      </w:r>
      <w:r w:rsidRPr="00CF1B02">
        <w:rPr>
          <w:rFonts w:ascii="Times New Roman" w:hAnsi="Times New Roman" w:cs="Times New Roman"/>
          <w:i/>
          <w:iCs/>
          <w:sz w:val="22"/>
        </w:rPr>
        <w:t>r</w:t>
      </w:r>
      <w:r w:rsidRPr="00CF1B02">
        <w:rPr>
          <w:rFonts w:ascii="Times New Roman" w:hAnsi="Times New Roman" w:cs="Times New Roman"/>
          <w:sz w:val="22"/>
          <w:vertAlign w:val="subscript"/>
        </w:rPr>
        <w:t>A</w:t>
      </w:r>
      <w:r w:rsidRPr="00CF1B02">
        <w:rPr>
          <w:rFonts w:ascii="Times New Roman" w:hAnsi="Times New Roman" w:cs="Times New Roman"/>
          <w:sz w:val="22"/>
        </w:rPr>
        <w:t xml:space="preserve"> = 1.34 Å) leads to </w:t>
      </w:r>
      <w:r w:rsidRPr="00CF1B02">
        <w:rPr>
          <w:rFonts w:ascii="Times New Roman" w:hAnsi="Times New Roman" w:cs="Times New Roman"/>
          <w:i/>
          <w:iCs/>
          <w:sz w:val="22"/>
        </w:rPr>
        <w:t>t</w:t>
      </w:r>
      <w:r w:rsidRPr="00CF1B02">
        <w:rPr>
          <w:rFonts w:ascii="Times New Roman" w:hAnsi="Times New Roman" w:cs="Times New Roman"/>
          <w:sz w:val="22"/>
        </w:rPr>
        <w:t xml:space="preserve"> ~ 0.92, necessitating significant structural distortions to stabilize the lattice [3].</w:t>
      </w:r>
    </w:p>
    <w:p w14:paraId="7B25CC7A" w14:textId="77777777" w:rsidR="006E50CD" w:rsidRDefault="006E50CD" w:rsidP="006E50CD"/>
    <w:p w14:paraId="742255C2" w14:textId="77777777" w:rsidR="006E50CD" w:rsidRPr="000B44CA" w:rsidRDefault="006E50CD" w:rsidP="006E50CD">
      <w:pPr>
        <w:spacing w:line="480" w:lineRule="auto"/>
        <w:ind w:firstLineChars="100" w:firstLine="240"/>
        <w:rPr>
          <w:rFonts w:ascii="Times New Roman" w:hAnsi="Times New Roman"/>
          <w:sz w:val="24"/>
          <w:szCs w:val="24"/>
        </w:rPr>
      </w:pPr>
      <w:r w:rsidRPr="00857795">
        <w:rPr>
          <w:rFonts w:ascii="Times New Roman" w:hAnsi="Times New Roman"/>
          <w:sz w:val="24"/>
          <w:szCs w:val="24"/>
          <w:highlight w:val="cyan"/>
        </w:rPr>
        <w:t xml:space="preserve">Therefore, the octahedral configuration of the tensile-strained CRO thin film was confirmed to be </w:t>
      </w:r>
      <w:r w:rsidRPr="00857795">
        <w:rPr>
          <w:rFonts w:ascii="Times New Roman" w:hAnsi="Times New Roman"/>
          <w:i/>
          <w:iCs/>
          <w:sz w:val="24"/>
          <w:szCs w:val="24"/>
          <w:highlight w:val="cyan"/>
        </w:rPr>
        <w:t>a</w:t>
      </w:r>
      <w:r w:rsidRPr="00857795">
        <w:rPr>
          <w:rFonts w:ascii="Times New Roman" w:hAnsi="Times New Roman"/>
          <w:sz w:val="24"/>
          <w:szCs w:val="24"/>
          <w:highlight w:val="cyan"/>
          <w:vertAlign w:val="superscript"/>
        </w:rPr>
        <w:t>0</w:t>
      </w:r>
      <w:r w:rsidRPr="00857795">
        <w:rPr>
          <w:rFonts w:ascii="Times New Roman" w:hAnsi="Times New Roman"/>
          <w:i/>
          <w:iCs/>
          <w:sz w:val="24"/>
          <w:szCs w:val="24"/>
          <w:highlight w:val="cyan"/>
        </w:rPr>
        <w:t>a</w:t>
      </w:r>
      <w:r w:rsidRPr="00857795">
        <w:rPr>
          <w:rFonts w:ascii="Times New Roman" w:hAnsi="Times New Roman"/>
          <w:sz w:val="24"/>
          <w:szCs w:val="24"/>
          <w:highlight w:val="cyan"/>
          <w:vertAlign w:val="superscript"/>
        </w:rPr>
        <w:t>0</w:t>
      </w:r>
      <w:r w:rsidRPr="00857795">
        <w:rPr>
          <w:rFonts w:ascii="Times New Roman" w:hAnsi="Times New Roman"/>
          <w:i/>
          <w:iCs/>
          <w:sz w:val="24"/>
          <w:szCs w:val="24"/>
          <w:highlight w:val="cyan"/>
        </w:rPr>
        <w:t>c</w:t>
      </w:r>
      <w:r w:rsidRPr="00857795">
        <w:rPr>
          <w:rFonts w:ascii="Times New Roman" w:hAnsi="Times New Roman"/>
          <w:sz w:val="24"/>
          <w:szCs w:val="24"/>
          <w:highlight w:val="cyan"/>
          <w:vertAlign w:val="superscript"/>
        </w:rPr>
        <w:t>+</w:t>
      </w:r>
      <w:r w:rsidRPr="00857795">
        <w:rPr>
          <w:rFonts w:ascii="Times New Roman" w:hAnsi="Times New Roman"/>
          <w:sz w:val="24"/>
          <w:szCs w:val="24"/>
          <w:highlight w:val="cyan"/>
        </w:rPr>
        <w:t xml:space="preserve"> and octahedral anisotropic distortion, in-plane elongation of bond lengths contraction along </w:t>
      </w:r>
      <w:r w:rsidRPr="00857795">
        <w:rPr>
          <w:rFonts w:ascii="Times New Roman" w:hAnsi="Times New Roman"/>
          <w:i/>
          <w:iCs/>
          <w:sz w:val="24"/>
          <w:szCs w:val="24"/>
          <w:highlight w:val="cyan"/>
        </w:rPr>
        <w:t>c</w:t>
      </w:r>
      <w:r w:rsidRPr="00857795">
        <w:rPr>
          <w:rFonts w:ascii="Times New Roman" w:hAnsi="Times New Roman"/>
          <w:sz w:val="24"/>
          <w:szCs w:val="24"/>
          <w:highlight w:val="cyan"/>
          <w:vertAlign w:val="subscript"/>
        </w:rPr>
        <w:t>PC</w:t>
      </w:r>
      <w:r w:rsidRPr="00857795">
        <w:rPr>
          <w:rFonts w:ascii="Times New Roman" w:hAnsi="Times New Roman"/>
          <w:sz w:val="24"/>
          <w:szCs w:val="24"/>
          <w:highlight w:val="cyan"/>
        </w:rPr>
        <w:t>-axis.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6440F3FA" w14:textId="77777777" w:rsidR="006E50CD" w:rsidRPr="00D86DC5" w:rsidRDefault="006E50CD" w:rsidP="006E50CD">
      <w:pPr>
        <w:widowControl/>
        <w:wordWrap/>
        <w:autoSpaceDE/>
        <w:autoSpaceDN/>
        <w:spacing w:before="100" w:beforeAutospacing="1" w:after="100" w:afterAutospacing="1" w:line="480" w:lineRule="auto"/>
        <w:jc w:val="left"/>
        <w:rPr>
          <w:rFonts w:ascii="Times New Roman" w:eastAsia="Gulim" w:hAnsi="Times New Roman" w:cs="Times New Roman"/>
          <w:kern w:val="0"/>
          <w:sz w:val="22"/>
        </w:rPr>
      </w:pPr>
      <w:r w:rsidRPr="00D86DC5">
        <w:rPr>
          <w:rFonts w:ascii="Times New Roman" w:eastAsia="Gulim" w:hAnsi="Times New Roman" w:cs="Times New Roman"/>
          <w:kern w:val="0"/>
          <w:sz w:val="22"/>
        </w:rPr>
        <w:t xml:space="preserve">Simultaneously, the out-of-plane connectivity is completely linearized to </w:t>
      </w:r>
      <w:r w:rsidRPr="00D86DC5">
        <w:rPr>
          <w:rFonts w:ascii="Times New Roman" w:eastAsia="Gulim" w:hAnsi="Times New Roman" w:cs="Times New Roman"/>
          <w:b/>
          <w:bCs/>
          <w:kern w:val="0"/>
          <w:sz w:val="22"/>
        </w:rPr>
        <w:t>180°</w:t>
      </w:r>
      <w:r w:rsidRPr="00D86DC5">
        <w:rPr>
          <w:rFonts w:ascii="Times New Roman" w:eastAsia="Gulim" w:hAnsi="Times New Roman" w:cs="Times New Roman"/>
          <w:kern w:val="0"/>
          <w:sz w:val="22"/>
        </w:rPr>
        <w:t>. This linearization</w:t>
      </w:r>
      <w:r w:rsidRPr="00D86DC5">
        <w:rPr>
          <w:rFonts w:ascii="Times New Roman" w:eastAsia="Gulim" w:hAnsi="Times New Roman" w:cs="Times New Roman" w:hint="eastAsia"/>
          <w:kern w:val="0"/>
          <w:sz w:val="22"/>
        </w:rPr>
        <w:t xml:space="preserve"> </w:t>
      </w:r>
      <w:r w:rsidRPr="00D86DC5">
        <w:rPr>
          <w:rFonts w:ascii="Times New Roman" w:eastAsia="Gulim" w:hAnsi="Times New Roman" w:cs="Times New Roman"/>
          <w:kern w:val="0"/>
          <w:sz w:val="22"/>
        </w:rPr>
        <w:t xml:space="preserve">of the apical bonds leads to a compressed bond length of </w:t>
      </w:r>
      <w:r w:rsidRPr="00D86DC5">
        <w:rPr>
          <w:rFonts w:ascii="Times New Roman" w:eastAsia="Gulim" w:hAnsi="Times New Roman" w:cs="Times New Roman"/>
          <w:b/>
          <w:bCs/>
          <w:kern w:val="0"/>
          <w:sz w:val="22"/>
        </w:rPr>
        <w:t>1.918 Å</w:t>
      </w:r>
      <w:r w:rsidRPr="00D86DC5">
        <w:rPr>
          <w:rFonts w:ascii="Times New Roman" w:eastAsia="Gulim" w:hAnsi="Times New Roman" w:cs="Times New Roman"/>
          <w:kern w:val="0"/>
          <w:sz w:val="22"/>
        </w:rPr>
        <w:t xml:space="preserve">, driven by the </w:t>
      </w:r>
      <w:r w:rsidRPr="00D86DC5">
        <w:rPr>
          <w:rFonts w:ascii="Times New Roman" w:eastAsia="Gulim" w:hAnsi="Times New Roman" w:cs="Times New Roman"/>
          <w:i/>
          <w:iCs/>
          <w:kern w:val="0"/>
          <w:sz w:val="22"/>
        </w:rPr>
        <w:t>c</w:t>
      </w:r>
      <w:r w:rsidRPr="00D86DC5">
        <w:rPr>
          <w:rFonts w:ascii="Times New Roman" w:eastAsia="Gulim" w:hAnsi="Times New Roman" w:cs="Times New Roman"/>
          <w:kern w:val="0"/>
          <w:sz w:val="22"/>
        </w:rPr>
        <w:t>-axis contraction. The dramatic increase in the octahedral distortion parameter (Δ</w:t>
      </w:r>
      <w:r w:rsidRPr="00D86DC5">
        <w:rPr>
          <w:rFonts w:ascii="Times New Roman" w:eastAsia="Gulim" w:hAnsi="Times New Roman" w:cs="Times New Roman"/>
          <w:b/>
          <w:bCs/>
          <w:kern w:val="0"/>
          <w:sz w:val="22"/>
        </w:rPr>
        <w:t xml:space="preserve"> = </w:t>
      </w:r>
      <w:r w:rsidRPr="00D86DC5">
        <w:rPr>
          <w:rFonts w:ascii="Times New Roman" w:eastAsia="Gulim" w:hAnsi="Times New Roman" w:cs="Times New Roman"/>
          <w:kern w:val="0"/>
          <w:sz w:val="22"/>
        </w:rPr>
        <w:t>1.68 x 10</w:t>
      </w:r>
      <w:r w:rsidRPr="00D86DC5">
        <w:rPr>
          <w:rFonts w:ascii="Times New Roman" w:eastAsia="Gulim" w:hAnsi="Times New Roman" w:cs="Times New Roman"/>
          <w:kern w:val="0"/>
          <w:sz w:val="22"/>
          <w:vertAlign w:val="superscript"/>
        </w:rPr>
        <w:t>–3</w:t>
      </w:r>
      <w:r w:rsidRPr="00D86DC5">
        <w:rPr>
          <w:rFonts w:ascii="Times New Roman" w:eastAsia="Gulim" w:hAnsi="Times New Roman" w:cs="Times New Roman"/>
          <w:kern w:val="0"/>
          <w:sz w:val="22"/>
        </w:rPr>
        <w:t>) and the anomalously low effective Poisson's ratio (ν</w:t>
      </w:r>
      <w:r w:rsidRPr="00D86DC5">
        <w:rPr>
          <w:rFonts w:ascii="Times New Roman" w:eastAsia="Gulim" w:hAnsi="Times New Roman" w:cs="Times New Roman"/>
          <w:b/>
          <w:bCs/>
          <w:kern w:val="0"/>
          <w:sz w:val="22"/>
        </w:rPr>
        <w:t xml:space="preserve"> = 0.13</w:t>
      </w:r>
      <w:r w:rsidRPr="00D86DC5">
        <w:rPr>
          <w:rFonts w:ascii="Times New Roman" w:eastAsia="Gulim" w:hAnsi="Times New Roman" w:cs="Times New Roman"/>
          <w:kern w:val="0"/>
          <w:sz w:val="22"/>
        </w:rPr>
        <w:t xml:space="preserve">) reflect a structural hardening along the </w:t>
      </w:r>
      <w:r w:rsidRPr="00D86DC5">
        <w:rPr>
          <w:rFonts w:ascii="Times New Roman" w:eastAsia="Gulim" w:hAnsi="Times New Roman" w:cs="Times New Roman" w:hint="eastAsia"/>
          <w:kern w:val="0"/>
          <w:sz w:val="22"/>
        </w:rPr>
        <w:t xml:space="preserve">apical </w:t>
      </w:r>
      <w:r w:rsidRPr="00D86DC5">
        <w:rPr>
          <w:rFonts w:ascii="Times New Roman" w:eastAsia="Gulim" w:hAnsi="Times New Roman" w:cs="Times New Roman" w:hint="eastAsia"/>
          <w:i/>
          <w:iCs/>
          <w:kern w:val="0"/>
          <w:sz w:val="22"/>
        </w:rPr>
        <w:t>c</w:t>
      </w:r>
      <w:r w:rsidRPr="00D86DC5">
        <w:rPr>
          <w:rFonts w:ascii="Times New Roman" w:eastAsia="Gulim" w:hAnsi="Times New Roman" w:cs="Times New Roman" w:hint="eastAsia"/>
          <w:kern w:val="0"/>
          <w:sz w:val="22"/>
          <w:vertAlign w:val="subscript"/>
        </w:rPr>
        <w:t>pc</w:t>
      </w:r>
      <w:r w:rsidRPr="00D86DC5">
        <w:rPr>
          <w:rFonts w:ascii="Times New Roman" w:eastAsia="Gulim" w:hAnsi="Times New Roman" w:cs="Times New Roman" w:hint="eastAsia"/>
          <w:kern w:val="0"/>
          <w:sz w:val="22"/>
        </w:rPr>
        <w:t>-</w:t>
      </w:r>
      <w:r w:rsidRPr="00D86DC5">
        <w:rPr>
          <w:rFonts w:ascii="Times New Roman" w:eastAsia="Gulim" w:hAnsi="Times New Roman" w:cs="Times New Roman"/>
          <w:kern w:val="0"/>
          <w:sz w:val="22"/>
        </w:rPr>
        <w:t>axis. Once linearized, these apical bonds act as rigid structural pillars, making the vertical axis significantly stiffer than the bulk hinge-like configuration.</w:t>
      </w:r>
      <w:r w:rsidRPr="00D86DC5">
        <w:rPr>
          <w:rFonts w:ascii="Times New Roman" w:eastAsia="Gulim" w:hAnsi="Times New Roman" w:cs="Times New Roman" w:hint="eastAsia"/>
          <w:kern w:val="0"/>
          <w:sz w:val="22"/>
        </w:rPr>
        <w:t xml:space="preserve"> [ref]</w:t>
      </w:r>
    </w:p>
    <w:p w14:paraId="2ADCAB71" w14:textId="77777777" w:rsidR="006E50CD" w:rsidRDefault="006E50CD" w:rsidP="006E50CD"/>
    <w:p w14:paraId="6EA9DDEC" w14:textId="77777777" w:rsidR="006E50CD" w:rsidRPr="000E489E" w:rsidRDefault="006E50CD" w:rsidP="006E50CD">
      <w:pPr>
        <w:spacing w:line="480" w:lineRule="auto"/>
        <w:rPr>
          <w:rFonts w:ascii="Times New Roman" w:eastAsia="Gulim" w:hAnsi="Times New Roman" w:cs="Times New Roman"/>
          <w:color w:val="0000FF"/>
          <w:kern w:val="0"/>
          <w:sz w:val="22"/>
        </w:rPr>
      </w:pPr>
      <w:r w:rsidRPr="000E489E">
        <w:rPr>
          <w:rFonts w:ascii="Times New Roman" w:eastAsia="Gulim" w:hAnsi="Times New Roman" w:cs="Times New Roman" w:hint="eastAsia"/>
          <w:color w:val="0000FF"/>
          <w:kern w:val="0"/>
          <w:sz w:val="22"/>
          <w:highlight w:val="cyan"/>
        </w:rPr>
        <w:t xml:space="preserve">The extreme in-plane structural distortion </w:t>
      </w:r>
      <w:r w:rsidRPr="000E489E">
        <w:rPr>
          <w:rFonts w:ascii="Times New Roman" w:eastAsia="Gulim" w:hAnsi="Times New Roman" w:cs="Times New Roman"/>
          <w:color w:val="0000FF"/>
          <w:kern w:val="0"/>
          <w:sz w:val="22"/>
          <w:highlight w:val="cyan"/>
        </w:rPr>
        <w:t>explains the high in-plane effective mass (</w:t>
      </w:r>
      <w:r w:rsidRPr="000E489E">
        <w:rPr>
          <w:rFonts w:ascii="Times New Roman" w:eastAsia="Gulim" w:hAnsi="Times New Roman" w:cs="Times New Roman"/>
          <w:i/>
          <w:iCs/>
          <w:color w:val="0000FF"/>
          <w:kern w:val="0"/>
          <w:sz w:val="22"/>
          <w:highlight w:val="cyan"/>
        </w:rPr>
        <w:t>m</w:t>
      </w:r>
      <w:r w:rsidRPr="000E489E">
        <w:rPr>
          <w:rFonts w:ascii="Times New Roman" w:eastAsia="Gulim" w:hAnsi="Times New Roman" w:cs="Times New Roman" w:hint="eastAsia"/>
          <w:i/>
          <w:iCs/>
          <w:color w:val="0000FF"/>
          <w:kern w:val="0"/>
          <w:sz w:val="22"/>
          <w:highlight w:val="cyan"/>
          <w:vertAlign w:val="superscript"/>
        </w:rPr>
        <w:t>*</w:t>
      </w:r>
      <w:r w:rsidRPr="000E489E">
        <w:rPr>
          <w:rFonts w:ascii="Times New Roman" w:eastAsia="Gulim" w:hAnsi="Times New Roman" w:cs="Times New Roman"/>
          <w:i/>
          <w:iCs/>
          <w:color w:val="0000FF"/>
          <w:kern w:val="0"/>
          <w:sz w:val="22"/>
          <w:highlight w:val="cyan"/>
        </w:rPr>
        <w:t xml:space="preserve"> = </w:t>
      </w:r>
      <w:r w:rsidRPr="000E489E">
        <w:rPr>
          <w:rFonts w:ascii="Times New Roman" w:eastAsia="Gulim" w:hAnsi="Times New Roman" w:cs="Times New Roman"/>
          <w:color w:val="0000FF"/>
          <w:kern w:val="0"/>
          <w:sz w:val="22"/>
          <w:highlight w:val="cyan"/>
        </w:rPr>
        <w:t>4.12</w:t>
      </w:r>
      <w:r w:rsidRPr="000E489E">
        <w:rPr>
          <w:rFonts w:ascii="Times New Roman" w:eastAsia="Gulim" w:hAnsi="Times New Roman" w:cs="Times New Roman"/>
          <w:i/>
          <w:iCs/>
          <w:color w:val="0000FF"/>
          <w:kern w:val="0"/>
          <w:sz w:val="22"/>
          <w:highlight w:val="cyan"/>
        </w:rPr>
        <w:t xml:space="preserve"> m</w:t>
      </w:r>
      <w:r w:rsidRPr="000E489E">
        <w:rPr>
          <w:rFonts w:ascii="Times New Roman" w:eastAsia="Gulim" w:hAnsi="Times New Roman" w:cs="Times New Roman"/>
          <w:color w:val="0000FF"/>
          <w:kern w:val="0"/>
          <w:sz w:val="22"/>
          <w:highlight w:val="cyan"/>
          <w:vertAlign w:val="subscript"/>
        </w:rPr>
        <w:t>0</w:t>
      </w:r>
      <w:r w:rsidRPr="000E489E">
        <w:rPr>
          <w:rFonts w:ascii="Times New Roman" w:eastAsia="Gulim" w:hAnsi="Times New Roman" w:cs="Times New Roman"/>
          <w:color w:val="0000FF"/>
          <w:kern w:val="0"/>
          <w:sz w:val="22"/>
          <w:highlight w:val="cyan"/>
        </w:rPr>
        <w:t>) and the observed Non-Fermi Liquid behavior, as the narrowed in-plane bandwidth enhances electron-electron correlations and prevents coherent quasiparticle formation.</w:t>
      </w:r>
    </w:p>
    <w:p w14:paraId="05B398B4" w14:textId="77777777" w:rsidR="006E50CD" w:rsidRPr="00FA186B" w:rsidRDefault="006E50CD" w:rsidP="006E50CD"/>
    <w:p w14:paraId="0C80DBA0" w14:textId="77777777" w:rsidR="00F553FF" w:rsidRDefault="00F553FF"/>
    <w:sectPr w:rsidR="00F553FF" w:rsidSect="006E50CD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50CD"/>
    <w:rsid w:val="003C2EF4"/>
    <w:rsid w:val="00446799"/>
    <w:rsid w:val="00682A0A"/>
    <w:rsid w:val="006A7E07"/>
    <w:rsid w:val="006E50CD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8E2B2E"/>
  <w15:chartTrackingRefBased/>
  <w15:docId w15:val="{DC412BB8-3683-41C2-9072-B18D5EDCD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50CD"/>
    <w:pPr>
      <w:widowControl w:val="0"/>
      <w:wordWrap w:val="0"/>
      <w:autoSpaceDE w:val="0"/>
      <w:autoSpaceDN w:val="0"/>
      <w:spacing w:line="259" w:lineRule="auto"/>
      <w:jc w:val="both"/>
    </w:pPr>
    <w:rPr>
      <w:rFonts w:eastAsiaTheme="minorEastAsia"/>
      <w:sz w:val="20"/>
      <w:szCs w:val="22"/>
      <w:lang w:eastAsia="ko-K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E50CD"/>
    <w:pPr>
      <w:keepNext/>
      <w:keepLines/>
      <w:widowControl/>
      <w:wordWrap/>
      <w:autoSpaceDE/>
      <w:autoSpaceDN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50CD"/>
    <w:pPr>
      <w:keepNext/>
      <w:keepLines/>
      <w:widowControl/>
      <w:wordWrap/>
      <w:autoSpaceDE/>
      <w:autoSpaceDN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50CD"/>
    <w:pPr>
      <w:keepNext/>
      <w:keepLines/>
      <w:widowControl/>
      <w:wordWrap/>
      <w:autoSpaceDE/>
      <w:autoSpaceDN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50CD"/>
    <w:pPr>
      <w:keepNext/>
      <w:keepLines/>
      <w:widowControl/>
      <w:wordWrap/>
      <w:autoSpaceDE/>
      <w:autoSpaceDN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50CD"/>
    <w:pPr>
      <w:keepNext/>
      <w:keepLines/>
      <w:widowControl/>
      <w:wordWrap/>
      <w:autoSpaceDE/>
      <w:autoSpaceDN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50CD"/>
    <w:pPr>
      <w:keepNext/>
      <w:keepLines/>
      <w:widowControl/>
      <w:wordWrap/>
      <w:autoSpaceDE/>
      <w:autoSpaceDN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50CD"/>
    <w:pPr>
      <w:keepNext/>
      <w:keepLines/>
      <w:widowControl/>
      <w:wordWrap/>
      <w:autoSpaceDE/>
      <w:autoSpaceDN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50CD"/>
    <w:pPr>
      <w:keepNext/>
      <w:keepLines/>
      <w:widowControl/>
      <w:wordWrap/>
      <w:autoSpaceDE/>
      <w:autoSpaceDN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50CD"/>
    <w:pPr>
      <w:keepNext/>
      <w:keepLines/>
      <w:widowControl/>
      <w:wordWrap/>
      <w:autoSpaceDE/>
      <w:autoSpaceDN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50C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50C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50C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50C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50C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50C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50C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50C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50C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50CD"/>
    <w:pPr>
      <w:widowControl/>
      <w:wordWrap/>
      <w:autoSpaceDE/>
      <w:autoSpaceDN/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E50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50CD"/>
    <w:pPr>
      <w:widowControl/>
      <w:numPr>
        <w:ilvl w:val="1"/>
      </w:numPr>
      <w:wordWrap/>
      <w:autoSpaceDE/>
      <w:autoSpaceDN/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E50C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50CD"/>
    <w:pPr>
      <w:widowControl/>
      <w:wordWrap/>
      <w:autoSpaceDE/>
      <w:autoSpaceDN/>
      <w:spacing w:before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E50C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50CD"/>
    <w:pPr>
      <w:widowControl/>
      <w:wordWrap/>
      <w:autoSpaceDE/>
      <w:autoSpaceDN/>
      <w:spacing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E50C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50C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wordWrap/>
      <w:autoSpaceDE/>
      <w:autoSpaceDN/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50C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50C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1229</Characters>
  <Application>Microsoft Office Word</Application>
  <DocSecurity>0</DocSecurity>
  <Lines>35</Lines>
  <Paragraphs>19</Paragraphs>
  <ScaleCrop>false</ScaleCrop>
  <Company>Springer Nature</Company>
  <LinksUpToDate>false</LinksUpToDate>
  <CharactersWithSpaces>1410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2026-02-09T15:27:00Z</dcterms:created>
  <dcterms:modified xsi:type="dcterms:W3CDTF">2026-02-09T15:27:00Z</dcterms:modified>
</cp:coreProperties>
</file>