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92EB" w14:textId="77777777" w:rsidR="006D7FF3" w:rsidRPr="004A6959" w:rsidRDefault="006D7FF3" w:rsidP="006D7FF3">
      <w:pPr>
        <w:widowControl/>
        <w:autoSpaceDE/>
        <w:autoSpaceDN/>
        <w:spacing w:after="160"/>
        <w:rPr>
          <w:rFonts w:eastAsia="Aptos"/>
          <w:bCs/>
          <w:iCs/>
          <w:kern w:val="2"/>
          <w:lang w:val="en-US"/>
          <w14:ligatures w14:val="standardContextual"/>
        </w:rPr>
      </w:pPr>
      <w:r w:rsidRPr="004A6959">
        <w:rPr>
          <w:rFonts w:eastAsia="Aptos"/>
          <w:b/>
          <w:iCs/>
          <w:kern w:val="2"/>
          <w:lang w:val="en-US"/>
          <w14:ligatures w14:val="standardContextual"/>
        </w:rPr>
        <w:t>Supplementary Table 2</w:t>
      </w:r>
      <w:r>
        <w:rPr>
          <w:rFonts w:eastAsia="Aptos"/>
          <w:b/>
          <w:iCs/>
          <w:kern w:val="2"/>
          <w:lang w:val="en-US"/>
          <w14:ligatures w14:val="standardContextual"/>
        </w:rPr>
        <w:t xml:space="preserve">. </w:t>
      </w:r>
      <w:r w:rsidRPr="004A6959">
        <w:rPr>
          <w:rFonts w:eastAsia="Aptos"/>
          <w:bCs/>
          <w:iCs/>
          <w:kern w:val="2"/>
          <w:lang w:val="en-US"/>
          <w14:ligatures w14:val="standardContextual"/>
        </w:rPr>
        <w:t>Combined analysis of the SNVs under study.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1753"/>
        <w:gridCol w:w="1746"/>
        <w:gridCol w:w="1288"/>
        <w:gridCol w:w="1165"/>
      </w:tblGrid>
      <w:tr w:rsidR="006D7FF3" w:rsidRPr="00DF3A4F" w14:paraId="2986323A" w14:textId="77777777" w:rsidTr="006D7FF3">
        <w:trPr>
          <w:trHeight w:val="154"/>
        </w:trPr>
        <w:tc>
          <w:tcPr>
            <w:tcW w:w="1496" w:type="pct"/>
            <w:tcBorders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2A6C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076852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Variable - LLA </w:t>
            </w:r>
            <w:proofErr w:type="spellStart"/>
            <w:r w:rsidRPr="00076852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risk</w:t>
            </w:r>
            <w:proofErr w:type="spellEnd"/>
          </w:p>
        </w:tc>
        <w:tc>
          <w:tcPr>
            <w:tcW w:w="1032" w:type="pct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3E09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OR (95%</w:t>
            </w: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CI</w:t>
            </w: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)</w:t>
            </w:r>
          </w:p>
        </w:tc>
        <w:tc>
          <w:tcPr>
            <w:tcW w:w="1028" w:type="pct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2E0C013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OR (IC 95%)</w:t>
            </w:r>
            <w:r w:rsidRPr="003322B1">
              <w:rPr>
                <w:rFonts w:eastAsia="Lucida Sans Unicode"/>
                <w:b/>
                <w:bCs/>
                <w:color w:val="000000"/>
                <w:sz w:val="18"/>
                <w:szCs w:val="18"/>
                <w:vertAlign w:val="subscript"/>
                <w:lang w:val="pt-BR" w:eastAsia="pt-BR"/>
              </w:rPr>
              <w:t xml:space="preserve"> </w:t>
            </w:r>
            <w:proofErr w:type="spellStart"/>
            <w:r w:rsidRPr="003322B1">
              <w:rPr>
                <w:rFonts w:eastAsia="Lucida Sans Unicode"/>
                <w:b/>
                <w:bCs/>
                <w:color w:val="000000"/>
                <w:sz w:val="18"/>
                <w:szCs w:val="18"/>
                <w:vertAlign w:val="subscript"/>
                <w:lang w:val="pt-BR" w:eastAsia="pt-BR"/>
              </w:rPr>
              <w:t>Adj</w:t>
            </w:r>
            <w:proofErr w:type="spellEnd"/>
          </w:p>
        </w:tc>
        <w:tc>
          <w:tcPr>
            <w:tcW w:w="758" w:type="pct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8CD1" w14:textId="2612F59C" w:rsidR="006D7FF3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076852"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p</w:t>
            </w: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value</w:t>
            </w:r>
            <w:proofErr w:type="spellEnd"/>
          </w:p>
          <w:p w14:paraId="186807B1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(Wald)</w:t>
            </w:r>
          </w:p>
        </w:tc>
        <w:tc>
          <w:tcPr>
            <w:tcW w:w="686" w:type="pct"/>
            <w:tcBorders>
              <w:left w:val="nil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9FBDC01" w14:textId="40651E97" w:rsidR="006D7FF3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076852"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p</w:t>
            </w: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value</w:t>
            </w:r>
            <w:proofErr w:type="spellEnd"/>
          </w:p>
          <w:p w14:paraId="7E33EFDF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(LR)</w:t>
            </w:r>
          </w:p>
        </w:tc>
      </w:tr>
      <w:tr w:rsidR="006D7FF3" w:rsidRPr="00DF3A4F" w14:paraId="4E7CF5E2" w14:textId="77777777" w:rsidTr="00034FCE">
        <w:trPr>
          <w:trHeight w:val="1"/>
        </w:trPr>
        <w:tc>
          <w:tcPr>
            <w:tcW w:w="1496" w:type="pct"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AA6C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C/G</w:t>
            </w:r>
          </w:p>
        </w:tc>
        <w:tc>
          <w:tcPr>
            <w:tcW w:w="1032" w:type="pct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B26D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0.73 (0.48 – 1.1)</w:t>
            </w:r>
          </w:p>
        </w:tc>
        <w:tc>
          <w:tcPr>
            <w:tcW w:w="1028" w:type="pct"/>
            <w:tcBorders>
              <w:left w:val="nil"/>
              <w:bottom w:val="nil"/>
              <w:right w:val="nil"/>
            </w:tcBorders>
          </w:tcPr>
          <w:p w14:paraId="4050B41F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1.21 (0.36 – 4.09)</w:t>
            </w: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EFC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0.758</w:t>
            </w:r>
          </w:p>
        </w:tc>
        <w:tc>
          <w:tcPr>
            <w:tcW w:w="686" w:type="pct"/>
            <w:tcBorders>
              <w:left w:val="nil"/>
              <w:bottom w:val="nil"/>
            </w:tcBorders>
          </w:tcPr>
          <w:p w14:paraId="6B6CF84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746A3EAB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CD53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G/G 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A40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0.46 (0.22 – 0.97)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5EC8315B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0.69 (0.09 – 5.49)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5776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0.724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2A9A16D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59329ED9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11CB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C/G 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7356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0.71 (0.47 – 1.07)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419B74DF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0.21 (0.02 – 2.35)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658F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0.207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2C47CA8F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098F6293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CEF1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G/G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9A71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0.44 (0.19 – 1.01)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30C89EF1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0.75 (0.07 – 7.71)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5EBE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0.810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0CED602D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6A334058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506B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Sex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051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1.43 (0.95 – 2.15)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73EFB21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1.46 (0.89 – 2.38)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77DD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0.132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13F647F5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0.131</w:t>
            </w:r>
          </w:p>
        </w:tc>
      </w:tr>
      <w:tr w:rsidR="006D7FF3" w:rsidRPr="00DF3A4F" w14:paraId="29EF07A8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4E9A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Age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5398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0.92 (0.9 – 0.93)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218FCC68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0.92 (0.9 – 0.93)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719F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&lt;0.001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6090B14F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&lt;0.001</w:t>
            </w:r>
          </w:p>
        </w:tc>
      </w:tr>
      <w:tr w:rsidR="006D7FF3" w:rsidRPr="00DF3A4F" w14:paraId="0ACD3F94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7758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rs1042522 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C/G:</w:t>
            </w:r>
            <w:r w:rsidRPr="00DF3A4F">
              <w:rPr>
                <w:rFonts w:eastAsia="Calibri Light"/>
                <w:sz w:val="18"/>
                <w:szCs w:val="18"/>
                <w:lang w:val="pt-BR"/>
              </w:rPr>
              <w:t xml:space="preserve"> </w:t>
            </w: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C/G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5777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0BE84AA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2.71 (0.18 – 39.9)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652D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0.469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3D874E2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0.71</w:t>
            </w:r>
          </w:p>
        </w:tc>
      </w:tr>
      <w:tr w:rsidR="006D7FF3" w:rsidRPr="00DF3A4F" w14:paraId="4E4233AC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C057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G/G:</w:t>
            </w: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 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C/G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D6E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3DB0E564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2.87 (0.09 – 96.68)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CF60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0.556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77568BE8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0.71</w:t>
            </w:r>
          </w:p>
        </w:tc>
      </w:tr>
      <w:tr w:rsidR="006D7FF3" w:rsidRPr="00DF3A4F" w14:paraId="1471FEC4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3901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C/G:</w:t>
            </w: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 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G/G 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CE4E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597F523D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 (0 – ∞)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C814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0.987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2842598B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0.71</w:t>
            </w:r>
          </w:p>
        </w:tc>
      </w:tr>
      <w:tr w:rsidR="006D7FF3" w:rsidRPr="00DF3A4F" w14:paraId="2BADDC1D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73CD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G/G:</w:t>
            </w: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 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G/G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6E10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55FE9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0.48 (0.02 – 12.5)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D507A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0.657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</w:tcBorders>
          </w:tcPr>
          <w:p w14:paraId="5F75223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0.71</w:t>
            </w:r>
          </w:p>
        </w:tc>
      </w:tr>
      <w:tr w:rsidR="006D7FF3" w:rsidRPr="00DF3A4F" w14:paraId="71C2096E" w14:textId="77777777" w:rsidTr="006D7FF3">
        <w:trPr>
          <w:trHeight w:val="1"/>
        </w:trPr>
        <w:tc>
          <w:tcPr>
            <w:tcW w:w="149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195B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076852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Variable - </w:t>
            </w:r>
            <w:proofErr w:type="spellStart"/>
            <w:r w:rsidRPr="00076852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Relapse</w:t>
            </w:r>
            <w:proofErr w:type="spellEnd"/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8336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OR (95%</w:t>
            </w: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CI</w:t>
            </w: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)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3FD8F93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OR (IC 95%) </w:t>
            </w:r>
            <w:proofErr w:type="spellStart"/>
            <w:r w:rsidRPr="003322B1">
              <w:rPr>
                <w:rFonts w:eastAsia="Lucida Sans Unicode"/>
                <w:b/>
                <w:bCs/>
                <w:color w:val="000000"/>
                <w:sz w:val="18"/>
                <w:szCs w:val="18"/>
                <w:vertAlign w:val="subscript"/>
                <w:lang w:val="pt-BR" w:eastAsia="pt-BR"/>
              </w:rPr>
              <w:t>Adj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D5E5" w14:textId="02535430" w:rsidR="006D7FF3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076852"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p</w:t>
            </w: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value</w:t>
            </w:r>
            <w:proofErr w:type="spellEnd"/>
          </w:p>
          <w:p w14:paraId="0A0F5D5B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(Wald)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A7D1127" w14:textId="51D153EF" w:rsidR="006D7FF3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076852"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p</w:t>
            </w: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value</w:t>
            </w:r>
            <w:proofErr w:type="spellEnd"/>
          </w:p>
          <w:p w14:paraId="7B07B545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(LR)</w:t>
            </w:r>
          </w:p>
        </w:tc>
      </w:tr>
      <w:tr w:rsidR="006D7FF3" w:rsidRPr="00DF3A4F" w14:paraId="3052F2AE" w14:textId="77777777" w:rsidTr="00034FCE">
        <w:trPr>
          <w:trHeight w:val="1"/>
        </w:trPr>
        <w:tc>
          <w:tcPr>
            <w:tcW w:w="1496" w:type="pct"/>
            <w:tcBorders>
              <w:top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BA6C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C/G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85A5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0.49 (0.25 – 0.98)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FDE90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0.82 (0.25 – 0.98)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0911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0.82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</w:tcBorders>
          </w:tcPr>
          <w:p w14:paraId="469A80FB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&lt;0.001</w:t>
            </w:r>
          </w:p>
        </w:tc>
      </w:tr>
      <w:tr w:rsidR="006D7FF3" w:rsidRPr="00DF3A4F" w14:paraId="799F38F7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BA59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G/G 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F0E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0.22 (0.04 – 1.13)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3B709308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 (0 – ∞)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792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0.992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7AC52EBE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&lt;0.001</w:t>
            </w:r>
          </w:p>
        </w:tc>
      </w:tr>
      <w:tr w:rsidR="006D7FF3" w:rsidRPr="00DF3A4F" w14:paraId="76BCC377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4501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C/G 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1925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0.47 (0.23 – 0.95)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53067BEE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1.87 (0 – ∞)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2AF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6BF6D0FF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3C4BB979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9DBF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G/G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896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0.62 (0.13 – 2.93)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628FB05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1.22 (0.07 – 21.06)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53EB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0.892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7FDC2A3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014C6621" w14:textId="77777777" w:rsidTr="00034FCE">
        <w:trPr>
          <w:trHeight w:val="78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33CB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Sex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CE9B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0.81 (0.41 – 1.57)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664504A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 (0.34 – 1.44)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17B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0.327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7086E000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0.325</w:t>
            </w:r>
          </w:p>
        </w:tc>
      </w:tr>
      <w:tr w:rsidR="006D7FF3" w:rsidRPr="00DF3A4F" w14:paraId="4A4A786B" w14:textId="77777777" w:rsidTr="00034FCE">
        <w:trPr>
          <w:trHeight w:val="77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9DE2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Age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D327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1.04 (1.01 – 1.07)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1D983B56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1.04 (1 – 1.07)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269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0.026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69BB1CBD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0.021</w:t>
            </w:r>
          </w:p>
        </w:tc>
      </w:tr>
      <w:tr w:rsidR="006D7FF3" w:rsidRPr="00DF3A4F" w14:paraId="20056E8C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8115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rs1042522 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C/G:</w:t>
            </w:r>
            <w:r w:rsidRPr="00DF3A4F">
              <w:rPr>
                <w:rFonts w:eastAsia="Calibri Light"/>
                <w:sz w:val="18"/>
                <w:szCs w:val="18"/>
                <w:lang w:val="pt-BR"/>
              </w:rPr>
              <w:t xml:space="preserve"> </w:t>
            </w: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C/G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BECD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4D426C7A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265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5E5939A6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0.477</w:t>
            </w:r>
          </w:p>
        </w:tc>
      </w:tr>
      <w:tr w:rsidR="006D7FF3" w:rsidRPr="00DF3A4F" w14:paraId="183ED17F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B127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G/G:</w:t>
            </w: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 rs1642785G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/G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D2CD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9CDB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33F4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0.992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</w:tcBorders>
          </w:tcPr>
          <w:p w14:paraId="2CF6EF15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0.477</w:t>
            </w:r>
          </w:p>
        </w:tc>
      </w:tr>
      <w:tr w:rsidR="006D7FF3" w:rsidRPr="00DF3A4F" w14:paraId="2622B686" w14:textId="77777777" w:rsidTr="006D7FF3">
        <w:trPr>
          <w:trHeight w:val="1"/>
        </w:trPr>
        <w:tc>
          <w:tcPr>
            <w:tcW w:w="149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B8F3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076852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Variable - Death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0485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OR (95%</w:t>
            </w: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CI</w:t>
            </w: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)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51DD054F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OR (IC 95%) </w:t>
            </w:r>
            <w:proofErr w:type="spellStart"/>
            <w:r w:rsidRPr="003322B1">
              <w:rPr>
                <w:rFonts w:eastAsia="Lucida Sans Unicode"/>
                <w:b/>
                <w:bCs/>
                <w:color w:val="000000"/>
                <w:sz w:val="18"/>
                <w:szCs w:val="18"/>
                <w:vertAlign w:val="subscript"/>
                <w:lang w:val="pt-BR" w:eastAsia="pt-BR"/>
              </w:rPr>
              <w:t>Adj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7ADF" w14:textId="668DCEE4" w:rsidR="006D7FF3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076852"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p</w:t>
            </w: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value</w:t>
            </w:r>
            <w:proofErr w:type="spellEnd"/>
          </w:p>
          <w:p w14:paraId="4A738850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(Wald)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D4153F5" w14:textId="6946F437" w:rsidR="006D7FF3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076852"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18"/>
                <w:lang w:val="pt-BR" w:eastAsia="pt-BR"/>
              </w:rPr>
              <w:t>p</w:t>
            </w: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value</w:t>
            </w:r>
            <w:proofErr w:type="spellEnd"/>
          </w:p>
          <w:p w14:paraId="5E3EB13F" w14:textId="77777777" w:rsidR="006D7FF3" w:rsidRPr="00DF3A4F" w:rsidRDefault="006D7FF3" w:rsidP="006D7FF3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(LR)</w:t>
            </w:r>
          </w:p>
        </w:tc>
      </w:tr>
      <w:tr w:rsidR="006D7FF3" w:rsidRPr="00DF3A4F" w14:paraId="266D78E5" w14:textId="77777777" w:rsidTr="00034FCE">
        <w:trPr>
          <w:trHeight w:val="1"/>
        </w:trPr>
        <w:tc>
          <w:tcPr>
            <w:tcW w:w="1496" w:type="pct"/>
            <w:tcBorders>
              <w:top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F717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C/G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00FA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0.48 (0.24 – 0.95)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6459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0.29 (0.03 – 2.54)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C836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0.261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</w:tcBorders>
          </w:tcPr>
          <w:p w14:paraId="29686EC0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4BBF42BA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A50F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G/G 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0F4E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0.15 (0.02 – 1.25)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237821E4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 (0 – ∞)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F9B9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0.992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1D511C81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40C8F266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A673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C/G 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4B30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0.53 (0.27 – 1.06)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62BE603B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 (0 – ∞)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919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0.995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5EA37B95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2452D896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02C6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 G/G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705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0.23 (0.03 – 1.91)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7664E68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0.76 (0.06 – 8.81)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F89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0.823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52ABCFE1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</w:tr>
      <w:tr w:rsidR="006D7FF3" w:rsidRPr="00DF3A4F" w14:paraId="6728E3F0" w14:textId="77777777" w:rsidTr="00034FCE">
        <w:trPr>
          <w:trHeight w:val="3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B0E9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Sex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99E3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0.98 (0.51 – 1.87)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1BF258A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1.03 (0.52 – 2.04)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70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0.929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79986A09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0.929</w:t>
            </w:r>
          </w:p>
        </w:tc>
      </w:tr>
      <w:tr w:rsidR="006D7FF3" w:rsidRPr="00DF3A4F" w14:paraId="37289884" w14:textId="77777777" w:rsidTr="00034FCE">
        <w:trPr>
          <w:trHeight w:val="6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5404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  <w:t>Age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F186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0.99 (0.97 – 1.01)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4ADA73E0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0.99 (0.96 – 1.01)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3C2E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0.536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39BD8874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0.531</w:t>
            </w:r>
          </w:p>
        </w:tc>
      </w:tr>
      <w:tr w:rsidR="006D7FF3" w:rsidRPr="00DF3A4F" w14:paraId="284D8E05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D9A5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rs1042522 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C/G:</w:t>
            </w:r>
            <w:r w:rsidRPr="00DF3A4F">
              <w:rPr>
                <w:rFonts w:eastAsia="Calibri Light"/>
                <w:sz w:val="18"/>
                <w:szCs w:val="18"/>
                <w:lang w:val="pt-BR"/>
              </w:rPr>
              <w:t xml:space="preserve"> </w:t>
            </w: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C/G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52AC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1D59987B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sz w:val="18"/>
                <w:szCs w:val="18"/>
                <w:highlight w:val="yellow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 (0 – ∞)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743D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0.994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30E6FB90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0.432</w:t>
            </w:r>
          </w:p>
        </w:tc>
      </w:tr>
      <w:tr w:rsidR="006D7FF3" w:rsidRPr="00DF3A4F" w14:paraId="45FA71DB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0CF7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G/G:</w:t>
            </w: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 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C/G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2D95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03657C68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sz w:val="18"/>
                <w:szCs w:val="18"/>
                <w:highlight w:val="yellow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 (0 – ∞)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5C00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0.991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43704B02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0.432</w:t>
            </w:r>
          </w:p>
        </w:tc>
      </w:tr>
      <w:tr w:rsidR="006D7FF3" w:rsidRPr="00DF3A4F" w14:paraId="1D6FBC9C" w14:textId="77777777" w:rsidTr="00034FCE">
        <w:trPr>
          <w:trHeight w:val="1"/>
        </w:trPr>
        <w:tc>
          <w:tcPr>
            <w:tcW w:w="1496" w:type="pct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A824" w14:textId="77777777" w:rsidR="006D7FF3" w:rsidRPr="00DF3A4F" w:rsidRDefault="006D7FF3" w:rsidP="00034FCE">
            <w:pPr>
              <w:widowControl/>
              <w:autoSpaceDE/>
              <w:autoSpaceDN/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>rs1042522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G/G:</w:t>
            </w:r>
            <w:r w:rsidRPr="00DF3A4F">
              <w:rPr>
                <w:rFonts w:eastAsia="Lucida Sans Unicode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 rs1642785</w:t>
            </w: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 xml:space="preserve">G/G 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2ECA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b/>
                <w:bCs/>
                <w:sz w:val="18"/>
                <w:szCs w:val="18"/>
                <w:lang w:val="pt-BR" w:eastAsia="pt-BR"/>
              </w:rPr>
              <w:t>-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0E0AF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1.31 (0 – ∞)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8997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</w:tcBorders>
          </w:tcPr>
          <w:p w14:paraId="43D354F9" w14:textId="77777777" w:rsidR="006D7FF3" w:rsidRPr="00DF3A4F" w:rsidRDefault="006D7FF3" w:rsidP="00034FCE">
            <w:pPr>
              <w:widowControl/>
              <w:autoSpaceDE/>
              <w:autoSpaceDN/>
              <w:jc w:val="center"/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</w:pPr>
            <w:r w:rsidRPr="00DF3A4F">
              <w:rPr>
                <w:rFonts w:eastAsia="Lucida Sans Unicode"/>
                <w:color w:val="000000"/>
                <w:sz w:val="18"/>
                <w:szCs w:val="18"/>
                <w:lang w:val="pt-BR" w:eastAsia="pt-BR"/>
              </w:rPr>
              <w:t>0.432</w:t>
            </w:r>
          </w:p>
        </w:tc>
      </w:tr>
    </w:tbl>
    <w:p w14:paraId="62A37294" w14:textId="77777777" w:rsidR="006D7FF3" w:rsidRPr="00F11D4A" w:rsidRDefault="006D7FF3" w:rsidP="006D7FF3">
      <w:pPr>
        <w:widowControl/>
        <w:autoSpaceDE/>
        <w:autoSpaceDN/>
        <w:spacing w:before="120" w:after="120" w:line="278" w:lineRule="auto"/>
        <w:rPr>
          <w:rFonts w:eastAsia="Calibri"/>
          <w:iCs/>
          <w:kern w:val="2"/>
          <w:sz w:val="16"/>
          <w:szCs w:val="16"/>
          <w:lang w:val="en-US"/>
          <w14:ligatures w14:val="standardContextual"/>
        </w:rPr>
      </w:pPr>
      <w:bookmarkStart w:id="0" w:name="OLE_LINK1"/>
      <w:r w:rsidRPr="007675A1">
        <w:rPr>
          <w:rFonts w:eastAsia="Aptos"/>
          <w:bCs/>
          <w:iCs/>
          <w:kern w:val="2"/>
          <w:sz w:val="14"/>
          <w:szCs w:val="14"/>
          <w:lang w:val="en-US"/>
          <w14:ligatures w14:val="standardContextual"/>
        </w:rPr>
        <w:t>OR: Odds Ratio; adjusted for sex and age (OR adj); p</w:t>
      </w:r>
      <w:bookmarkEnd w:id="0"/>
      <w:r w:rsidRPr="007675A1">
        <w:rPr>
          <w:rFonts w:eastAsia="Aptos"/>
          <w:bCs/>
          <w:iCs/>
          <w:kern w:val="2"/>
          <w:sz w:val="14"/>
          <w:szCs w:val="14"/>
          <w:lang w:val="en-US"/>
          <w14:ligatures w14:val="standardContextual"/>
        </w:rPr>
        <w:t>-value: &lt; 0.05; 95% confidence interval; 0: There were no events observed for this combination.</w:t>
      </w:r>
    </w:p>
    <w:p w14:paraId="336F83AA" w14:textId="77777777" w:rsidR="006D7FF3" w:rsidRPr="00950298" w:rsidRDefault="006D7FF3" w:rsidP="006D7FF3">
      <w:pPr>
        <w:widowControl/>
        <w:autoSpaceDE/>
        <w:autoSpaceDN/>
        <w:spacing w:after="160"/>
        <w:ind w:left="360"/>
        <w:contextualSpacing/>
        <w:rPr>
          <w:rFonts w:eastAsia="Cambria"/>
          <w:b/>
          <w:bCs/>
          <w:sz w:val="24"/>
          <w:szCs w:val="24"/>
          <w:lang w:val="en-US" w:eastAsia="pt-BR"/>
        </w:rPr>
      </w:pPr>
    </w:p>
    <w:p w14:paraId="581AD9D0" w14:textId="77777777" w:rsidR="006D7FF3" w:rsidRPr="00950298" w:rsidRDefault="006D7FF3" w:rsidP="006D7FF3">
      <w:pPr>
        <w:widowControl/>
        <w:autoSpaceDE/>
        <w:autoSpaceDN/>
        <w:spacing w:after="160"/>
        <w:ind w:left="360"/>
        <w:contextualSpacing/>
        <w:rPr>
          <w:rFonts w:eastAsia="Cambria"/>
          <w:b/>
          <w:bCs/>
          <w:sz w:val="24"/>
          <w:szCs w:val="24"/>
          <w:lang w:val="en-US" w:eastAsia="pt-BR"/>
        </w:rPr>
      </w:pPr>
    </w:p>
    <w:p w14:paraId="514A97EA" w14:textId="77777777" w:rsidR="00E92B7E" w:rsidRPr="006D7FF3" w:rsidRDefault="00E92B7E">
      <w:pPr>
        <w:rPr>
          <w:lang w:val="en-US"/>
        </w:rPr>
      </w:pPr>
    </w:p>
    <w:sectPr w:rsidR="00E92B7E" w:rsidRPr="006D7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F3"/>
    <w:rsid w:val="00137CA1"/>
    <w:rsid w:val="006D7FF3"/>
    <w:rsid w:val="00CF3893"/>
    <w:rsid w:val="00E9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F51E"/>
  <w15:chartTrackingRefBased/>
  <w15:docId w15:val="{0C04AAAC-1EF3-47F9-8945-109FD3D7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7F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7FF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FF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7FF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7FF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7FF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7FF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7FF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7FF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7FF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7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7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7F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7F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7F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7F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7F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7F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7FF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D7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7FF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D7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7FF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D7F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7FF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D7F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7F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7F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7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Análises GT-TB2</dc:creator>
  <cp:keywords/>
  <dc:description/>
  <cp:lastModifiedBy>Análises GT-TB2</cp:lastModifiedBy>
  <cp:revision>1</cp:revision>
  <dcterms:created xsi:type="dcterms:W3CDTF">2026-01-15T02:21:00Z</dcterms:created>
  <dcterms:modified xsi:type="dcterms:W3CDTF">2026-01-15T02:22:00Z</dcterms:modified>
</cp:coreProperties>
</file>