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8511" w14:textId="77777777" w:rsidR="00195539" w:rsidRPr="00195539" w:rsidRDefault="00195539" w:rsidP="00195539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Hlk167372313"/>
      <w:r w:rsidRPr="0019553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Table S1</w:t>
      </w:r>
      <w:r w:rsidRPr="0019553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95539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The </w:t>
      </w:r>
      <w:r w:rsidRPr="0019553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heritability, phenotypic variation coefficient and genetic variation coefficient for </w:t>
      </w:r>
      <w:r w:rsidRPr="00195539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3-year-old, 9-year-old and 13-year-old </w:t>
      </w:r>
      <w:r w:rsidRPr="0019553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wood traits in </w:t>
      </w:r>
      <w:r w:rsidRPr="0019553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Larix </w:t>
      </w:r>
      <w:proofErr w:type="spellStart"/>
      <w:r w:rsidRPr="0019553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kaempferi</w:t>
      </w:r>
      <w:proofErr w:type="spellEnd"/>
    </w:p>
    <w:tbl>
      <w:tblPr>
        <w:tblW w:w="9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25"/>
        <w:gridCol w:w="1125"/>
        <w:gridCol w:w="1125"/>
        <w:gridCol w:w="844"/>
        <w:gridCol w:w="844"/>
        <w:gridCol w:w="844"/>
        <w:gridCol w:w="811"/>
        <w:gridCol w:w="811"/>
        <w:gridCol w:w="811"/>
      </w:tblGrid>
      <w:tr w:rsidR="00195539" w:rsidRPr="00A13532" w14:paraId="05B607F1" w14:textId="77777777" w:rsidTr="0053021E">
        <w:trPr>
          <w:trHeight w:val="291"/>
        </w:trPr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F53BA7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Trait (units)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5202D" w14:textId="77777777" w:rsidR="00195539" w:rsidRPr="00A13532" w:rsidRDefault="00195539" w:rsidP="00195539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253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039FC" w14:textId="77777777" w:rsidR="00195539" w:rsidRPr="00A13532" w:rsidRDefault="00195539" w:rsidP="00195539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m:oMath>
              <m:r>
                <w:rPr>
                  <w:rFonts w:ascii="Cambria Math" w:eastAsia="等线" w:hAnsi="Cambria Math" w:cs="Times New Roman"/>
                  <w:color w:val="000000" w:themeColor="text1"/>
                  <w:kern w:val="0"/>
                  <w:sz w:val="16"/>
                  <w:szCs w:val="16"/>
                </w:rPr>
                <m:t>CVP</m:t>
              </m:r>
            </m:oMath>
            <w:r w:rsidRPr="00A13532">
              <w:rPr>
                <w:rFonts w:ascii="Cambria Math" w:eastAsia="等线" w:hAnsi="Cambria Math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(%)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D5801" w14:textId="77777777" w:rsidR="00195539" w:rsidRPr="00A13532" w:rsidRDefault="00195539" w:rsidP="00195539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m:oMath>
              <m:r>
                <w:rPr>
                  <w:rFonts w:ascii="Cambria Math" w:eastAsia="等线" w:hAnsi="Cambria Math" w:cs="Times New Roman"/>
                  <w:color w:val="000000" w:themeColor="text1"/>
                  <w:kern w:val="0"/>
                  <w:sz w:val="16"/>
                  <w:szCs w:val="16"/>
                </w:rPr>
                <m:t>CVG</m:t>
              </m:r>
            </m:oMath>
            <w:r w:rsidRPr="00A13532">
              <w:rPr>
                <w:rFonts w:ascii="Cambria Math" w:eastAsia="等线" w:hAnsi="Cambria Math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(%)</w:t>
            </w:r>
          </w:p>
        </w:tc>
      </w:tr>
      <w:tr w:rsidR="00195539" w:rsidRPr="00A13532" w14:paraId="63788DC9" w14:textId="77777777" w:rsidTr="0053021E">
        <w:trPr>
          <w:trHeight w:val="291"/>
        </w:trPr>
        <w:tc>
          <w:tcPr>
            <w:tcW w:w="113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5B596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281AEB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4197F3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i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13188A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i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453CF80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E4C25C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516F8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303ED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2E6E1B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E6E2B1A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</w:tr>
      <w:tr w:rsidR="00195539" w:rsidRPr="00A13532" w14:paraId="5A10CDF6" w14:textId="77777777" w:rsidTr="0053021E">
        <w:trPr>
          <w:trHeight w:val="279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564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EWW_L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CCE97B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(0.37)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CA02579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0.16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(0.16)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A5770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0.16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(0.18)</w:t>
            </w:r>
          </w:p>
        </w:tc>
        <w:tc>
          <w:tcPr>
            <w:tcW w:w="84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B8964A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30.98</w:t>
            </w:r>
          </w:p>
        </w:tc>
        <w:tc>
          <w:tcPr>
            <w:tcW w:w="84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0E6B24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35.91</w:t>
            </w:r>
          </w:p>
        </w:tc>
        <w:tc>
          <w:tcPr>
            <w:tcW w:w="8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51AA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33.63</w:t>
            </w: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DAF9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5.11</w:t>
            </w: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6C451BC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8.55</w:t>
            </w: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480538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4.55</w:t>
            </w:r>
          </w:p>
        </w:tc>
      </w:tr>
      <w:tr w:rsidR="00195539" w:rsidRPr="00A13532" w14:paraId="08301195" w14:textId="77777777" w:rsidTr="0053021E">
        <w:trPr>
          <w:trHeight w:val="2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3C7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LWW_L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9DB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0.54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(0.38)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5D8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0.47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(0.35)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BF5F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0.26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(0.22)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7D55B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30.89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C89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31.27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36F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32.20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1B8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6.03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478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14A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0.02</w:t>
            </w:r>
          </w:p>
        </w:tc>
      </w:tr>
      <w:tr w:rsidR="00195539" w:rsidRPr="00A13532" w14:paraId="2C8CA7FA" w14:textId="77777777" w:rsidTr="0053021E">
        <w:trPr>
          <w:trHeight w:val="2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47B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 (</w:t>
            </w:r>
            <w:proofErr w:type="spellStart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μm</w:t>
            </w:r>
            <w:proofErr w:type="spellEnd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EF0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0.04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(0.13)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C3B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0.10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(0.30)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73E5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0.08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(0.33)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255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16.17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21A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12.00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F82C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11.64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928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885A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B99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</w:tr>
      <w:tr w:rsidR="00195539" w:rsidRPr="00A13532" w14:paraId="1D7CB9B7" w14:textId="77777777" w:rsidTr="0053021E">
        <w:trPr>
          <w:trHeight w:val="2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FEA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 (</w:t>
            </w:r>
            <w:proofErr w:type="spellStart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μm</w:t>
            </w:r>
            <w:proofErr w:type="spellEnd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4EE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0.58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(0.39)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7530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0.03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(0.25)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9B60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0.03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(0.25)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8696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12.56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80CB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10.80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6D1CD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9.92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B683B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999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4.40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2C5C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</w:tr>
      <w:tr w:rsidR="00195539" w:rsidRPr="00A13532" w14:paraId="28BFD461" w14:textId="77777777" w:rsidTr="0053021E">
        <w:trPr>
          <w:trHeight w:val="29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5CD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EWFW (</w:t>
            </w:r>
            <w:proofErr w:type="spellStart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μm</w:t>
            </w:r>
            <w:proofErr w:type="spellEnd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DF19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0.52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(0.36)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90C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0.48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(0.35)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6B31AD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0.58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(0.39)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937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13.42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EF8F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10.18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3346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10.94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AD9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8EB0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FA0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1.93</w:t>
            </w:r>
          </w:p>
        </w:tc>
      </w:tr>
      <w:tr w:rsidR="00195539" w:rsidRPr="00A13532" w14:paraId="07EC4712" w14:textId="77777777" w:rsidTr="0053021E">
        <w:trPr>
          <w:trHeight w:val="29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42C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LWFW (</w:t>
            </w:r>
            <w:proofErr w:type="spellStart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μm</w:t>
            </w:r>
            <w:proofErr w:type="spellEnd"/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FA8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0.75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(0.45)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60C80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0.70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(0.42)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A3CDB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0.45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(0.17)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536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10.25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93C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11.76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10E7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14.21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DF4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01DA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F359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0.12</w:t>
            </w:r>
          </w:p>
        </w:tc>
      </w:tr>
      <w:tr w:rsidR="00195539" w:rsidRPr="00A13532" w14:paraId="719FFA64" w14:textId="77777777" w:rsidTr="0053021E">
        <w:trPr>
          <w:trHeight w:val="2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37B0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EWFL_W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0C9D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0.65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(0.19)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8CD49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(0.43)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32BA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0.62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(0.42)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ECECD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20.46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886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15.70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DF7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14.81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6CC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45D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0A2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6.93</w:t>
            </w:r>
          </w:p>
        </w:tc>
      </w:tr>
      <w:tr w:rsidR="00195539" w:rsidRPr="00A13532" w14:paraId="08129585" w14:textId="77777777" w:rsidTr="0053021E">
        <w:trPr>
          <w:trHeight w:val="29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BD2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LWFL_W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272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(0.39)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06E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0.32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(0.18)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A3F4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0.18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(0.17)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9861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10.25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11C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15.02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730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15.82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7CF4C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599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04E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</w:tr>
      <w:tr w:rsidR="00195539" w:rsidRPr="00A13532" w14:paraId="13ADD038" w14:textId="77777777" w:rsidTr="0053021E">
        <w:trPr>
          <w:trHeight w:val="29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B80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EMAF (°)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CA0B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44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(0.29)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4CD0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(0.24)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9845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26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(0.33)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DE4B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13.09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BC6A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14.11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E7D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15.16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8821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4B3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F55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4.28</w:t>
            </w:r>
          </w:p>
        </w:tc>
      </w:tr>
      <w:tr w:rsidR="00195539" w:rsidRPr="00A13532" w14:paraId="2125540F" w14:textId="77777777" w:rsidTr="0053021E">
        <w:trPr>
          <w:trHeight w:val="2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99E0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LMAF (°)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65E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0.27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(0.16)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2B15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0.19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(0.21)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2882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(0.16)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99C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14.28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4DAD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19.73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B78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21.42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42B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EE80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33C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</w:tr>
      <w:tr w:rsidR="00195539" w:rsidRPr="00A13532" w14:paraId="195074A7" w14:textId="77777777" w:rsidTr="0053021E">
        <w:trPr>
          <w:trHeight w:val="279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167E5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LWP (%)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vAlign w:val="center"/>
          </w:tcPr>
          <w:p w14:paraId="69F9C6F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0.26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(0.30)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vAlign w:val="center"/>
          </w:tcPr>
          <w:p w14:paraId="2E52D92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(0.13)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60BA4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0.16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(0.30)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14:paraId="08D80AB8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26.96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14:paraId="631FFA27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23.31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CC84A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21.20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0AF13C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21.86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17D5657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20.01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70A2317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16.12</w:t>
            </w:r>
          </w:p>
        </w:tc>
      </w:tr>
      <w:tr w:rsidR="00195539" w:rsidRPr="00A13532" w14:paraId="2065C58C" w14:textId="77777777" w:rsidTr="0053021E">
        <w:trPr>
          <w:trHeight w:val="291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E97FD0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BD (g/cm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3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D24DD4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(0.41)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00B3E2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0.52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(0.35)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018DDD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0.23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(0.18)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AC29E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12.05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D176B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11.55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7C4097F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13.15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6AD1DC3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5B8666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3FD89E" w14:textId="77777777" w:rsidR="00195539" w:rsidRPr="00A13532" w:rsidRDefault="00195539" w:rsidP="00195539">
            <w:pPr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</w:tr>
    </w:tbl>
    <w:p w14:paraId="7B583C69" w14:textId="77777777" w:rsidR="00195539" w:rsidRPr="00A13532" w:rsidRDefault="00195539" w:rsidP="00195539">
      <w:pPr>
        <w:rPr>
          <w:rFonts w:ascii="Times New Roman" w:hAnsi="Times New Roman" w:cs="Times New Roman"/>
          <w:color w:val="000000" w:themeColor="text1"/>
          <w:sz w:val="16"/>
          <w:szCs w:val="16"/>
        </w:rPr>
        <w:sectPr w:rsidR="00195539" w:rsidRPr="00A13532" w:rsidSect="00195539">
          <w:pgSz w:w="11906" w:h="16838"/>
          <w:pgMar w:top="720" w:right="720" w:bottom="720" w:left="720" w:header="851" w:footer="992" w:gutter="0"/>
          <w:lnNumType w:countBy="1" w:restart="continuous"/>
          <w:cols w:space="425"/>
          <w:docGrid w:type="lines" w:linePitch="312"/>
        </w:sectPr>
      </w:pPr>
      <w:r w:rsidRPr="00A1353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Notes: </w:t>
      </w:r>
      <w:r w:rsidRPr="00A13532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w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ood </w:t>
      </w:r>
      <w:r w:rsidRPr="00A13532">
        <w:rPr>
          <w:rFonts w:ascii="Times New Roman" w:eastAsia="等线" w:hAnsi="Times New Roman" w:cs="Times New Roman"/>
          <w:color w:val="000000" w:themeColor="text1"/>
          <w:kern w:val="0"/>
          <w:sz w:val="16"/>
          <w:szCs w:val="16"/>
        </w:rPr>
        <w:t xml:space="preserve">anatomical </w:t>
      </w:r>
      <w:r w:rsidRPr="00A13532">
        <w:rPr>
          <w:rFonts w:ascii="Times New Roman" w:eastAsia="等线" w:hAnsi="Times New Roman" w:cs="Times New Roman" w:hint="eastAsia"/>
          <w:color w:val="000000" w:themeColor="text1"/>
          <w:kern w:val="0"/>
          <w:sz w:val="16"/>
          <w:szCs w:val="16"/>
        </w:rPr>
        <w:t>trait</w:t>
      </w:r>
      <w:r w:rsidRPr="00A13532">
        <w:rPr>
          <w:rFonts w:ascii="Times New Roman" w:eastAsia="等线" w:hAnsi="Times New Roman" w:cs="Times New Roman"/>
          <w:color w:val="000000" w:themeColor="text1"/>
          <w:kern w:val="0"/>
          <w:sz w:val="16"/>
          <w:szCs w:val="16"/>
        </w:rPr>
        <w:t>s: w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all-to-lumen ratio of earlywood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 xml:space="preserve"> (EWW_L); 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wall-to-lumen ratio of latewood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 xml:space="preserve"> (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LWW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_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L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);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tracheid length of earlywood (EWFL), tracheid length of latewood (LWFL), length-to-width of earlywood 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tracheid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(EWFL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_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W), length-to-width of latewood 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tracheid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(LWFL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_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W), tracheid width of earlywood (EWFW), tracheid width of latewood (LWFW), microfibril angle of earlywood (EMAF), microfibril angle of latewood (LMAF), latewood proportion (LWP), 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 xml:space="preserve">and 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wood basic density (BD).</w:t>
      </w:r>
    </w:p>
    <w:bookmarkEnd w:id="0"/>
    <w:p w14:paraId="03127CF6" w14:textId="77777777" w:rsidR="00195539" w:rsidRPr="00A13532" w:rsidRDefault="00195539" w:rsidP="00195539">
      <w:pPr>
        <w:spacing w:line="480" w:lineRule="auto"/>
        <w:rPr>
          <w:rFonts w:ascii="Times New Roman" w:eastAsia="等线" w:hAnsi="Times New Roman" w:cs="Times New Roman"/>
          <w:i/>
          <w:iCs/>
          <w:color w:val="000000" w:themeColor="text1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8"/>
        </w:rPr>
        <w:lastRenderedPageBreak/>
        <w:t>Table S2</w:t>
      </w:r>
      <w:r w:rsidRPr="00A13532">
        <w:rPr>
          <w:rFonts w:ascii="Times New Roman" w:hAnsi="Times New Roman" w:cs="Times New Roman" w:hint="eastAsia"/>
          <w:b/>
          <w:bCs/>
          <w:color w:val="000000" w:themeColor="text1"/>
          <w:sz w:val="15"/>
          <w:szCs w:val="15"/>
        </w:rPr>
        <w:t xml:space="preserve"> </w:t>
      </w:r>
      <w:r w:rsidRPr="00A13532">
        <w:rPr>
          <w:rFonts w:ascii="Times New Roman" w:eastAsia="等线" w:hAnsi="Times New Roman" w:cs="Times New Roman"/>
          <w:color w:val="000000" w:themeColor="text1"/>
          <w:kern w:val="0"/>
          <w:sz w:val="18"/>
          <w:szCs w:val="18"/>
        </w:rPr>
        <w:t xml:space="preserve">Pearson correlation between wood traits of age 5, 9, 13 and growth curve parameters </w:t>
      </w:r>
      <w:r w:rsidRPr="00A13532">
        <w:rPr>
          <w:rFonts w:ascii="Times New Roman" w:eastAsia="等线" w:hAnsi="Times New Roman" w:cs="Times New Roman" w:hint="eastAsia"/>
          <w:color w:val="000000" w:themeColor="text1"/>
          <w:kern w:val="0"/>
          <w:sz w:val="18"/>
          <w:szCs w:val="18"/>
        </w:rPr>
        <w:t>in</w:t>
      </w:r>
      <w:r w:rsidRPr="00A13532">
        <w:rPr>
          <w:rFonts w:ascii="Times New Roman" w:eastAsia="等线" w:hAnsi="Times New Roman" w:cs="Times New Roman"/>
          <w:color w:val="000000" w:themeColor="text1"/>
          <w:kern w:val="0"/>
          <w:sz w:val="18"/>
          <w:szCs w:val="18"/>
        </w:rPr>
        <w:t xml:space="preserve"> </w:t>
      </w:r>
      <w:r w:rsidRPr="00A13532">
        <w:rPr>
          <w:rFonts w:ascii="Times New Roman" w:eastAsia="等线" w:hAnsi="Times New Roman" w:cs="Times New Roman"/>
          <w:i/>
          <w:iCs/>
          <w:color w:val="000000" w:themeColor="text1"/>
          <w:kern w:val="0"/>
          <w:sz w:val="18"/>
          <w:szCs w:val="18"/>
        </w:rPr>
        <w:t xml:space="preserve">Larix </w:t>
      </w:r>
      <w:proofErr w:type="spellStart"/>
      <w:r w:rsidRPr="00A13532">
        <w:rPr>
          <w:rFonts w:ascii="Times New Roman" w:eastAsia="等线" w:hAnsi="Times New Roman" w:cs="Times New Roman"/>
          <w:i/>
          <w:iCs/>
          <w:color w:val="000000" w:themeColor="text1"/>
          <w:kern w:val="0"/>
          <w:sz w:val="18"/>
          <w:szCs w:val="18"/>
        </w:rPr>
        <w:t>kaempferi</w:t>
      </w:r>
      <w:proofErr w:type="spellEnd"/>
    </w:p>
    <w:tbl>
      <w:tblPr>
        <w:tblW w:w="5299" w:type="dxa"/>
        <w:tblLayout w:type="fixed"/>
        <w:tblLook w:val="04A0" w:firstRow="1" w:lastRow="0" w:firstColumn="1" w:lastColumn="0" w:noHBand="0" w:noVBand="1"/>
      </w:tblPr>
      <w:tblGrid>
        <w:gridCol w:w="1276"/>
        <w:gridCol w:w="640"/>
        <w:gridCol w:w="690"/>
        <w:gridCol w:w="625"/>
        <w:gridCol w:w="640"/>
        <w:gridCol w:w="720"/>
        <w:gridCol w:w="708"/>
      </w:tblGrid>
      <w:tr w:rsidR="00195539" w:rsidRPr="00A13532" w14:paraId="233F2E9B" w14:textId="77777777" w:rsidTr="0053021E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750A3B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BA6503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A1353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HGTa</w:t>
            </w:r>
            <w:proofErr w:type="spellEnd"/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6614F7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A1353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HGTr</w:t>
            </w:r>
            <w:proofErr w:type="spellEnd"/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E3336B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A1353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HGTb</w:t>
            </w:r>
            <w:proofErr w:type="spellEnd"/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DC6EF2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A1353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DBHa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3D2BCB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A1353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DBHr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69E556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A1353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DBHb</w:t>
            </w:r>
            <w:proofErr w:type="spellEnd"/>
          </w:p>
        </w:tc>
      </w:tr>
      <w:tr w:rsidR="00195539" w:rsidRPr="00A13532" w14:paraId="25ABC6F2" w14:textId="77777777" w:rsidTr="0053021E">
        <w:trPr>
          <w:trHeight w:val="285"/>
        </w:trPr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B02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EWW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L5</w:t>
            </w: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1725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CAA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282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0.18*</w:t>
            </w: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746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256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D0C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</w:tc>
      </w:tr>
      <w:tr w:rsidR="00195539" w:rsidRPr="00A13532" w14:paraId="59B850C3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005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EWW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D07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650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9F8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AE2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D8F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C69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-0.02 </w:t>
            </w:r>
          </w:p>
        </w:tc>
      </w:tr>
      <w:tr w:rsidR="00195539" w:rsidRPr="00A13532" w14:paraId="57F3C6BF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F298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EWW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EA1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0.24*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D59D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-0.20*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57F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3D8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309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0FA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-0.06 </w:t>
            </w:r>
          </w:p>
        </w:tc>
      </w:tr>
      <w:tr w:rsidR="00195539" w:rsidRPr="00A13532" w14:paraId="30D68E3E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6CF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LWW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43C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44F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AF5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B27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3D7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08C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-0.03 </w:t>
            </w:r>
          </w:p>
        </w:tc>
      </w:tr>
      <w:tr w:rsidR="00195539" w:rsidRPr="00A13532" w14:paraId="2FB9A5B3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BE5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LWW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AC9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-0.18*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751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0.20*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225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-0.05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35E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276E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33E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</w:tr>
      <w:tr w:rsidR="00195539" w:rsidRPr="00A13532" w14:paraId="63E64DC2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8A0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LWW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619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C92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-0.10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C8F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7A5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0.20*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FD3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-0.30*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8F6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-0.07 </w:t>
            </w:r>
          </w:p>
        </w:tc>
      </w:tr>
      <w:tr w:rsidR="00195539" w:rsidRPr="00A13532" w14:paraId="63342371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FD4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FCB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0.34*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C37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-0.27*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3F1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0.17*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152E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0.18*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5F0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6E9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-0.30*</w:t>
            </w:r>
          </w:p>
        </w:tc>
      </w:tr>
      <w:tr w:rsidR="00195539" w:rsidRPr="00A13532" w14:paraId="2EE21A8D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93A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FD5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0.26*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7E0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-0.21*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909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8D4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0.23*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CA6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EE7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-0.36* </w:t>
            </w:r>
          </w:p>
        </w:tc>
      </w:tr>
      <w:tr w:rsidR="00195539" w:rsidRPr="00A13532" w14:paraId="20A955DF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1613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BA4E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0.23*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A3B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-0.15*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5CE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DC7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619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5166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-0.29* </w:t>
            </w:r>
          </w:p>
        </w:tc>
      </w:tr>
      <w:tr w:rsidR="00195539" w:rsidRPr="00A13532" w14:paraId="1F554F83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076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E25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0.38*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476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-0.36*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168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5BD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0.26*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FBC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1BD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-0.20* </w:t>
            </w:r>
          </w:p>
        </w:tc>
      </w:tr>
      <w:tr w:rsidR="00195539" w:rsidRPr="00A13532" w14:paraId="62A11708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109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F71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0.31*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96C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-0.31*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630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A3A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0.32*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B41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338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-0.27* </w:t>
            </w:r>
          </w:p>
        </w:tc>
      </w:tr>
      <w:tr w:rsidR="00195539" w:rsidRPr="00A13532" w14:paraId="2562F602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D841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6B2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0.32*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5F8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-0.28*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E6F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DC1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0.39*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0F7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144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-0.23* </w:t>
            </w:r>
          </w:p>
        </w:tc>
      </w:tr>
      <w:tr w:rsidR="00195539" w:rsidRPr="00A13532" w14:paraId="3980AFFD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7B1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EWFW5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50A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0.20*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917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-0.20*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A0E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DF9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0.36*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3D0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-0.19*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36F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-0.14 </w:t>
            </w:r>
          </w:p>
        </w:tc>
      </w:tr>
      <w:tr w:rsidR="00195539" w:rsidRPr="00A13532" w14:paraId="6A8BC28B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611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EWFW9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839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0.17*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7E8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295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7A5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0.42*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55D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165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-0.03 </w:t>
            </w:r>
          </w:p>
        </w:tc>
      </w:tr>
      <w:tr w:rsidR="00195539" w:rsidRPr="00A13532" w14:paraId="1805A53D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334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EWFW13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EA0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0.21*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1A6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-0.15*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F2E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AAC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0.48*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9CF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6F3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</w:tr>
      <w:tr w:rsidR="00195539" w:rsidRPr="00A13532" w14:paraId="7E955361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C0F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LWFW5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B41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3B0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-0.05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8A1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E12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BF8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605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0.08 </w:t>
            </w:r>
          </w:p>
        </w:tc>
      </w:tr>
      <w:tr w:rsidR="00195539" w:rsidRPr="00A13532" w14:paraId="1B5100E8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A5A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LWFW9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C36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D23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428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FD0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7E7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3FF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0.06 </w:t>
            </w:r>
          </w:p>
        </w:tc>
      </w:tr>
      <w:tr w:rsidR="00195539" w:rsidRPr="00A13532" w14:paraId="4771E166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7D8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LWFW13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753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A7C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5420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1E97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0.15*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6B6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261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0.02 </w:t>
            </w:r>
          </w:p>
        </w:tc>
      </w:tr>
      <w:tr w:rsidR="00195539" w:rsidRPr="00A13532" w14:paraId="7AE7102F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E3F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W5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5EE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BEC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6E0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0.21*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DA9B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44B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51E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-0.13 </w:t>
            </w:r>
          </w:p>
        </w:tc>
      </w:tr>
      <w:tr w:rsidR="00195539" w:rsidRPr="00A13532" w14:paraId="6939C259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C70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W9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E77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540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-0.10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CF2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0.15*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0F4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403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254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-0.28* </w:t>
            </w:r>
          </w:p>
        </w:tc>
      </w:tr>
      <w:tr w:rsidR="00195539" w:rsidRPr="00A13532" w14:paraId="52AE1CCB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BAF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EWFL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W13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0EB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4CE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-0.02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21BE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0.19*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634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-0.24*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5AC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892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-0.21* </w:t>
            </w:r>
          </w:p>
        </w:tc>
      </w:tr>
      <w:tr w:rsidR="00195539" w:rsidRPr="00A13532" w14:paraId="735CCB00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751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W5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731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EA9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-0.05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33CE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586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DDA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1E8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0.08 </w:t>
            </w:r>
          </w:p>
        </w:tc>
      </w:tr>
      <w:tr w:rsidR="00195539" w:rsidRPr="00A13532" w14:paraId="30F863E6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B46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W9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124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0.19*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605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-0.17*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E45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57F3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5CF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20F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-0.22* </w:t>
            </w:r>
          </w:p>
        </w:tc>
      </w:tr>
      <w:tr w:rsidR="00195539" w:rsidRPr="00A13532" w14:paraId="6CE54BC4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4E2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LWFL</w:t>
            </w:r>
            <w:r w:rsidRPr="00A13532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_</w:t>
            </w: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W13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726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0.21*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CEC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-0.17*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AD2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D39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A464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F60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-0.15* </w:t>
            </w:r>
          </w:p>
        </w:tc>
      </w:tr>
      <w:tr w:rsidR="00195539" w:rsidRPr="00A13532" w14:paraId="4ED997EC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A26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EWMA5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269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A0B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-0.02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2E6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1BA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117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B46D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0.13 </w:t>
            </w:r>
          </w:p>
        </w:tc>
      </w:tr>
      <w:tr w:rsidR="00195539" w:rsidRPr="00A13532" w14:paraId="7F5FC1BC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0F4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EWMA9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E8C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761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A78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997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9B4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21A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0.24* </w:t>
            </w:r>
          </w:p>
        </w:tc>
      </w:tr>
      <w:tr w:rsidR="00195539" w:rsidRPr="00A13532" w14:paraId="7B494C50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4C0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EWMA13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40D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B28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BBE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BAF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BAB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FDF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0.26* </w:t>
            </w:r>
          </w:p>
        </w:tc>
      </w:tr>
      <w:tr w:rsidR="00195539" w:rsidRPr="00A13532" w14:paraId="6FEFE385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99D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LWMA5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966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464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457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D65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B795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840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0.12 </w:t>
            </w:r>
          </w:p>
        </w:tc>
      </w:tr>
      <w:tr w:rsidR="00195539" w:rsidRPr="00A13532" w14:paraId="1A802F44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637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LWMA9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D47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484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A9B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FC5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8EA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BE2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</w:tr>
      <w:tr w:rsidR="00195539" w:rsidRPr="00A13532" w14:paraId="2AF66289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026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LWMA13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9DF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-0.15*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A19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FDE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CE9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C6A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02C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0.16* </w:t>
            </w:r>
          </w:p>
        </w:tc>
      </w:tr>
      <w:tr w:rsidR="00195539" w:rsidRPr="00A13532" w14:paraId="32A44683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FE4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LWP5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DCB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2A6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4CF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C65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ADD0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600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0.00 </w:t>
            </w:r>
          </w:p>
        </w:tc>
      </w:tr>
      <w:tr w:rsidR="00195539" w:rsidRPr="00A13532" w14:paraId="0906327F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D22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LWP9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FADB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663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94BB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7FB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68FE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C3F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-0.02 </w:t>
            </w:r>
          </w:p>
        </w:tc>
      </w:tr>
      <w:tr w:rsidR="00195539" w:rsidRPr="00A13532" w14:paraId="026C1317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F73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LWP13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0B5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F27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FF5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A29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3E5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68F3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-0.03 </w:t>
            </w:r>
          </w:p>
        </w:tc>
      </w:tr>
      <w:tr w:rsidR="00195539" w:rsidRPr="00A13532" w14:paraId="2777E7C6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178D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BD5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5268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-0.20*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1E79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0.20*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CD1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548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-0.15*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133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F497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0.05 </w:t>
            </w:r>
          </w:p>
        </w:tc>
      </w:tr>
      <w:tr w:rsidR="00195539" w:rsidRPr="00A13532" w14:paraId="2C42B822" w14:textId="77777777" w:rsidTr="0053021E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6322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BD9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F5C8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B8B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4EF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DB39F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BCB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-0.20*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BBA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-0.03 </w:t>
            </w:r>
          </w:p>
        </w:tc>
      </w:tr>
      <w:tr w:rsidR="00195539" w:rsidRPr="00A13532" w14:paraId="2A7A976C" w14:textId="77777777" w:rsidTr="0053021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69EA840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BD13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FA9660E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0BD19E1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1968AB4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753FD8C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C32C74A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-0.25*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3143D26" w14:textId="77777777" w:rsidR="00195539" w:rsidRPr="00A13532" w:rsidRDefault="00195539" w:rsidP="001955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1353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-0.09 </w:t>
            </w:r>
          </w:p>
        </w:tc>
      </w:tr>
    </w:tbl>
    <w:p w14:paraId="3C0FE20D" w14:textId="77777777" w:rsidR="00195539" w:rsidRPr="00E65F00" w:rsidRDefault="00195539" w:rsidP="0019553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Notes: * </w:t>
      </w:r>
      <w:r w:rsidRPr="00A13532">
        <w:rPr>
          <w:rFonts w:ascii="Times New Roman" w:hAnsi="Times New Roman" w:cs="Times New Roman" w:hint="eastAsia"/>
          <w:i/>
          <w:iCs/>
          <w:color w:val="000000" w:themeColor="text1"/>
          <w:sz w:val="15"/>
          <w:szCs w:val="15"/>
        </w:rPr>
        <w:t>p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&lt; 0.05. 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W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ood traits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: w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all-to-lumen ratio of earlywood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 xml:space="preserve"> (EWW_L); 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wall-to-lumen ratio of latewood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 xml:space="preserve"> (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LWW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_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L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);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tracheid length of earlywood (EWFL), tracheid length of latewood (LWFL), length-to-width of earlywood 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tracheid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(EWFL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_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W), length-to-width of latewood </w:t>
      </w:r>
      <w:r w:rsidRPr="00A13532">
        <w:rPr>
          <w:rFonts w:ascii="Times New Roman" w:hAnsi="Times New Roman" w:cs="Times New Roman" w:hint="eastAsia"/>
          <w:color w:val="000000" w:themeColor="text1"/>
          <w:sz w:val="15"/>
          <w:szCs w:val="15"/>
        </w:rPr>
        <w:t>tracheid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(LWFL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_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W), tracheid width of earlywood (EWFW), tracheid width of latewood (LWFW), microfibril angle of earlywood (EMAF), microfibril angle of latewood (LMAF), latewood proportion (LWP), 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 xml:space="preserve">and 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wood basic density (BD). </w:t>
      </w:r>
      <w:proofErr w:type="spellStart"/>
      <w:r w:rsidRPr="00A13532">
        <w:rPr>
          <w:rFonts w:ascii="Times New Roman" w:hAnsi="Times New Roman" w:cs="Times New Roman"/>
          <w:i/>
          <w:iCs/>
          <w:color w:val="000000" w:themeColor="text1"/>
          <w:sz w:val="15"/>
          <w:szCs w:val="15"/>
        </w:rPr>
        <w:t>HGTa</w:t>
      </w:r>
      <w:proofErr w:type="spellEnd"/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, maximum value of height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;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proofErr w:type="spellStart"/>
      <w:r w:rsidRPr="00A13532">
        <w:rPr>
          <w:rFonts w:ascii="Times New Roman" w:hAnsi="Times New Roman" w:cs="Times New Roman"/>
          <w:i/>
          <w:iCs/>
          <w:color w:val="000000" w:themeColor="text1"/>
          <w:sz w:val="15"/>
          <w:szCs w:val="15"/>
        </w:rPr>
        <w:t>HGTr</w:t>
      </w:r>
      <w:proofErr w:type="spellEnd"/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, relative growth rate of height; </w:t>
      </w:r>
      <w:proofErr w:type="spellStart"/>
      <w:r w:rsidRPr="00A13532">
        <w:rPr>
          <w:rFonts w:ascii="Times New Roman" w:hAnsi="Times New Roman" w:cs="Times New Roman"/>
          <w:i/>
          <w:iCs/>
          <w:color w:val="000000" w:themeColor="text1"/>
          <w:sz w:val="15"/>
          <w:szCs w:val="15"/>
        </w:rPr>
        <w:t>HGTb</w:t>
      </w:r>
      <w:proofErr w:type="spellEnd"/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, initial growth parameter of tree height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;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proofErr w:type="spellStart"/>
      <w:r w:rsidRPr="00A13532">
        <w:rPr>
          <w:rFonts w:ascii="Times New Roman" w:hAnsi="Times New Roman" w:cs="Times New Roman"/>
          <w:i/>
          <w:iCs/>
          <w:color w:val="000000" w:themeColor="text1"/>
          <w:sz w:val="15"/>
          <w:szCs w:val="15"/>
        </w:rPr>
        <w:t>DBHa</w:t>
      </w:r>
      <w:proofErr w:type="spellEnd"/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, maximum value of diameter at breast height</w:t>
      </w:r>
      <w:r w:rsidRPr="00A13532">
        <w:rPr>
          <w:rFonts w:ascii="Times New Roman" w:eastAsia="等线" w:hAnsi="Times New Roman" w:cs="Times New Roman"/>
          <w:color w:val="000000" w:themeColor="text1"/>
          <w:sz w:val="15"/>
          <w:szCs w:val="15"/>
        </w:rPr>
        <w:t>;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</w:t>
      </w:r>
      <w:proofErr w:type="spellStart"/>
      <w:r w:rsidRPr="00A13532">
        <w:rPr>
          <w:rFonts w:ascii="Times New Roman" w:hAnsi="Times New Roman" w:cs="Times New Roman"/>
          <w:i/>
          <w:iCs/>
          <w:color w:val="000000" w:themeColor="text1"/>
          <w:sz w:val="15"/>
          <w:szCs w:val="15"/>
        </w:rPr>
        <w:t>DBHr</w:t>
      </w:r>
      <w:proofErr w:type="spellEnd"/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, </w:t>
      </w:r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lastRenderedPageBreak/>
        <w:t xml:space="preserve">relative growth rate of diameter at breast height; </w:t>
      </w:r>
      <w:proofErr w:type="spellStart"/>
      <w:r w:rsidRPr="00A13532">
        <w:rPr>
          <w:rFonts w:ascii="Times New Roman" w:hAnsi="Times New Roman" w:cs="Times New Roman"/>
          <w:i/>
          <w:iCs/>
          <w:color w:val="000000" w:themeColor="text1"/>
          <w:sz w:val="15"/>
          <w:szCs w:val="15"/>
        </w:rPr>
        <w:t>DBHb</w:t>
      </w:r>
      <w:proofErr w:type="spellEnd"/>
      <w:r w:rsidRPr="00A13532">
        <w:rPr>
          <w:rFonts w:ascii="Times New Roman" w:hAnsi="Times New Roman" w:cs="Times New Roman"/>
          <w:color w:val="000000" w:themeColor="text1"/>
          <w:sz w:val="15"/>
          <w:szCs w:val="15"/>
        </w:rPr>
        <w:t>, initial growth parameter of diameter at breast height</w:t>
      </w:r>
    </w:p>
    <w:p w14:paraId="54368F65" w14:textId="77777777" w:rsidR="00815B3B" w:rsidRPr="00195539" w:rsidRDefault="00815B3B">
      <w:pPr>
        <w:rPr>
          <w:rFonts w:hint="eastAsia"/>
        </w:rPr>
      </w:pPr>
    </w:p>
    <w:sectPr w:rsidR="00815B3B" w:rsidRPr="0019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9"/>
    <w:rsid w:val="00145AB5"/>
    <w:rsid w:val="00195539"/>
    <w:rsid w:val="005D437A"/>
    <w:rsid w:val="00815B3B"/>
    <w:rsid w:val="009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CFF5"/>
  <w15:chartTrackingRefBased/>
  <w15:docId w15:val="{466E468B-004B-49D0-AA06-AFB2C8F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5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5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5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5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5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5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5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5539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19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114</Lines>
  <Paragraphs>98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雅琳 张</dc:creator>
  <cp:keywords/>
  <dc:description/>
  <cp:lastModifiedBy>雅琳 张</cp:lastModifiedBy>
  <cp:revision>2</cp:revision>
  <dcterms:created xsi:type="dcterms:W3CDTF">2025-04-29T09:21:00Z</dcterms:created>
  <dcterms:modified xsi:type="dcterms:W3CDTF">2025-04-29T09:22:00Z</dcterms:modified>
</cp:coreProperties>
</file>