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EED871" w14:textId="77777777" w:rsidR="0005575D" w:rsidRPr="00CB66D6" w:rsidRDefault="0005575D" w:rsidP="0005575D">
      <w:pPr>
        <w:pStyle w:val="Heading1"/>
        <w:rPr>
          <w:rFonts w:ascii="Times New Roman" w:hAnsi="Times New Roman" w:cs="Times New Roman"/>
          <w:color w:val="auto"/>
          <w:sz w:val="24"/>
          <w:szCs w:val="24"/>
        </w:rPr>
      </w:pPr>
      <w:r w:rsidRPr="00CB66D6">
        <w:rPr>
          <w:rFonts w:ascii="Times New Roman" w:hAnsi="Times New Roman" w:cs="Times New Roman"/>
          <w:color w:val="auto"/>
          <w:sz w:val="24"/>
          <w:szCs w:val="24"/>
        </w:rPr>
        <w:t>Table 1: Risk of Bias assessment using the JBI</w:t>
      </w:r>
    </w:p>
    <w:p w14:paraId="2AF21F8C" w14:textId="77777777" w:rsidR="0005575D" w:rsidRDefault="0005575D" w:rsidP="0005575D">
      <w:pPr>
        <w:rPr>
          <w:rFonts w:cs="Times New Roman"/>
        </w:rPr>
      </w:pPr>
    </w:p>
    <w:tbl>
      <w:tblPr>
        <w:tblStyle w:val="TableGrid"/>
        <w:tblW w:w="11390" w:type="dxa"/>
        <w:tblLook w:val="04A0" w:firstRow="1" w:lastRow="0" w:firstColumn="1" w:lastColumn="0" w:noHBand="0" w:noVBand="1"/>
      </w:tblPr>
      <w:tblGrid>
        <w:gridCol w:w="1494"/>
        <w:gridCol w:w="1649"/>
        <w:gridCol w:w="1361"/>
        <w:gridCol w:w="1172"/>
        <w:gridCol w:w="1360"/>
        <w:gridCol w:w="1183"/>
        <w:gridCol w:w="1311"/>
        <w:gridCol w:w="1255"/>
        <w:gridCol w:w="2155"/>
        <w:gridCol w:w="1283"/>
        <w:gridCol w:w="1083"/>
      </w:tblGrid>
      <w:tr w:rsidR="0005575D" w14:paraId="56C5DC3E" w14:textId="77777777" w:rsidTr="00676D57">
        <w:tc>
          <w:tcPr>
            <w:tcW w:w="945" w:type="dxa"/>
          </w:tcPr>
          <w:p w14:paraId="25B1160D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15B0CFD9">
              <w:rPr>
                <w:rFonts w:eastAsia="Times New Roman" w:cs="Times New Roman"/>
                <w:sz w:val="20"/>
                <w:szCs w:val="20"/>
              </w:rPr>
              <w:t>Author</w:t>
            </w:r>
          </w:p>
        </w:tc>
        <w:tc>
          <w:tcPr>
            <w:tcW w:w="795" w:type="dxa"/>
          </w:tcPr>
          <w:p w14:paraId="15A7C28C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15B0CFD9">
              <w:rPr>
                <w:rFonts w:eastAsia="Times New Roman" w:cs="Times New Roman"/>
                <w:sz w:val="20"/>
                <w:szCs w:val="20"/>
              </w:rPr>
              <w:t>Q1</w:t>
            </w:r>
          </w:p>
        </w:tc>
        <w:tc>
          <w:tcPr>
            <w:tcW w:w="885" w:type="dxa"/>
          </w:tcPr>
          <w:p w14:paraId="5FDF35D2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15B0CFD9">
              <w:rPr>
                <w:rFonts w:eastAsia="Times New Roman" w:cs="Times New Roman"/>
                <w:sz w:val="20"/>
                <w:szCs w:val="20"/>
              </w:rPr>
              <w:t>Q2</w:t>
            </w:r>
          </w:p>
        </w:tc>
        <w:tc>
          <w:tcPr>
            <w:tcW w:w="885" w:type="dxa"/>
          </w:tcPr>
          <w:p w14:paraId="1120A5A3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15B0CFD9">
              <w:rPr>
                <w:rFonts w:eastAsia="Times New Roman" w:cs="Times New Roman"/>
                <w:sz w:val="20"/>
                <w:szCs w:val="20"/>
              </w:rPr>
              <w:t>Q3</w:t>
            </w:r>
          </w:p>
        </w:tc>
        <w:tc>
          <w:tcPr>
            <w:tcW w:w="900" w:type="dxa"/>
          </w:tcPr>
          <w:p w14:paraId="2C7F2AB8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15B0CFD9">
              <w:rPr>
                <w:rFonts w:eastAsia="Times New Roman" w:cs="Times New Roman"/>
                <w:sz w:val="20"/>
                <w:szCs w:val="20"/>
              </w:rPr>
              <w:t>Q4</w:t>
            </w:r>
          </w:p>
        </w:tc>
        <w:tc>
          <w:tcPr>
            <w:tcW w:w="915" w:type="dxa"/>
          </w:tcPr>
          <w:p w14:paraId="259699C8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15B0CFD9">
              <w:rPr>
                <w:rFonts w:eastAsia="Times New Roman" w:cs="Times New Roman"/>
                <w:sz w:val="20"/>
                <w:szCs w:val="20"/>
              </w:rPr>
              <w:t>Q5</w:t>
            </w:r>
          </w:p>
        </w:tc>
        <w:tc>
          <w:tcPr>
            <w:tcW w:w="1020" w:type="dxa"/>
          </w:tcPr>
          <w:p w14:paraId="1D964555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15B0CFD9">
              <w:rPr>
                <w:rFonts w:eastAsia="Times New Roman" w:cs="Times New Roman"/>
                <w:sz w:val="20"/>
                <w:szCs w:val="20"/>
              </w:rPr>
              <w:t>Q6</w:t>
            </w:r>
          </w:p>
        </w:tc>
        <w:tc>
          <w:tcPr>
            <w:tcW w:w="1080" w:type="dxa"/>
          </w:tcPr>
          <w:p w14:paraId="28EE7FC8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15B0CFD9">
              <w:rPr>
                <w:rFonts w:eastAsia="Times New Roman" w:cs="Times New Roman"/>
                <w:sz w:val="20"/>
                <w:szCs w:val="20"/>
              </w:rPr>
              <w:t>Q7</w:t>
            </w:r>
          </w:p>
        </w:tc>
        <w:tc>
          <w:tcPr>
            <w:tcW w:w="1245" w:type="dxa"/>
          </w:tcPr>
          <w:p w14:paraId="60A8F472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15B0CFD9">
              <w:rPr>
                <w:rFonts w:eastAsia="Times New Roman" w:cs="Times New Roman"/>
                <w:sz w:val="20"/>
                <w:szCs w:val="20"/>
              </w:rPr>
              <w:t>Q8</w:t>
            </w:r>
          </w:p>
        </w:tc>
        <w:tc>
          <w:tcPr>
            <w:tcW w:w="1250" w:type="dxa"/>
          </w:tcPr>
          <w:p w14:paraId="4CB69C9E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15B0CFD9">
              <w:rPr>
                <w:rFonts w:eastAsia="Times New Roman" w:cs="Times New Roman"/>
                <w:sz w:val="20"/>
                <w:szCs w:val="20"/>
              </w:rPr>
              <w:t>Q9</w:t>
            </w:r>
          </w:p>
        </w:tc>
        <w:tc>
          <w:tcPr>
            <w:tcW w:w="1470" w:type="dxa"/>
          </w:tcPr>
          <w:p w14:paraId="14A3461F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15B0CFD9">
              <w:rPr>
                <w:rFonts w:eastAsia="Times New Roman" w:cs="Times New Roman"/>
                <w:sz w:val="20"/>
                <w:szCs w:val="20"/>
              </w:rPr>
              <w:t>Overall Judgement</w:t>
            </w:r>
          </w:p>
        </w:tc>
      </w:tr>
      <w:tr w:rsidR="0005575D" w14:paraId="0A6C0FBB" w14:textId="77777777" w:rsidTr="00676D57">
        <w:tc>
          <w:tcPr>
            <w:tcW w:w="945" w:type="dxa"/>
          </w:tcPr>
          <w:p w14:paraId="7F9F0D36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15B0CFD9">
              <w:rPr>
                <w:rFonts w:eastAsia="Times New Roman" w:cs="Times New Roman"/>
                <w:sz w:val="20"/>
                <w:szCs w:val="20"/>
              </w:rPr>
              <w:t>Healy et al.</w:t>
            </w:r>
            <w:r w:rsidRPr="006854DF">
              <w:rPr>
                <w:rFonts w:eastAsia="Times New Roman" w:cs="Times New Roman"/>
                <w:sz w:val="20"/>
                <w:szCs w:val="20"/>
                <w:vertAlign w:val="superscript"/>
              </w:rPr>
              <w:t>14</w:t>
            </w:r>
          </w:p>
        </w:tc>
        <w:tc>
          <w:tcPr>
            <w:tcW w:w="795" w:type="dxa"/>
          </w:tcPr>
          <w:p w14:paraId="13CAD6E4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15B0CFD9">
              <w:rPr>
                <w:rFonts w:eastAsia="Times New Roman" w:cs="Times New Roman"/>
                <w:sz w:val="20"/>
                <w:szCs w:val="20"/>
              </w:rPr>
              <w:t>Yes, it included a broad cohort of HFpEF patients.</w:t>
            </w:r>
          </w:p>
          <w:p w14:paraId="67A2AF7C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885" w:type="dxa"/>
          </w:tcPr>
          <w:p w14:paraId="67330CE6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15B0CFD9">
              <w:rPr>
                <w:rFonts w:eastAsia="Times New Roman" w:cs="Times New Roman"/>
                <w:sz w:val="20"/>
                <w:szCs w:val="20"/>
              </w:rPr>
              <w:t>Yes, enrollment was prospective and consecutive.</w:t>
            </w:r>
          </w:p>
        </w:tc>
        <w:tc>
          <w:tcPr>
            <w:tcW w:w="885" w:type="dxa"/>
          </w:tcPr>
          <w:p w14:paraId="2C82C021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15B0CFD9">
              <w:rPr>
                <w:rFonts w:eastAsia="Times New Roman" w:cs="Times New Roman"/>
                <w:sz w:val="20"/>
                <w:szCs w:val="20"/>
              </w:rPr>
              <w:t>Unclear, no specific sample size justification was provided.</w:t>
            </w:r>
          </w:p>
        </w:tc>
        <w:tc>
          <w:tcPr>
            <w:tcW w:w="900" w:type="dxa"/>
          </w:tcPr>
          <w:p w14:paraId="2F116D08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15B0CFD9">
              <w:rPr>
                <w:rFonts w:eastAsia="Times New Roman" w:cs="Times New Roman"/>
                <w:sz w:val="20"/>
                <w:szCs w:val="20"/>
              </w:rPr>
              <w:t>Yes, baseline characteristics were well described.</w:t>
            </w:r>
          </w:p>
          <w:p w14:paraId="4A90AAD7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</w:p>
          <w:p w14:paraId="2AF6D944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915" w:type="dxa"/>
          </w:tcPr>
          <w:p w14:paraId="5AF9D367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15B0CFD9">
              <w:rPr>
                <w:rFonts w:eastAsia="Times New Roman" w:cs="Times New Roman"/>
                <w:sz w:val="20"/>
                <w:szCs w:val="20"/>
              </w:rPr>
              <w:t>Yes, most of the enrolled patients underwent analysis.</w:t>
            </w:r>
          </w:p>
        </w:tc>
        <w:tc>
          <w:tcPr>
            <w:tcW w:w="1020" w:type="dxa"/>
          </w:tcPr>
          <w:p w14:paraId="3D2FFE1F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15B0CFD9">
              <w:rPr>
                <w:rFonts w:eastAsia="Times New Roman" w:cs="Times New Roman"/>
                <w:sz w:val="20"/>
                <w:szCs w:val="20"/>
              </w:rPr>
              <w:t>Yes, standardized diagnostic criteria were used.</w:t>
            </w:r>
          </w:p>
        </w:tc>
        <w:tc>
          <w:tcPr>
            <w:tcW w:w="1080" w:type="dxa"/>
          </w:tcPr>
          <w:p w14:paraId="7534ADB8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15B0CFD9">
              <w:rPr>
                <w:rFonts w:eastAsia="Times New Roman" w:cs="Times New Roman"/>
                <w:sz w:val="20"/>
                <w:szCs w:val="20"/>
              </w:rPr>
              <w:t>Yes, all patients underwent standardized lab testing and scintigraphy protocols.</w:t>
            </w:r>
          </w:p>
          <w:p w14:paraId="00F97079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1245" w:type="dxa"/>
          </w:tcPr>
          <w:p w14:paraId="7C5C728C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15B0CFD9">
              <w:rPr>
                <w:rFonts w:eastAsia="Times New Roman" w:cs="Times New Roman"/>
                <w:sz w:val="20"/>
                <w:szCs w:val="20"/>
              </w:rPr>
              <w:t>Yes, prevalence was reported with clear numerator/denominator.</w:t>
            </w:r>
          </w:p>
          <w:p w14:paraId="01A36597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1250" w:type="dxa"/>
          </w:tcPr>
          <w:p w14:paraId="747D131D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15B0CFD9">
              <w:rPr>
                <w:rFonts w:eastAsia="Times New Roman" w:cs="Times New Roman"/>
                <w:sz w:val="20"/>
                <w:szCs w:val="20"/>
              </w:rPr>
              <w:t>Yes, the response rate was adequate, with only a minimal number of non-responders, all of whom were clearly reported and appropriately handled in the analysis.</w:t>
            </w:r>
          </w:p>
          <w:p w14:paraId="7D5347C1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1470" w:type="dxa"/>
          </w:tcPr>
          <w:p w14:paraId="7EF4A508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/>
                <w:sz w:val="20"/>
                <w:szCs w:val="20"/>
              </w:rPr>
              <w:t>Low</w:t>
            </w:r>
            <w:r w:rsidRPr="15B0CFD9">
              <w:rPr>
                <w:rFonts w:eastAsia="Times New Roman" w:cs="Times New Roman"/>
                <w:sz w:val="20"/>
                <w:szCs w:val="20"/>
              </w:rPr>
              <w:t xml:space="preserve"> risk of bias.</w:t>
            </w:r>
          </w:p>
        </w:tc>
      </w:tr>
      <w:tr w:rsidR="0005575D" w14:paraId="1C359347" w14:textId="77777777" w:rsidTr="00676D57">
        <w:tc>
          <w:tcPr>
            <w:tcW w:w="945" w:type="dxa"/>
          </w:tcPr>
          <w:p w14:paraId="6EA43B18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15B0CFD9">
              <w:rPr>
                <w:rFonts w:eastAsia="Times New Roman" w:cs="Times New Roman"/>
                <w:color w:val="212121"/>
                <w:sz w:val="20"/>
                <w:szCs w:val="20"/>
              </w:rPr>
              <w:t>García-Pavía et al.</w:t>
            </w:r>
            <w:r w:rsidRPr="006854DF">
              <w:rPr>
                <w:rFonts w:eastAsia="Times New Roman" w:cs="Times New Roman"/>
                <w:sz w:val="20"/>
                <w:szCs w:val="20"/>
                <w:vertAlign w:val="superscript"/>
              </w:rPr>
              <w:t>1</w:t>
            </w:r>
            <w:r>
              <w:rPr>
                <w:rFonts w:eastAsia="Times New Roman" w:cs="Times New Roman"/>
                <w:sz w:val="20"/>
                <w:szCs w:val="20"/>
                <w:vertAlign w:val="superscript"/>
              </w:rPr>
              <w:t>5</w:t>
            </w:r>
          </w:p>
        </w:tc>
        <w:tc>
          <w:tcPr>
            <w:tcW w:w="795" w:type="dxa"/>
          </w:tcPr>
          <w:p w14:paraId="2D7BF078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15B0CFD9">
              <w:rPr>
                <w:rFonts w:eastAsia="Times New Roman" w:cs="Times New Roman"/>
                <w:sz w:val="20"/>
                <w:szCs w:val="20"/>
              </w:rPr>
              <w:t>Yes, it included a broad cohort of HFpEF patients.</w:t>
            </w:r>
          </w:p>
          <w:p w14:paraId="06C5030A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885" w:type="dxa"/>
          </w:tcPr>
          <w:p w14:paraId="4F124922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15B0CFD9">
              <w:rPr>
                <w:rFonts w:eastAsia="Times New Roman" w:cs="Times New Roman"/>
                <w:sz w:val="20"/>
                <w:szCs w:val="20"/>
              </w:rPr>
              <w:t>Yes, enrollment was prospective and consecutive.</w:t>
            </w:r>
          </w:p>
        </w:tc>
        <w:tc>
          <w:tcPr>
            <w:tcW w:w="885" w:type="dxa"/>
          </w:tcPr>
          <w:p w14:paraId="0B8C8787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15B0CFD9">
              <w:rPr>
                <w:rFonts w:eastAsia="Times New Roman" w:cs="Times New Roman"/>
                <w:sz w:val="20"/>
                <w:szCs w:val="20"/>
              </w:rPr>
              <w:t>Unclear, no specific sample size justification was provided. However, the sample size was large (N=387)</w:t>
            </w:r>
          </w:p>
        </w:tc>
        <w:tc>
          <w:tcPr>
            <w:tcW w:w="900" w:type="dxa"/>
          </w:tcPr>
          <w:p w14:paraId="29380848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15B0CFD9">
              <w:rPr>
                <w:rFonts w:eastAsia="Times New Roman" w:cs="Times New Roman"/>
                <w:sz w:val="20"/>
                <w:szCs w:val="20"/>
              </w:rPr>
              <w:t>Yes, baseline characteristics were well described.</w:t>
            </w:r>
          </w:p>
        </w:tc>
        <w:tc>
          <w:tcPr>
            <w:tcW w:w="915" w:type="dxa"/>
          </w:tcPr>
          <w:p w14:paraId="65A27B82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15B0CFD9">
              <w:rPr>
                <w:rFonts w:eastAsia="Times New Roman" w:cs="Times New Roman"/>
                <w:sz w:val="20"/>
                <w:szCs w:val="20"/>
              </w:rPr>
              <w:t>Yes, most of the enrolled patients underwent analysis.</w:t>
            </w:r>
          </w:p>
          <w:p w14:paraId="256923C3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1020" w:type="dxa"/>
          </w:tcPr>
          <w:p w14:paraId="4D8DBB24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15B0CFD9">
              <w:rPr>
                <w:rFonts w:eastAsia="Times New Roman" w:cs="Times New Roman"/>
                <w:sz w:val="20"/>
                <w:szCs w:val="20"/>
              </w:rPr>
              <w:t>Yes, standardized diagnostic criteria were used.</w:t>
            </w:r>
          </w:p>
        </w:tc>
        <w:tc>
          <w:tcPr>
            <w:tcW w:w="1080" w:type="dxa"/>
          </w:tcPr>
          <w:p w14:paraId="515142F9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15B0CFD9">
              <w:rPr>
                <w:rFonts w:eastAsia="Times New Roman" w:cs="Times New Roman"/>
                <w:sz w:val="20"/>
                <w:szCs w:val="20"/>
              </w:rPr>
              <w:t>Yes, all patients underwent standardized lab testing and scintigraphy protocols.</w:t>
            </w:r>
          </w:p>
        </w:tc>
        <w:tc>
          <w:tcPr>
            <w:tcW w:w="1245" w:type="dxa"/>
          </w:tcPr>
          <w:p w14:paraId="35831DB4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15B0CFD9">
              <w:rPr>
                <w:rFonts w:eastAsia="Times New Roman" w:cs="Times New Roman"/>
                <w:sz w:val="20"/>
                <w:szCs w:val="20"/>
              </w:rPr>
              <w:t>Yes, prevalence was reported with clear numerator/denominator.</w:t>
            </w:r>
          </w:p>
        </w:tc>
        <w:tc>
          <w:tcPr>
            <w:tcW w:w="1250" w:type="dxa"/>
          </w:tcPr>
          <w:p w14:paraId="021754AA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15B0CFD9">
              <w:rPr>
                <w:rFonts w:eastAsia="Times New Roman" w:cs="Times New Roman"/>
                <w:sz w:val="20"/>
                <w:szCs w:val="20"/>
              </w:rPr>
              <w:t>Yes, the response rate was adequate, with only a minimal number of non-responders, all of whom were clearly reported and appropriately handled in the analysis.</w:t>
            </w:r>
          </w:p>
          <w:p w14:paraId="5417C22B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1470" w:type="dxa"/>
          </w:tcPr>
          <w:p w14:paraId="2E80BF3F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15B0CFD9">
              <w:rPr>
                <w:rFonts w:eastAsia="Times New Roman" w:cs="Times New Roman"/>
                <w:sz w:val="20"/>
                <w:szCs w:val="20"/>
              </w:rPr>
              <w:t>Low risk of bias.</w:t>
            </w:r>
          </w:p>
        </w:tc>
      </w:tr>
      <w:tr w:rsidR="0005575D" w14:paraId="4C8644E7" w14:textId="77777777" w:rsidTr="00676D57">
        <w:tc>
          <w:tcPr>
            <w:tcW w:w="945" w:type="dxa"/>
          </w:tcPr>
          <w:p w14:paraId="4E5FD7E5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15B0CFD9">
              <w:rPr>
                <w:rFonts w:eastAsia="Times New Roman" w:cs="Times New Roman"/>
                <w:sz w:val="20"/>
                <w:szCs w:val="20"/>
              </w:rPr>
              <w:t>Kim et al.</w:t>
            </w:r>
            <w:r>
              <w:rPr>
                <w:rFonts w:eastAsia="Times New Roman" w:cs="Times New Roman"/>
                <w:sz w:val="20"/>
                <w:szCs w:val="20"/>
                <w:vertAlign w:val="superscript"/>
              </w:rPr>
              <w:t>11</w:t>
            </w:r>
          </w:p>
        </w:tc>
        <w:tc>
          <w:tcPr>
            <w:tcW w:w="795" w:type="dxa"/>
          </w:tcPr>
          <w:p w14:paraId="4DEA4282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15B0CFD9">
              <w:rPr>
                <w:rFonts w:eastAsia="Times New Roman" w:cs="Times New Roman"/>
                <w:sz w:val="20"/>
                <w:szCs w:val="20"/>
              </w:rPr>
              <w:t>Yes, the sample consisted of HF patients undergoing echocardiography and scintigraphy.</w:t>
            </w:r>
          </w:p>
        </w:tc>
        <w:tc>
          <w:tcPr>
            <w:tcW w:w="885" w:type="dxa"/>
          </w:tcPr>
          <w:p w14:paraId="2F0658A8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15B0CFD9">
              <w:rPr>
                <w:rFonts w:eastAsia="Times New Roman" w:cs="Times New Roman"/>
                <w:sz w:val="20"/>
                <w:szCs w:val="20"/>
              </w:rPr>
              <w:t>No, since sampling was retrospective and clinician driven.</w:t>
            </w:r>
          </w:p>
        </w:tc>
        <w:tc>
          <w:tcPr>
            <w:tcW w:w="885" w:type="dxa"/>
          </w:tcPr>
          <w:p w14:paraId="2184004C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15B0CFD9">
              <w:rPr>
                <w:rFonts w:eastAsia="Times New Roman" w:cs="Times New Roman"/>
                <w:sz w:val="20"/>
                <w:szCs w:val="20"/>
              </w:rPr>
              <w:t xml:space="preserve">Unclear, no specific sample size justification was provided. </w:t>
            </w:r>
          </w:p>
        </w:tc>
        <w:tc>
          <w:tcPr>
            <w:tcW w:w="900" w:type="dxa"/>
          </w:tcPr>
          <w:p w14:paraId="600C203A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15B0CFD9">
              <w:rPr>
                <w:rFonts w:eastAsia="Times New Roman" w:cs="Times New Roman"/>
                <w:sz w:val="20"/>
                <w:szCs w:val="20"/>
              </w:rPr>
              <w:t>Yes, baseline characteristics were well described.</w:t>
            </w:r>
          </w:p>
        </w:tc>
        <w:tc>
          <w:tcPr>
            <w:tcW w:w="915" w:type="dxa"/>
          </w:tcPr>
          <w:p w14:paraId="4C3D28E3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15B0CFD9">
              <w:rPr>
                <w:rFonts w:eastAsia="Times New Roman" w:cs="Times New Roman"/>
                <w:sz w:val="20"/>
                <w:szCs w:val="20"/>
              </w:rPr>
              <w:t>Yes, all patients who met the final inclusion criteria were included in the analysis.</w:t>
            </w:r>
          </w:p>
        </w:tc>
        <w:tc>
          <w:tcPr>
            <w:tcW w:w="1020" w:type="dxa"/>
          </w:tcPr>
          <w:p w14:paraId="615661CE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15B0CFD9">
              <w:rPr>
                <w:rFonts w:eastAsia="Times New Roman" w:cs="Times New Roman"/>
                <w:sz w:val="20"/>
                <w:szCs w:val="20"/>
              </w:rPr>
              <w:t>Yes, standardized diagnostic criteria were used.</w:t>
            </w:r>
          </w:p>
        </w:tc>
        <w:tc>
          <w:tcPr>
            <w:tcW w:w="1080" w:type="dxa"/>
          </w:tcPr>
          <w:p w14:paraId="49F317C4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15B0CFD9">
              <w:rPr>
                <w:rFonts w:eastAsia="Times New Roman" w:cs="Times New Roman"/>
                <w:sz w:val="20"/>
                <w:szCs w:val="20"/>
              </w:rPr>
              <w:t>Yes, uniform grading criteria were used for uptake on scintigraphy.</w:t>
            </w:r>
          </w:p>
        </w:tc>
        <w:tc>
          <w:tcPr>
            <w:tcW w:w="1245" w:type="dxa"/>
          </w:tcPr>
          <w:p w14:paraId="0DE3A4AE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15B0CFD9">
              <w:rPr>
                <w:rFonts w:eastAsia="Times New Roman" w:cs="Times New Roman"/>
                <w:sz w:val="20"/>
                <w:szCs w:val="20"/>
              </w:rPr>
              <w:t>Yes, prevalence was reported with clear numerator/denominator.</w:t>
            </w:r>
          </w:p>
        </w:tc>
        <w:tc>
          <w:tcPr>
            <w:tcW w:w="1250" w:type="dxa"/>
          </w:tcPr>
          <w:p w14:paraId="71315EF4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15B0CFD9">
              <w:rPr>
                <w:rFonts w:eastAsia="Times New Roman" w:cs="Times New Roman"/>
                <w:sz w:val="20"/>
                <w:szCs w:val="20"/>
              </w:rPr>
              <w:t>Yes, all eligible patients completed diagnostic assessment.</w:t>
            </w:r>
          </w:p>
        </w:tc>
        <w:tc>
          <w:tcPr>
            <w:tcW w:w="1470" w:type="dxa"/>
          </w:tcPr>
          <w:p w14:paraId="0E14BC3E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15B0CFD9">
              <w:rPr>
                <w:rFonts w:eastAsia="Times New Roman" w:cs="Times New Roman"/>
                <w:sz w:val="20"/>
                <w:szCs w:val="20"/>
              </w:rPr>
              <w:t>Moderate risk of bias.</w:t>
            </w:r>
          </w:p>
        </w:tc>
      </w:tr>
      <w:tr w:rsidR="0005575D" w14:paraId="72366912" w14:textId="77777777" w:rsidTr="00676D57">
        <w:tc>
          <w:tcPr>
            <w:tcW w:w="945" w:type="dxa"/>
          </w:tcPr>
          <w:p w14:paraId="560E3C77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15B0CFD9">
              <w:rPr>
                <w:rFonts w:eastAsia="Times New Roman" w:cs="Times New Roman"/>
                <w:sz w:val="20"/>
                <w:szCs w:val="20"/>
              </w:rPr>
              <w:t>Tubben et al.</w:t>
            </w:r>
            <w:r w:rsidRPr="006854DF">
              <w:rPr>
                <w:rFonts w:eastAsia="Times New Roman" w:cs="Times New Roman"/>
                <w:sz w:val="20"/>
                <w:szCs w:val="20"/>
                <w:vertAlign w:val="superscript"/>
              </w:rPr>
              <w:t>1</w:t>
            </w:r>
            <w:r>
              <w:rPr>
                <w:rFonts w:eastAsia="Times New Roman" w:cs="Times New Roman"/>
                <w:sz w:val="20"/>
                <w:szCs w:val="20"/>
                <w:vertAlign w:val="superscript"/>
              </w:rPr>
              <w:t>6</w:t>
            </w:r>
          </w:p>
        </w:tc>
        <w:tc>
          <w:tcPr>
            <w:tcW w:w="795" w:type="dxa"/>
          </w:tcPr>
          <w:p w14:paraId="7B32864E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15B0CFD9">
              <w:rPr>
                <w:rFonts w:eastAsia="Times New Roman" w:cs="Times New Roman"/>
                <w:sz w:val="20"/>
                <w:szCs w:val="20"/>
              </w:rPr>
              <w:t>Yes, it included a broad cohort of HF patients.</w:t>
            </w:r>
          </w:p>
        </w:tc>
        <w:tc>
          <w:tcPr>
            <w:tcW w:w="885" w:type="dxa"/>
          </w:tcPr>
          <w:p w14:paraId="5C575FD0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15B0CFD9">
              <w:rPr>
                <w:rFonts w:eastAsia="Times New Roman" w:cs="Times New Roman"/>
                <w:sz w:val="20"/>
                <w:szCs w:val="20"/>
              </w:rPr>
              <w:t>Yes, patients were prospectively enrolled.</w:t>
            </w:r>
          </w:p>
        </w:tc>
        <w:tc>
          <w:tcPr>
            <w:tcW w:w="885" w:type="dxa"/>
          </w:tcPr>
          <w:p w14:paraId="1F03839C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15B0CFD9">
              <w:rPr>
                <w:rFonts w:eastAsia="Times New Roman" w:cs="Times New Roman"/>
                <w:sz w:val="20"/>
                <w:szCs w:val="20"/>
              </w:rPr>
              <w:t>Unclear, no specific sample size justification was provided.</w:t>
            </w:r>
          </w:p>
        </w:tc>
        <w:tc>
          <w:tcPr>
            <w:tcW w:w="900" w:type="dxa"/>
          </w:tcPr>
          <w:p w14:paraId="64DCB15D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15B0CFD9">
              <w:rPr>
                <w:rFonts w:eastAsia="Times New Roman" w:cs="Times New Roman"/>
                <w:sz w:val="20"/>
                <w:szCs w:val="20"/>
              </w:rPr>
              <w:t>Yes, baseline characteristics were well described.</w:t>
            </w:r>
          </w:p>
        </w:tc>
        <w:tc>
          <w:tcPr>
            <w:tcW w:w="915" w:type="dxa"/>
          </w:tcPr>
          <w:p w14:paraId="018D37BF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15B0CFD9">
              <w:rPr>
                <w:rFonts w:eastAsia="Times New Roman" w:cs="Times New Roman"/>
                <w:sz w:val="20"/>
                <w:szCs w:val="20"/>
              </w:rPr>
              <w:t>Yes, most of the enrolled patients underwent analysis.</w:t>
            </w:r>
          </w:p>
        </w:tc>
        <w:tc>
          <w:tcPr>
            <w:tcW w:w="1020" w:type="dxa"/>
          </w:tcPr>
          <w:p w14:paraId="21A050A3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15B0CFD9">
              <w:rPr>
                <w:rFonts w:eastAsia="Times New Roman" w:cs="Times New Roman"/>
                <w:sz w:val="20"/>
                <w:szCs w:val="20"/>
              </w:rPr>
              <w:t>Yes, standardized diagnostic criteria were used.</w:t>
            </w:r>
          </w:p>
        </w:tc>
        <w:tc>
          <w:tcPr>
            <w:tcW w:w="1080" w:type="dxa"/>
          </w:tcPr>
          <w:p w14:paraId="1E42442D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15B0CFD9">
              <w:rPr>
                <w:rFonts w:eastAsia="Times New Roman" w:cs="Times New Roman"/>
                <w:sz w:val="20"/>
                <w:szCs w:val="20"/>
              </w:rPr>
              <w:t xml:space="preserve">Yes, all patients underwent standardized lab testing and </w:t>
            </w:r>
            <w:r w:rsidRPr="15B0CFD9">
              <w:rPr>
                <w:rFonts w:eastAsia="Times New Roman" w:cs="Times New Roman"/>
                <w:sz w:val="20"/>
                <w:szCs w:val="20"/>
              </w:rPr>
              <w:lastRenderedPageBreak/>
              <w:t>scintigraphy protocols.</w:t>
            </w:r>
          </w:p>
        </w:tc>
        <w:tc>
          <w:tcPr>
            <w:tcW w:w="1245" w:type="dxa"/>
          </w:tcPr>
          <w:p w14:paraId="6F3E31D9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15B0CFD9">
              <w:rPr>
                <w:rFonts w:eastAsia="Times New Roman" w:cs="Times New Roman"/>
                <w:sz w:val="20"/>
                <w:szCs w:val="20"/>
              </w:rPr>
              <w:lastRenderedPageBreak/>
              <w:t>Yes, prevalence was reported with clear numerator/denominator.</w:t>
            </w:r>
          </w:p>
        </w:tc>
        <w:tc>
          <w:tcPr>
            <w:tcW w:w="1250" w:type="dxa"/>
          </w:tcPr>
          <w:p w14:paraId="400B3C91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15B0CFD9">
              <w:rPr>
                <w:rFonts w:eastAsia="Times New Roman" w:cs="Times New Roman"/>
                <w:sz w:val="20"/>
                <w:szCs w:val="20"/>
              </w:rPr>
              <w:t xml:space="preserve">Yes, the response rate was adequate, with only a minimal </w:t>
            </w:r>
            <w:r w:rsidRPr="15B0CFD9">
              <w:rPr>
                <w:rFonts w:eastAsia="Times New Roman" w:cs="Times New Roman"/>
                <w:sz w:val="20"/>
                <w:szCs w:val="20"/>
              </w:rPr>
              <w:lastRenderedPageBreak/>
              <w:t>number of non-responders, all of whom were clearly reported and appropriately handled in the analysis.</w:t>
            </w:r>
          </w:p>
        </w:tc>
        <w:tc>
          <w:tcPr>
            <w:tcW w:w="1470" w:type="dxa"/>
          </w:tcPr>
          <w:p w14:paraId="0A1F6A1C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15B0CFD9">
              <w:rPr>
                <w:rFonts w:eastAsia="Times New Roman" w:cs="Times New Roman"/>
                <w:sz w:val="20"/>
                <w:szCs w:val="20"/>
              </w:rPr>
              <w:lastRenderedPageBreak/>
              <w:t>Low risk of bias.</w:t>
            </w:r>
          </w:p>
        </w:tc>
      </w:tr>
      <w:tr w:rsidR="0005575D" w14:paraId="313E90E2" w14:textId="77777777" w:rsidTr="00676D57">
        <w:tc>
          <w:tcPr>
            <w:tcW w:w="945" w:type="dxa"/>
          </w:tcPr>
          <w:p w14:paraId="2C69BA85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15B0CFD9">
              <w:rPr>
                <w:rFonts w:eastAsia="Times New Roman" w:cs="Times New Roman"/>
                <w:sz w:val="20"/>
                <w:szCs w:val="20"/>
              </w:rPr>
              <w:t>Spaccavento  et al.</w:t>
            </w:r>
            <w:r w:rsidRPr="006854DF">
              <w:rPr>
                <w:rFonts w:eastAsia="Times New Roman" w:cs="Times New Roman"/>
                <w:sz w:val="20"/>
                <w:szCs w:val="20"/>
                <w:vertAlign w:val="superscript"/>
              </w:rPr>
              <w:t>1</w:t>
            </w:r>
            <w:r>
              <w:rPr>
                <w:rFonts w:eastAsia="Times New Roman" w:cs="Times New Roman"/>
                <w:sz w:val="20"/>
                <w:szCs w:val="20"/>
                <w:vertAlign w:val="superscript"/>
              </w:rPr>
              <w:t>7</w:t>
            </w:r>
          </w:p>
        </w:tc>
        <w:tc>
          <w:tcPr>
            <w:tcW w:w="795" w:type="dxa"/>
          </w:tcPr>
          <w:p w14:paraId="6F255834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15B0CFD9">
              <w:rPr>
                <w:rFonts w:eastAsia="Times New Roman" w:cs="Times New Roman"/>
                <w:sz w:val="20"/>
                <w:szCs w:val="20"/>
              </w:rPr>
              <w:t>Yes, it included a broad cohort of HF patients.</w:t>
            </w:r>
          </w:p>
        </w:tc>
        <w:tc>
          <w:tcPr>
            <w:tcW w:w="885" w:type="dxa"/>
          </w:tcPr>
          <w:p w14:paraId="06B5C592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15B0CFD9">
              <w:rPr>
                <w:rFonts w:eastAsia="Times New Roman" w:cs="Times New Roman"/>
                <w:sz w:val="20"/>
                <w:szCs w:val="20"/>
              </w:rPr>
              <w:t>Yes, enrollment was prospective and consecutive.</w:t>
            </w:r>
          </w:p>
        </w:tc>
        <w:tc>
          <w:tcPr>
            <w:tcW w:w="885" w:type="dxa"/>
          </w:tcPr>
          <w:p w14:paraId="06691D20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15B0CFD9">
              <w:rPr>
                <w:rFonts w:eastAsia="Times New Roman" w:cs="Times New Roman"/>
                <w:sz w:val="20"/>
                <w:szCs w:val="20"/>
              </w:rPr>
              <w:t>Unclear, no specific sample size justification was provided.</w:t>
            </w:r>
          </w:p>
        </w:tc>
        <w:tc>
          <w:tcPr>
            <w:tcW w:w="900" w:type="dxa"/>
          </w:tcPr>
          <w:p w14:paraId="098F191D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15B0CFD9">
              <w:rPr>
                <w:rFonts w:eastAsia="Times New Roman" w:cs="Times New Roman"/>
                <w:sz w:val="20"/>
                <w:szCs w:val="20"/>
              </w:rPr>
              <w:t>Yes, baseline characteristics were well described.</w:t>
            </w:r>
          </w:p>
        </w:tc>
        <w:tc>
          <w:tcPr>
            <w:tcW w:w="915" w:type="dxa"/>
          </w:tcPr>
          <w:p w14:paraId="51C321C2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15B0CFD9">
              <w:rPr>
                <w:rFonts w:eastAsia="Times New Roman" w:cs="Times New Roman"/>
                <w:sz w:val="20"/>
                <w:szCs w:val="20"/>
              </w:rPr>
              <w:t>Yes, all patients who met the final inclusion criteria were included in the analysis.</w:t>
            </w:r>
          </w:p>
          <w:p w14:paraId="45F30078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1020" w:type="dxa"/>
          </w:tcPr>
          <w:p w14:paraId="1665D224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15B0CFD9">
              <w:rPr>
                <w:rFonts w:eastAsia="Times New Roman" w:cs="Times New Roman"/>
                <w:sz w:val="20"/>
                <w:szCs w:val="20"/>
              </w:rPr>
              <w:t>Yes, standardized diagnostic criteria were used.</w:t>
            </w:r>
          </w:p>
        </w:tc>
        <w:tc>
          <w:tcPr>
            <w:tcW w:w="1080" w:type="dxa"/>
          </w:tcPr>
          <w:p w14:paraId="5B3B5AAF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15B0CFD9">
              <w:rPr>
                <w:rFonts w:eastAsia="Times New Roman" w:cs="Times New Roman"/>
                <w:sz w:val="20"/>
                <w:szCs w:val="20"/>
              </w:rPr>
              <w:t>Yes, all patients underwent standardized lab testing and scintigraphy protocols.</w:t>
            </w:r>
          </w:p>
        </w:tc>
        <w:tc>
          <w:tcPr>
            <w:tcW w:w="1245" w:type="dxa"/>
          </w:tcPr>
          <w:p w14:paraId="0F12E0D7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15B0CFD9">
              <w:rPr>
                <w:rFonts w:eastAsia="Times New Roman" w:cs="Times New Roman"/>
                <w:sz w:val="20"/>
                <w:szCs w:val="20"/>
              </w:rPr>
              <w:t>Yes, prevalence was reported with clear numerator/denominator.</w:t>
            </w:r>
          </w:p>
        </w:tc>
        <w:tc>
          <w:tcPr>
            <w:tcW w:w="1250" w:type="dxa"/>
          </w:tcPr>
          <w:p w14:paraId="624855D8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15B0CFD9">
              <w:rPr>
                <w:rFonts w:eastAsia="Times New Roman" w:cs="Times New Roman"/>
                <w:sz w:val="20"/>
                <w:szCs w:val="20"/>
              </w:rPr>
              <w:t>Yes, all eligible patients completed diagnostic assessment.</w:t>
            </w:r>
          </w:p>
        </w:tc>
        <w:tc>
          <w:tcPr>
            <w:tcW w:w="1470" w:type="dxa"/>
          </w:tcPr>
          <w:p w14:paraId="0C123316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15B0CFD9">
              <w:rPr>
                <w:rFonts w:eastAsia="Times New Roman" w:cs="Times New Roman"/>
                <w:sz w:val="20"/>
                <w:szCs w:val="20"/>
              </w:rPr>
              <w:t>Low risk of bias.</w:t>
            </w:r>
          </w:p>
        </w:tc>
      </w:tr>
      <w:tr w:rsidR="0005575D" w14:paraId="656B1142" w14:textId="77777777" w:rsidTr="00676D57">
        <w:trPr>
          <w:trHeight w:val="300"/>
        </w:trPr>
        <w:tc>
          <w:tcPr>
            <w:tcW w:w="945" w:type="dxa"/>
          </w:tcPr>
          <w:p w14:paraId="4849094A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15B0CFD9">
              <w:rPr>
                <w:rFonts w:eastAsia="Times New Roman" w:cs="Times New Roman"/>
                <w:sz w:val="20"/>
                <w:szCs w:val="20"/>
              </w:rPr>
              <w:t>Yun et al.</w:t>
            </w:r>
            <w:r w:rsidRPr="006854DF">
              <w:rPr>
                <w:rFonts w:eastAsia="Times New Roman" w:cs="Times New Roman"/>
                <w:sz w:val="20"/>
                <w:szCs w:val="20"/>
                <w:vertAlign w:val="superscript"/>
              </w:rPr>
              <w:t>1</w:t>
            </w:r>
            <w:r>
              <w:rPr>
                <w:rFonts w:eastAsia="Times New Roman" w:cs="Times New Roman"/>
                <w:sz w:val="20"/>
                <w:szCs w:val="20"/>
                <w:vertAlign w:val="superscript"/>
              </w:rPr>
              <w:t>8</w:t>
            </w:r>
          </w:p>
          <w:p w14:paraId="34F637E5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795" w:type="dxa"/>
          </w:tcPr>
          <w:p w14:paraId="64CB2820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15B0CFD9">
              <w:rPr>
                <w:rFonts w:eastAsia="Times New Roman" w:cs="Times New Roman"/>
                <w:sz w:val="20"/>
                <w:szCs w:val="20"/>
              </w:rPr>
              <w:t>Yes, it included a broad cohort of HF patients.</w:t>
            </w:r>
          </w:p>
        </w:tc>
        <w:tc>
          <w:tcPr>
            <w:tcW w:w="885" w:type="dxa"/>
          </w:tcPr>
          <w:p w14:paraId="60CF4EF5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15B0CFD9">
              <w:rPr>
                <w:rFonts w:eastAsia="Times New Roman" w:cs="Times New Roman"/>
                <w:sz w:val="20"/>
                <w:szCs w:val="20"/>
              </w:rPr>
              <w:t>Yes, patients were prospectively enrolled.</w:t>
            </w:r>
          </w:p>
        </w:tc>
        <w:tc>
          <w:tcPr>
            <w:tcW w:w="885" w:type="dxa"/>
          </w:tcPr>
          <w:p w14:paraId="0C14E619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15B0CFD9">
              <w:rPr>
                <w:rFonts w:eastAsia="Times New Roman" w:cs="Times New Roman"/>
                <w:sz w:val="20"/>
                <w:szCs w:val="20"/>
              </w:rPr>
              <w:t>Unclear, no specific sample size justification was provided.</w:t>
            </w:r>
          </w:p>
        </w:tc>
        <w:tc>
          <w:tcPr>
            <w:tcW w:w="900" w:type="dxa"/>
          </w:tcPr>
          <w:p w14:paraId="18CBFF70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15B0CFD9">
              <w:rPr>
                <w:rFonts w:eastAsia="Times New Roman" w:cs="Times New Roman"/>
                <w:sz w:val="20"/>
                <w:szCs w:val="20"/>
              </w:rPr>
              <w:t>Yes, baseline characteristics were well described.</w:t>
            </w:r>
          </w:p>
          <w:p w14:paraId="6513218F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915" w:type="dxa"/>
          </w:tcPr>
          <w:p w14:paraId="29FB5BCB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15B0CFD9">
              <w:rPr>
                <w:rFonts w:eastAsia="Times New Roman" w:cs="Times New Roman"/>
                <w:sz w:val="20"/>
                <w:szCs w:val="20"/>
              </w:rPr>
              <w:t>Yes, most of the enrolled patients underwent analysis.</w:t>
            </w:r>
          </w:p>
        </w:tc>
        <w:tc>
          <w:tcPr>
            <w:tcW w:w="1020" w:type="dxa"/>
          </w:tcPr>
          <w:p w14:paraId="2AFD435A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15B0CFD9">
              <w:rPr>
                <w:rFonts w:eastAsia="Times New Roman" w:cs="Times New Roman"/>
                <w:sz w:val="20"/>
                <w:szCs w:val="20"/>
              </w:rPr>
              <w:t>Yes, standardized diagnostic criteria were used.</w:t>
            </w:r>
          </w:p>
          <w:p w14:paraId="510DADE9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1080" w:type="dxa"/>
          </w:tcPr>
          <w:p w14:paraId="14D591CC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15B0CFD9">
              <w:rPr>
                <w:rFonts w:eastAsia="Times New Roman" w:cs="Times New Roman"/>
                <w:sz w:val="20"/>
                <w:szCs w:val="20"/>
              </w:rPr>
              <w:t>Yes, all patients underwent standardized lab testing and scintigraphy protocols.</w:t>
            </w:r>
          </w:p>
          <w:p w14:paraId="604703E4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1245" w:type="dxa"/>
          </w:tcPr>
          <w:p w14:paraId="1F6D384B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15B0CFD9">
              <w:rPr>
                <w:rFonts w:eastAsia="Times New Roman" w:cs="Times New Roman"/>
                <w:sz w:val="20"/>
                <w:szCs w:val="20"/>
              </w:rPr>
              <w:t>Yes, prevalence was reported with clear numerator/denominator.</w:t>
            </w:r>
          </w:p>
        </w:tc>
        <w:tc>
          <w:tcPr>
            <w:tcW w:w="1250" w:type="dxa"/>
          </w:tcPr>
          <w:p w14:paraId="3C154F64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15B0CFD9">
              <w:rPr>
                <w:rFonts w:eastAsia="Times New Roman" w:cs="Times New Roman"/>
                <w:sz w:val="20"/>
                <w:szCs w:val="20"/>
              </w:rPr>
              <w:t>Yes, the response rate was adequate, with only a minimal number of non-responders, all of whom were clearly reported and appropriately handled in the analysis.</w:t>
            </w:r>
          </w:p>
          <w:p w14:paraId="1893875F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1470" w:type="dxa"/>
          </w:tcPr>
          <w:p w14:paraId="6EBD0B65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15B0CFD9">
              <w:rPr>
                <w:rFonts w:eastAsia="Times New Roman" w:cs="Times New Roman"/>
                <w:sz w:val="20"/>
                <w:szCs w:val="20"/>
              </w:rPr>
              <w:t>Low risk of bias.</w:t>
            </w:r>
          </w:p>
        </w:tc>
      </w:tr>
      <w:tr w:rsidR="0005575D" w14:paraId="0766103A" w14:textId="77777777" w:rsidTr="00676D57">
        <w:tc>
          <w:tcPr>
            <w:tcW w:w="945" w:type="dxa"/>
          </w:tcPr>
          <w:p w14:paraId="5781FCA6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15B0CFD9">
              <w:rPr>
                <w:rFonts w:eastAsia="Times New Roman" w:cs="Times New Roman"/>
                <w:sz w:val="20"/>
                <w:szCs w:val="20"/>
              </w:rPr>
              <w:t>Ahmad et al.</w:t>
            </w:r>
            <w:r w:rsidRPr="006854DF">
              <w:rPr>
                <w:rFonts w:eastAsia="Times New Roman" w:cs="Times New Roman"/>
                <w:sz w:val="20"/>
                <w:szCs w:val="20"/>
                <w:vertAlign w:val="superscript"/>
              </w:rPr>
              <w:t>1</w:t>
            </w:r>
            <w:r>
              <w:rPr>
                <w:rFonts w:eastAsia="Times New Roman" w:cs="Times New Roman"/>
                <w:sz w:val="20"/>
                <w:szCs w:val="20"/>
                <w:vertAlign w:val="superscript"/>
              </w:rPr>
              <w:t>0</w:t>
            </w:r>
          </w:p>
        </w:tc>
        <w:tc>
          <w:tcPr>
            <w:tcW w:w="795" w:type="dxa"/>
          </w:tcPr>
          <w:p w14:paraId="30C646D2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15B0CFD9">
              <w:rPr>
                <w:rFonts w:eastAsia="Times New Roman" w:cs="Times New Roman"/>
                <w:sz w:val="20"/>
                <w:szCs w:val="20"/>
              </w:rPr>
              <w:t>Yes, it included HF patient</w:t>
            </w:r>
            <w:r>
              <w:rPr>
                <w:rFonts w:eastAsia="Times New Roman" w:cs="Times New Roman"/>
                <w:sz w:val="20"/>
                <w:szCs w:val="20"/>
              </w:rPr>
              <w:t>s</w:t>
            </w:r>
            <w:r w:rsidRPr="15B0CFD9">
              <w:rPr>
                <w:rFonts w:eastAsia="Times New Roman" w:cs="Times New Roman"/>
                <w:sz w:val="20"/>
                <w:szCs w:val="20"/>
              </w:rPr>
              <w:t xml:space="preserve"> who exhibited red flags for amyloidosis.</w:t>
            </w:r>
          </w:p>
        </w:tc>
        <w:tc>
          <w:tcPr>
            <w:tcW w:w="885" w:type="dxa"/>
          </w:tcPr>
          <w:p w14:paraId="4197A9F3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15B0CFD9">
              <w:rPr>
                <w:rFonts w:eastAsia="Times New Roman" w:cs="Times New Roman"/>
                <w:sz w:val="20"/>
                <w:szCs w:val="20"/>
              </w:rPr>
              <w:t>No, participants were selectively screened based on suspicion</w:t>
            </w:r>
          </w:p>
        </w:tc>
        <w:tc>
          <w:tcPr>
            <w:tcW w:w="885" w:type="dxa"/>
          </w:tcPr>
          <w:p w14:paraId="725FA9F0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15B0CFD9">
              <w:rPr>
                <w:rFonts w:eastAsia="Times New Roman" w:cs="Times New Roman"/>
                <w:sz w:val="20"/>
                <w:szCs w:val="20"/>
              </w:rPr>
              <w:t>Unclear, no specific sample size justification was provided.</w:t>
            </w:r>
          </w:p>
        </w:tc>
        <w:tc>
          <w:tcPr>
            <w:tcW w:w="900" w:type="dxa"/>
          </w:tcPr>
          <w:p w14:paraId="5B075425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15B0CFD9">
              <w:rPr>
                <w:rFonts w:eastAsia="Times New Roman" w:cs="Times New Roman"/>
                <w:sz w:val="20"/>
                <w:szCs w:val="20"/>
              </w:rPr>
              <w:t>Yes, baseline characteristics were well described.</w:t>
            </w:r>
          </w:p>
        </w:tc>
        <w:tc>
          <w:tcPr>
            <w:tcW w:w="915" w:type="dxa"/>
          </w:tcPr>
          <w:p w14:paraId="4334084D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15B0CFD9">
              <w:rPr>
                <w:rFonts w:eastAsia="Times New Roman" w:cs="Times New Roman"/>
                <w:sz w:val="20"/>
                <w:szCs w:val="20"/>
              </w:rPr>
              <w:t>Yes, all screened patients were included in the final analysis.</w:t>
            </w:r>
          </w:p>
        </w:tc>
        <w:tc>
          <w:tcPr>
            <w:tcW w:w="1020" w:type="dxa"/>
          </w:tcPr>
          <w:p w14:paraId="3E2F4B4A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15B0CFD9">
              <w:rPr>
                <w:rFonts w:eastAsia="Times New Roman" w:cs="Times New Roman"/>
                <w:sz w:val="20"/>
                <w:szCs w:val="20"/>
              </w:rPr>
              <w:t>Yes, standardized diagnostic criteria were used.</w:t>
            </w:r>
          </w:p>
        </w:tc>
        <w:tc>
          <w:tcPr>
            <w:tcW w:w="1080" w:type="dxa"/>
          </w:tcPr>
          <w:p w14:paraId="37681D24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15B0CFD9">
              <w:rPr>
                <w:rFonts w:eastAsia="Times New Roman" w:cs="Times New Roman"/>
                <w:sz w:val="20"/>
                <w:szCs w:val="20"/>
              </w:rPr>
              <w:t>Yes, all patients underwent standardized lab testing and scintigraphy protocols.</w:t>
            </w:r>
          </w:p>
        </w:tc>
        <w:tc>
          <w:tcPr>
            <w:tcW w:w="1245" w:type="dxa"/>
          </w:tcPr>
          <w:p w14:paraId="3032BDF4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15B0CFD9">
              <w:rPr>
                <w:rFonts w:eastAsia="Times New Roman" w:cs="Times New Roman"/>
                <w:sz w:val="20"/>
                <w:szCs w:val="20"/>
              </w:rPr>
              <w:t>Yes, prevalence was reported with clear numerator/denominator.</w:t>
            </w:r>
          </w:p>
        </w:tc>
        <w:tc>
          <w:tcPr>
            <w:tcW w:w="1250" w:type="dxa"/>
          </w:tcPr>
          <w:p w14:paraId="25AE053F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15B0CFD9">
              <w:rPr>
                <w:rFonts w:eastAsia="Times New Roman" w:cs="Times New Roman"/>
                <w:sz w:val="20"/>
                <w:szCs w:val="20"/>
              </w:rPr>
              <w:t>Yes, all eligible patients completed diagnostic assessment.</w:t>
            </w:r>
          </w:p>
        </w:tc>
        <w:tc>
          <w:tcPr>
            <w:tcW w:w="1470" w:type="dxa"/>
          </w:tcPr>
          <w:p w14:paraId="200BFFEE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15B0CFD9">
              <w:rPr>
                <w:rFonts w:eastAsia="Times New Roman" w:cs="Times New Roman"/>
                <w:sz w:val="20"/>
                <w:szCs w:val="20"/>
              </w:rPr>
              <w:t>Moderate risk of bias.</w:t>
            </w:r>
          </w:p>
        </w:tc>
      </w:tr>
      <w:tr w:rsidR="0005575D" w14:paraId="229BF35D" w14:textId="77777777" w:rsidTr="00676D57">
        <w:trPr>
          <w:trHeight w:val="300"/>
        </w:trPr>
        <w:tc>
          <w:tcPr>
            <w:tcW w:w="945" w:type="dxa"/>
          </w:tcPr>
          <w:p w14:paraId="71892E79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15B0CFD9">
              <w:rPr>
                <w:rFonts w:eastAsia="Times New Roman" w:cs="Times New Roman"/>
                <w:sz w:val="20"/>
                <w:szCs w:val="20"/>
              </w:rPr>
              <w:t>Ruiz-Hueso et al.</w:t>
            </w:r>
            <w:r w:rsidRPr="006854DF">
              <w:rPr>
                <w:rFonts w:eastAsia="Times New Roman" w:cs="Times New Roman"/>
                <w:sz w:val="20"/>
                <w:szCs w:val="20"/>
                <w:vertAlign w:val="superscript"/>
              </w:rPr>
              <w:t>1</w:t>
            </w:r>
            <w:r>
              <w:rPr>
                <w:rFonts w:eastAsia="Times New Roman" w:cs="Times New Roman"/>
                <w:sz w:val="20"/>
                <w:szCs w:val="20"/>
                <w:vertAlign w:val="superscript"/>
              </w:rPr>
              <w:t>9</w:t>
            </w:r>
          </w:p>
        </w:tc>
        <w:tc>
          <w:tcPr>
            <w:tcW w:w="795" w:type="dxa"/>
          </w:tcPr>
          <w:p w14:paraId="36C8DB02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15B0CFD9">
              <w:rPr>
                <w:rFonts w:eastAsia="Times New Roman" w:cs="Times New Roman"/>
                <w:sz w:val="20"/>
                <w:szCs w:val="20"/>
              </w:rPr>
              <w:t>Yes, it included a broad cohort of HF patients.</w:t>
            </w:r>
          </w:p>
        </w:tc>
        <w:tc>
          <w:tcPr>
            <w:tcW w:w="885" w:type="dxa"/>
          </w:tcPr>
          <w:p w14:paraId="5286A9BA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15B0CFD9">
              <w:rPr>
                <w:rFonts w:eastAsia="Times New Roman" w:cs="Times New Roman"/>
                <w:sz w:val="20"/>
                <w:szCs w:val="20"/>
              </w:rPr>
              <w:t>Yes, enrollment was prospective and consecutive.</w:t>
            </w:r>
          </w:p>
          <w:p w14:paraId="132A21C9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885" w:type="dxa"/>
          </w:tcPr>
          <w:p w14:paraId="525ECDFF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15B0CFD9">
              <w:rPr>
                <w:rFonts w:eastAsia="Times New Roman" w:cs="Times New Roman"/>
                <w:sz w:val="20"/>
                <w:szCs w:val="20"/>
              </w:rPr>
              <w:t>Unclear, no specific sample size justification was provided. However, the sample size was large (N=453).</w:t>
            </w:r>
          </w:p>
          <w:p w14:paraId="1A118F66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900" w:type="dxa"/>
          </w:tcPr>
          <w:p w14:paraId="2EB6F4C7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15B0CFD9">
              <w:rPr>
                <w:rFonts w:eastAsia="Times New Roman" w:cs="Times New Roman"/>
                <w:sz w:val="20"/>
                <w:szCs w:val="20"/>
              </w:rPr>
              <w:lastRenderedPageBreak/>
              <w:t>Yes, baseline characteristics were well described.</w:t>
            </w:r>
          </w:p>
        </w:tc>
        <w:tc>
          <w:tcPr>
            <w:tcW w:w="915" w:type="dxa"/>
          </w:tcPr>
          <w:p w14:paraId="3BD93D07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15B0CFD9">
              <w:rPr>
                <w:rFonts w:eastAsia="Times New Roman" w:cs="Times New Roman"/>
                <w:sz w:val="20"/>
                <w:szCs w:val="20"/>
              </w:rPr>
              <w:t>Yes, all patients who were enrolled completed the study and were included in the final analysis.</w:t>
            </w:r>
          </w:p>
        </w:tc>
        <w:tc>
          <w:tcPr>
            <w:tcW w:w="1020" w:type="dxa"/>
          </w:tcPr>
          <w:p w14:paraId="1806FB01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15B0CFD9">
              <w:rPr>
                <w:rFonts w:eastAsia="Times New Roman" w:cs="Times New Roman"/>
                <w:sz w:val="20"/>
                <w:szCs w:val="20"/>
              </w:rPr>
              <w:t>Yes, standardized diagnostic criteria were used.</w:t>
            </w:r>
          </w:p>
          <w:p w14:paraId="5ED81773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1080" w:type="dxa"/>
          </w:tcPr>
          <w:p w14:paraId="23087890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15B0CFD9">
              <w:rPr>
                <w:rFonts w:eastAsia="Times New Roman" w:cs="Times New Roman"/>
                <w:sz w:val="20"/>
                <w:szCs w:val="20"/>
              </w:rPr>
              <w:t>Yes, all patients underwent standardized lab testing and scintigraphy protocols.</w:t>
            </w:r>
          </w:p>
        </w:tc>
        <w:tc>
          <w:tcPr>
            <w:tcW w:w="1245" w:type="dxa"/>
          </w:tcPr>
          <w:p w14:paraId="1705E15D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15B0CFD9">
              <w:rPr>
                <w:rFonts w:eastAsia="Times New Roman" w:cs="Times New Roman"/>
                <w:sz w:val="20"/>
                <w:szCs w:val="20"/>
              </w:rPr>
              <w:t>Yes, prevalence was reported with clear numerator/denominator.</w:t>
            </w:r>
          </w:p>
          <w:p w14:paraId="57A37756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1250" w:type="dxa"/>
          </w:tcPr>
          <w:p w14:paraId="3526142E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15B0CFD9">
              <w:rPr>
                <w:rFonts w:eastAsia="Times New Roman" w:cs="Times New Roman"/>
                <w:sz w:val="20"/>
                <w:szCs w:val="20"/>
              </w:rPr>
              <w:t xml:space="preserve">Yes, the response rate was adequate, with only a minimal number of non-responders, all of whom were clearly </w:t>
            </w:r>
            <w:r w:rsidRPr="15B0CFD9">
              <w:rPr>
                <w:rFonts w:eastAsia="Times New Roman" w:cs="Times New Roman"/>
                <w:sz w:val="20"/>
                <w:szCs w:val="20"/>
              </w:rPr>
              <w:lastRenderedPageBreak/>
              <w:t>reported and appropriately handled in the analysis.</w:t>
            </w:r>
          </w:p>
        </w:tc>
        <w:tc>
          <w:tcPr>
            <w:tcW w:w="1470" w:type="dxa"/>
          </w:tcPr>
          <w:p w14:paraId="10E0FECF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15B0CFD9">
              <w:rPr>
                <w:rFonts w:eastAsia="Times New Roman" w:cs="Times New Roman"/>
                <w:sz w:val="20"/>
                <w:szCs w:val="20"/>
              </w:rPr>
              <w:lastRenderedPageBreak/>
              <w:t>Low risk of bias.</w:t>
            </w:r>
          </w:p>
        </w:tc>
      </w:tr>
      <w:tr w:rsidR="0005575D" w14:paraId="5AF7544D" w14:textId="77777777" w:rsidTr="00676D57">
        <w:tc>
          <w:tcPr>
            <w:tcW w:w="945" w:type="dxa"/>
          </w:tcPr>
          <w:p w14:paraId="53D3F80C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15B0CFD9">
              <w:rPr>
                <w:rFonts w:eastAsia="Times New Roman" w:cs="Times New Roman"/>
                <w:sz w:val="20"/>
                <w:szCs w:val="20"/>
              </w:rPr>
              <w:t>Goland et al.</w:t>
            </w:r>
            <w:r>
              <w:rPr>
                <w:rFonts w:eastAsia="Times New Roman" w:cs="Times New Roman"/>
                <w:sz w:val="20"/>
                <w:szCs w:val="20"/>
                <w:vertAlign w:val="superscript"/>
              </w:rPr>
              <w:t>20</w:t>
            </w:r>
          </w:p>
        </w:tc>
        <w:tc>
          <w:tcPr>
            <w:tcW w:w="795" w:type="dxa"/>
          </w:tcPr>
          <w:p w14:paraId="05DFC638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15B0CFD9">
              <w:rPr>
                <w:rFonts w:eastAsia="Times New Roman" w:cs="Times New Roman"/>
                <w:sz w:val="20"/>
                <w:szCs w:val="20"/>
              </w:rPr>
              <w:t>Yes, it included a broad cohort of HF patients.</w:t>
            </w:r>
          </w:p>
        </w:tc>
        <w:tc>
          <w:tcPr>
            <w:tcW w:w="885" w:type="dxa"/>
          </w:tcPr>
          <w:p w14:paraId="74C40E5C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15B0CFD9">
              <w:rPr>
                <w:rFonts w:eastAsia="Times New Roman" w:cs="Times New Roman"/>
                <w:sz w:val="20"/>
                <w:szCs w:val="20"/>
              </w:rPr>
              <w:t>Yes, patients were prospectively enrolled.</w:t>
            </w:r>
          </w:p>
        </w:tc>
        <w:tc>
          <w:tcPr>
            <w:tcW w:w="885" w:type="dxa"/>
          </w:tcPr>
          <w:p w14:paraId="2067CC38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15B0CFD9">
              <w:rPr>
                <w:rFonts w:eastAsia="Times New Roman" w:cs="Times New Roman"/>
                <w:sz w:val="20"/>
                <w:szCs w:val="20"/>
              </w:rPr>
              <w:t>Unclear, no specific sample size justification was provided.</w:t>
            </w:r>
          </w:p>
        </w:tc>
        <w:tc>
          <w:tcPr>
            <w:tcW w:w="900" w:type="dxa"/>
          </w:tcPr>
          <w:p w14:paraId="4912504B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15B0CFD9">
              <w:rPr>
                <w:rFonts w:eastAsia="Times New Roman" w:cs="Times New Roman"/>
                <w:sz w:val="20"/>
                <w:szCs w:val="20"/>
              </w:rPr>
              <w:t>Yes, baseline characteristics were well described.</w:t>
            </w:r>
          </w:p>
        </w:tc>
        <w:tc>
          <w:tcPr>
            <w:tcW w:w="915" w:type="dxa"/>
          </w:tcPr>
          <w:p w14:paraId="5E9F1FD1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15B0CFD9">
              <w:rPr>
                <w:rFonts w:eastAsia="Times New Roman" w:cs="Times New Roman"/>
                <w:sz w:val="20"/>
                <w:szCs w:val="20"/>
              </w:rPr>
              <w:t>Yes, all patients who met the final inclusion criteria were included in the analysis.</w:t>
            </w:r>
          </w:p>
        </w:tc>
        <w:tc>
          <w:tcPr>
            <w:tcW w:w="1020" w:type="dxa"/>
          </w:tcPr>
          <w:p w14:paraId="19947536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15B0CFD9">
              <w:rPr>
                <w:rFonts w:eastAsia="Times New Roman" w:cs="Times New Roman"/>
                <w:sz w:val="20"/>
                <w:szCs w:val="20"/>
              </w:rPr>
              <w:t>Yes, standardized diagnostic criteria were used.</w:t>
            </w:r>
          </w:p>
        </w:tc>
        <w:tc>
          <w:tcPr>
            <w:tcW w:w="1080" w:type="dxa"/>
          </w:tcPr>
          <w:p w14:paraId="6F615BC0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15B0CFD9">
              <w:rPr>
                <w:rFonts w:eastAsia="Times New Roman" w:cs="Times New Roman"/>
                <w:sz w:val="20"/>
                <w:szCs w:val="20"/>
              </w:rPr>
              <w:t>Yes, uniform grading criteria were used for uptake on scintigraphy.</w:t>
            </w:r>
          </w:p>
        </w:tc>
        <w:tc>
          <w:tcPr>
            <w:tcW w:w="1245" w:type="dxa"/>
          </w:tcPr>
          <w:p w14:paraId="0509CB5E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15B0CFD9">
              <w:rPr>
                <w:rFonts w:eastAsia="Times New Roman" w:cs="Times New Roman"/>
                <w:sz w:val="20"/>
                <w:szCs w:val="20"/>
              </w:rPr>
              <w:t>Yes, prevalence was reported with clear numerator/denominator.</w:t>
            </w:r>
          </w:p>
        </w:tc>
        <w:tc>
          <w:tcPr>
            <w:tcW w:w="1250" w:type="dxa"/>
          </w:tcPr>
          <w:p w14:paraId="63CB76F0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15B0CFD9">
              <w:rPr>
                <w:rFonts w:eastAsia="Times New Roman" w:cs="Times New Roman"/>
                <w:sz w:val="20"/>
                <w:szCs w:val="20"/>
              </w:rPr>
              <w:t>Yes, all eligible patients completed diagnostic assessment.</w:t>
            </w:r>
          </w:p>
        </w:tc>
        <w:tc>
          <w:tcPr>
            <w:tcW w:w="1470" w:type="dxa"/>
          </w:tcPr>
          <w:p w14:paraId="0F9ED252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/>
                <w:sz w:val="20"/>
                <w:szCs w:val="20"/>
              </w:rPr>
              <w:t>Low</w:t>
            </w:r>
            <w:r w:rsidRPr="15B0CFD9">
              <w:rPr>
                <w:rFonts w:eastAsia="Times New Roman" w:cs="Times New Roman"/>
                <w:sz w:val="20"/>
                <w:szCs w:val="20"/>
              </w:rPr>
              <w:t xml:space="preserve"> risk of bias.</w:t>
            </w:r>
          </w:p>
        </w:tc>
      </w:tr>
      <w:tr w:rsidR="0005575D" w14:paraId="5F574A86" w14:textId="77777777" w:rsidTr="00676D57">
        <w:tc>
          <w:tcPr>
            <w:tcW w:w="945" w:type="dxa"/>
          </w:tcPr>
          <w:p w14:paraId="5D69F6DF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15B0CFD9">
              <w:rPr>
                <w:rFonts w:eastAsia="Times New Roman" w:cs="Times New Roman"/>
                <w:sz w:val="20"/>
                <w:szCs w:val="20"/>
              </w:rPr>
              <w:t>AbouEzzeddine et al.</w:t>
            </w:r>
            <w:r>
              <w:rPr>
                <w:rFonts w:eastAsia="Times New Roman" w:cs="Times New Roman"/>
                <w:sz w:val="20"/>
                <w:szCs w:val="20"/>
                <w:vertAlign w:val="superscript"/>
              </w:rPr>
              <w:t>9</w:t>
            </w:r>
          </w:p>
        </w:tc>
        <w:tc>
          <w:tcPr>
            <w:tcW w:w="795" w:type="dxa"/>
          </w:tcPr>
          <w:p w14:paraId="4530AE3D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15B0CFD9">
              <w:rPr>
                <w:rFonts w:eastAsia="Times New Roman" w:cs="Times New Roman"/>
                <w:sz w:val="20"/>
                <w:szCs w:val="20"/>
              </w:rPr>
              <w:t>Yes, it included a broad cohort of HF patients.</w:t>
            </w:r>
          </w:p>
        </w:tc>
        <w:tc>
          <w:tcPr>
            <w:tcW w:w="885" w:type="dxa"/>
          </w:tcPr>
          <w:p w14:paraId="77994335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15B0CFD9">
              <w:rPr>
                <w:rFonts w:eastAsia="Times New Roman" w:cs="Times New Roman"/>
                <w:sz w:val="20"/>
                <w:szCs w:val="20"/>
              </w:rPr>
              <w:t>Yes, enrollment was prospective and consecutive.</w:t>
            </w:r>
          </w:p>
          <w:p w14:paraId="4DB43B6B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</w:p>
          <w:p w14:paraId="165858C2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885" w:type="dxa"/>
          </w:tcPr>
          <w:p w14:paraId="5651B8A2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15B0CFD9">
              <w:rPr>
                <w:rFonts w:eastAsia="Times New Roman" w:cs="Times New Roman"/>
                <w:sz w:val="20"/>
                <w:szCs w:val="20"/>
              </w:rPr>
              <w:t>Unclear, no specific sample size justification was provided.</w:t>
            </w:r>
          </w:p>
        </w:tc>
        <w:tc>
          <w:tcPr>
            <w:tcW w:w="900" w:type="dxa"/>
          </w:tcPr>
          <w:p w14:paraId="1824F47F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15B0CFD9">
              <w:rPr>
                <w:rFonts w:eastAsia="Times New Roman" w:cs="Times New Roman"/>
                <w:sz w:val="20"/>
                <w:szCs w:val="20"/>
              </w:rPr>
              <w:t>Yes, baseline characteristics were well described.</w:t>
            </w:r>
          </w:p>
        </w:tc>
        <w:tc>
          <w:tcPr>
            <w:tcW w:w="915" w:type="dxa"/>
          </w:tcPr>
          <w:p w14:paraId="5CC47737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15B0CFD9">
              <w:rPr>
                <w:rFonts w:eastAsia="Times New Roman" w:cs="Times New Roman"/>
                <w:sz w:val="20"/>
                <w:szCs w:val="20"/>
              </w:rPr>
              <w:t>No, there was some drop-off, with a subset of subjects not undergoing imaging.</w:t>
            </w:r>
          </w:p>
        </w:tc>
        <w:tc>
          <w:tcPr>
            <w:tcW w:w="1020" w:type="dxa"/>
          </w:tcPr>
          <w:p w14:paraId="781E52F7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15B0CFD9">
              <w:rPr>
                <w:rFonts w:eastAsia="Times New Roman" w:cs="Times New Roman"/>
                <w:sz w:val="20"/>
                <w:szCs w:val="20"/>
              </w:rPr>
              <w:t>Yes, standardized diagnostic criteria were used.</w:t>
            </w:r>
          </w:p>
        </w:tc>
        <w:tc>
          <w:tcPr>
            <w:tcW w:w="1080" w:type="dxa"/>
          </w:tcPr>
          <w:p w14:paraId="3E61D3B4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15B0CFD9">
              <w:rPr>
                <w:rFonts w:eastAsia="Times New Roman" w:cs="Times New Roman"/>
                <w:sz w:val="20"/>
                <w:szCs w:val="20"/>
              </w:rPr>
              <w:t>Yes, uniform grading criteria were used for uptake on scintigraphy.</w:t>
            </w:r>
          </w:p>
        </w:tc>
        <w:tc>
          <w:tcPr>
            <w:tcW w:w="1245" w:type="dxa"/>
          </w:tcPr>
          <w:p w14:paraId="4A03718A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15B0CFD9">
              <w:rPr>
                <w:rFonts w:eastAsia="Times New Roman" w:cs="Times New Roman"/>
                <w:sz w:val="20"/>
                <w:szCs w:val="20"/>
              </w:rPr>
              <w:t>Yes, prevalence was reported with clear numerator/denominator.</w:t>
            </w:r>
          </w:p>
        </w:tc>
        <w:tc>
          <w:tcPr>
            <w:tcW w:w="1250" w:type="dxa"/>
          </w:tcPr>
          <w:p w14:paraId="01278A1D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15B0CFD9">
              <w:rPr>
                <w:rFonts w:eastAsia="Times New Roman" w:cs="Times New Roman"/>
                <w:sz w:val="20"/>
                <w:szCs w:val="20"/>
              </w:rPr>
              <w:t>Yes, the response rate was adequate, with only a minimal number of non-responders, all of whom were clearly reported and appropriately handled in the analysis.</w:t>
            </w:r>
          </w:p>
          <w:p w14:paraId="64EA18E1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1470" w:type="dxa"/>
          </w:tcPr>
          <w:p w14:paraId="03C95F3D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15B0CFD9">
              <w:rPr>
                <w:rFonts w:eastAsia="Times New Roman" w:cs="Times New Roman"/>
                <w:sz w:val="20"/>
                <w:szCs w:val="20"/>
              </w:rPr>
              <w:t>Moderate risk of bias.</w:t>
            </w:r>
          </w:p>
        </w:tc>
      </w:tr>
      <w:tr w:rsidR="0005575D" w14:paraId="33222646" w14:textId="77777777" w:rsidTr="00676D57">
        <w:tc>
          <w:tcPr>
            <w:tcW w:w="945" w:type="dxa"/>
          </w:tcPr>
          <w:p w14:paraId="32D2ECB1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15B0CFD9">
              <w:rPr>
                <w:rFonts w:eastAsia="Times New Roman" w:cs="Times New Roman"/>
                <w:sz w:val="20"/>
                <w:szCs w:val="20"/>
              </w:rPr>
              <w:t>Lindmark et al.</w:t>
            </w:r>
            <w:r>
              <w:rPr>
                <w:rFonts w:eastAsia="Times New Roman" w:cs="Times New Roman"/>
                <w:sz w:val="20"/>
                <w:szCs w:val="20"/>
                <w:vertAlign w:val="superscript"/>
              </w:rPr>
              <w:t>21</w:t>
            </w:r>
          </w:p>
        </w:tc>
        <w:tc>
          <w:tcPr>
            <w:tcW w:w="795" w:type="dxa"/>
          </w:tcPr>
          <w:p w14:paraId="60CF1F5C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15B0CFD9">
              <w:rPr>
                <w:rFonts w:eastAsia="Times New Roman" w:cs="Times New Roman"/>
                <w:sz w:val="20"/>
                <w:szCs w:val="20"/>
              </w:rPr>
              <w:t>Yes, it included a broad cohort of HF patients.</w:t>
            </w:r>
          </w:p>
        </w:tc>
        <w:tc>
          <w:tcPr>
            <w:tcW w:w="885" w:type="dxa"/>
          </w:tcPr>
          <w:p w14:paraId="04F2FD31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15B0CFD9">
              <w:rPr>
                <w:rFonts w:eastAsia="Times New Roman" w:cs="Times New Roman"/>
                <w:sz w:val="20"/>
                <w:szCs w:val="20"/>
              </w:rPr>
              <w:t>No, participants were selectively screened based on pre-defined criteria.</w:t>
            </w:r>
          </w:p>
        </w:tc>
        <w:tc>
          <w:tcPr>
            <w:tcW w:w="885" w:type="dxa"/>
          </w:tcPr>
          <w:p w14:paraId="78E8026F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15B0CFD9">
              <w:rPr>
                <w:rFonts w:eastAsia="Times New Roman" w:cs="Times New Roman"/>
                <w:sz w:val="20"/>
                <w:szCs w:val="20"/>
              </w:rPr>
              <w:t>Unclear, no specific sample size justification was provided.</w:t>
            </w:r>
          </w:p>
        </w:tc>
        <w:tc>
          <w:tcPr>
            <w:tcW w:w="900" w:type="dxa"/>
          </w:tcPr>
          <w:p w14:paraId="77B26105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15B0CFD9">
              <w:rPr>
                <w:rFonts w:eastAsia="Times New Roman" w:cs="Times New Roman"/>
                <w:sz w:val="20"/>
                <w:szCs w:val="20"/>
              </w:rPr>
              <w:t>Yes, baseline characteristics were well described.</w:t>
            </w:r>
          </w:p>
          <w:p w14:paraId="1140F109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915" w:type="dxa"/>
          </w:tcPr>
          <w:p w14:paraId="036B8F42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15B0CFD9">
              <w:rPr>
                <w:rFonts w:eastAsia="Times New Roman" w:cs="Times New Roman"/>
                <w:sz w:val="20"/>
                <w:szCs w:val="20"/>
              </w:rPr>
              <w:t>No, there was some drop-off, with a subset of subjects not undergoing imaging.</w:t>
            </w:r>
          </w:p>
        </w:tc>
        <w:tc>
          <w:tcPr>
            <w:tcW w:w="1020" w:type="dxa"/>
          </w:tcPr>
          <w:p w14:paraId="5063982A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15B0CFD9">
              <w:rPr>
                <w:rFonts w:eastAsia="Times New Roman" w:cs="Times New Roman"/>
                <w:sz w:val="20"/>
                <w:szCs w:val="20"/>
              </w:rPr>
              <w:t>Yes, standardized diagnostic criteria were used.</w:t>
            </w:r>
          </w:p>
        </w:tc>
        <w:tc>
          <w:tcPr>
            <w:tcW w:w="1080" w:type="dxa"/>
          </w:tcPr>
          <w:p w14:paraId="17D15E26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15B0CFD9">
              <w:rPr>
                <w:rFonts w:eastAsia="Times New Roman" w:cs="Times New Roman"/>
                <w:sz w:val="20"/>
                <w:szCs w:val="20"/>
              </w:rPr>
              <w:t>Yes, all patients underwent standardized lab testing and scintigraphy protocols.</w:t>
            </w:r>
          </w:p>
        </w:tc>
        <w:tc>
          <w:tcPr>
            <w:tcW w:w="1245" w:type="dxa"/>
          </w:tcPr>
          <w:p w14:paraId="561597F1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15B0CFD9">
              <w:rPr>
                <w:rFonts w:eastAsia="Times New Roman" w:cs="Times New Roman"/>
                <w:sz w:val="20"/>
                <w:szCs w:val="20"/>
              </w:rPr>
              <w:t>Yes, prevalence was reported with clear numerator/denominator.</w:t>
            </w:r>
          </w:p>
        </w:tc>
        <w:tc>
          <w:tcPr>
            <w:tcW w:w="1250" w:type="dxa"/>
          </w:tcPr>
          <w:p w14:paraId="1572E4FA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15B0CFD9">
              <w:rPr>
                <w:rFonts w:eastAsia="Times New Roman" w:cs="Times New Roman"/>
                <w:sz w:val="20"/>
                <w:szCs w:val="20"/>
              </w:rPr>
              <w:t>Yes, the response rate was adequate, with only a minimal number of non-responders, all of whom were clearly reported and appropriately handled in the analysis.</w:t>
            </w:r>
          </w:p>
        </w:tc>
        <w:tc>
          <w:tcPr>
            <w:tcW w:w="1470" w:type="dxa"/>
          </w:tcPr>
          <w:p w14:paraId="73C6F7ED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/>
                <w:sz w:val="20"/>
                <w:szCs w:val="20"/>
              </w:rPr>
              <w:t>High</w:t>
            </w:r>
            <w:r w:rsidRPr="15B0CFD9">
              <w:rPr>
                <w:rFonts w:eastAsia="Times New Roman" w:cs="Times New Roman"/>
                <w:sz w:val="20"/>
                <w:szCs w:val="20"/>
              </w:rPr>
              <w:t xml:space="preserve"> risk of bias.</w:t>
            </w:r>
          </w:p>
        </w:tc>
      </w:tr>
      <w:tr w:rsidR="0005575D" w14:paraId="70FDF5F0" w14:textId="77777777" w:rsidTr="00676D57">
        <w:tc>
          <w:tcPr>
            <w:tcW w:w="945" w:type="dxa"/>
          </w:tcPr>
          <w:p w14:paraId="402329EA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15B0CFD9">
              <w:rPr>
                <w:rFonts w:eastAsia="Times New Roman" w:cs="Times New Roman"/>
                <w:sz w:val="20"/>
                <w:szCs w:val="20"/>
              </w:rPr>
              <w:t>Devesa et al.</w:t>
            </w:r>
            <w:r>
              <w:rPr>
                <w:rFonts w:eastAsia="Times New Roman" w:cs="Times New Roman"/>
                <w:sz w:val="20"/>
                <w:szCs w:val="20"/>
                <w:vertAlign w:val="superscript"/>
              </w:rPr>
              <w:t>22</w:t>
            </w:r>
          </w:p>
        </w:tc>
        <w:tc>
          <w:tcPr>
            <w:tcW w:w="795" w:type="dxa"/>
          </w:tcPr>
          <w:p w14:paraId="200BD1B9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15B0CFD9">
              <w:rPr>
                <w:rFonts w:eastAsia="Times New Roman" w:cs="Times New Roman"/>
                <w:sz w:val="20"/>
                <w:szCs w:val="20"/>
              </w:rPr>
              <w:t>Yes, it included a broad cohort of HF patients.</w:t>
            </w:r>
          </w:p>
        </w:tc>
        <w:tc>
          <w:tcPr>
            <w:tcW w:w="885" w:type="dxa"/>
          </w:tcPr>
          <w:p w14:paraId="00796646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15B0CFD9">
              <w:rPr>
                <w:rFonts w:eastAsia="Times New Roman" w:cs="Times New Roman"/>
                <w:sz w:val="20"/>
                <w:szCs w:val="20"/>
              </w:rPr>
              <w:t>Yes, patients were prospectively enrolled.</w:t>
            </w:r>
          </w:p>
        </w:tc>
        <w:tc>
          <w:tcPr>
            <w:tcW w:w="885" w:type="dxa"/>
          </w:tcPr>
          <w:p w14:paraId="4C554A85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15B0CFD9">
              <w:rPr>
                <w:rFonts w:eastAsia="Times New Roman" w:cs="Times New Roman"/>
                <w:sz w:val="20"/>
                <w:szCs w:val="20"/>
              </w:rPr>
              <w:t>Unclear, no specific sample size justification was provided.</w:t>
            </w:r>
          </w:p>
        </w:tc>
        <w:tc>
          <w:tcPr>
            <w:tcW w:w="900" w:type="dxa"/>
          </w:tcPr>
          <w:p w14:paraId="7F18A7E8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15B0CFD9">
              <w:rPr>
                <w:rFonts w:eastAsia="Times New Roman" w:cs="Times New Roman"/>
                <w:sz w:val="20"/>
                <w:szCs w:val="20"/>
              </w:rPr>
              <w:t>Yes, baseline characteristics were well described.</w:t>
            </w:r>
          </w:p>
        </w:tc>
        <w:tc>
          <w:tcPr>
            <w:tcW w:w="915" w:type="dxa"/>
          </w:tcPr>
          <w:p w14:paraId="6FEE618B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15B0CFD9">
              <w:rPr>
                <w:rFonts w:eastAsia="Times New Roman" w:cs="Times New Roman"/>
                <w:sz w:val="20"/>
                <w:szCs w:val="20"/>
              </w:rPr>
              <w:t>No, there was some drop-off, with a subset of subjects not undergoing imaging</w:t>
            </w:r>
          </w:p>
        </w:tc>
        <w:tc>
          <w:tcPr>
            <w:tcW w:w="1020" w:type="dxa"/>
          </w:tcPr>
          <w:p w14:paraId="272111DA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15B0CFD9">
              <w:rPr>
                <w:rFonts w:eastAsia="Times New Roman" w:cs="Times New Roman"/>
                <w:sz w:val="20"/>
                <w:szCs w:val="20"/>
              </w:rPr>
              <w:t>Yes, standardized diagnostic criteria were used.</w:t>
            </w:r>
          </w:p>
        </w:tc>
        <w:tc>
          <w:tcPr>
            <w:tcW w:w="1080" w:type="dxa"/>
          </w:tcPr>
          <w:p w14:paraId="3AB69184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15B0CFD9">
              <w:rPr>
                <w:rFonts w:eastAsia="Times New Roman" w:cs="Times New Roman"/>
                <w:sz w:val="20"/>
                <w:szCs w:val="20"/>
              </w:rPr>
              <w:t>Yes, all patients underwent standardized scintigraphy protocols.</w:t>
            </w:r>
          </w:p>
        </w:tc>
        <w:tc>
          <w:tcPr>
            <w:tcW w:w="1245" w:type="dxa"/>
          </w:tcPr>
          <w:p w14:paraId="08F94D13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15B0CFD9">
              <w:rPr>
                <w:rFonts w:eastAsia="Times New Roman" w:cs="Times New Roman"/>
                <w:sz w:val="20"/>
                <w:szCs w:val="20"/>
              </w:rPr>
              <w:t>Yes, prevalence was reported with clear numerator/denominator.</w:t>
            </w:r>
          </w:p>
        </w:tc>
        <w:tc>
          <w:tcPr>
            <w:tcW w:w="1250" w:type="dxa"/>
          </w:tcPr>
          <w:p w14:paraId="5F0E7664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15B0CFD9">
              <w:rPr>
                <w:rFonts w:eastAsia="Times New Roman" w:cs="Times New Roman"/>
                <w:sz w:val="20"/>
                <w:szCs w:val="20"/>
              </w:rPr>
              <w:t xml:space="preserve">Yes, the response rate was adequate, with only a minimal number of non-responders, all of whom </w:t>
            </w:r>
            <w:r w:rsidRPr="15B0CFD9">
              <w:rPr>
                <w:rFonts w:eastAsia="Times New Roman" w:cs="Times New Roman"/>
                <w:sz w:val="20"/>
                <w:szCs w:val="20"/>
              </w:rPr>
              <w:lastRenderedPageBreak/>
              <w:t>were clearly reported and appropriately handled in the analysis.</w:t>
            </w:r>
          </w:p>
          <w:p w14:paraId="48E0C5C6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1470" w:type="dxa"/>
          </w:tcPr>
          <w:p w14:paraId="721028E6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15B0CFD9">
              <w:rPr>
                <w:rFonts w:eastAsia="Times New Roman" w:cs="Times New Roman"/>
                <w:sz w:val="20"/>
                <w:szCs w:val="20"/>
              </w:rPr>
              <w:lastRenderedPageBreak/>
              <w:t>Moderate risk of bias.</w:t>
            </w:r>
          </w:p>
        </w:tc>
      </w:tr>
      <w:tr w:rsidR="0005575D" w14:paraId="2967EF7B" w14:textId="77777777" w:rsidTr="00676D57">
        <w:tc>
          <w:tcPr>
            <w:tcW w:w="945" w:type="dxa"/>
          </w:tcPr>
          <w:p w14:paraId="59D0F817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15B0CFD9">
              <w:rPr>
                <w:rFonts w:eastAsia="Times New Roman" w:cs="Times New Roman"/>
                <w:sz w:val="20"/>
                <w:szCs w:val="20"/>
              </w:rPr>
              <w:t>Hahn et al.</w:t>
            </w:r>
            <w:r>
              <w:rPr>
                <w:rFonts w:eastAsia="Times New Roman" w:cs="Times New Roman"/>
                <w:sz w:val="20"/>
                <w:szCs w:val="20"/>
                <w:vertAlign w:val="superscript"/>
              </w:rPr>
              <w:t>23</w:t>
            </w:r>
          </w:p>
        </w:tc>
        <w:tc>
          <w:tcPr>
            <w:tcW w:w="795" w:type="dxa"/>
          </w:tcPr>
          <w:p w14:paraId="40CA6698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15B0CFD9">
              <w:rPr>
                <w:rFonts w:eastAsia="Times New Roman" w:cs="Times New Roman"/>
                <w:sz w:val="20"/>
                <w:szCs w:val="20"/>
              </w:rPr>
              <w:t>Yes, it included a cohort of HFpEF patients.</w:t>
            </w:r>
          </w:p>
        </w:tc>
        <w:tc>
          <w:tcPr>
            <w:tcW w:w="885" w:type="dxa"/>
          </w:tcPr>
          <w:p w14:paraId="2FCE9FB3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15B0CFD9">
              <w:rPr>
                <w:rFonts w:eastAsia="Times New Roman" w:cs="Times New Roman"/>
                <w:sz w:val="20"/>
                <w:szCs w:val="20"/>
              </w:rPr>
              <w:t>Yes, patients were prospectively enrolled.</w:t>
            </w:r>
          </w:p>
        </w:tc>
        <w:tc>
          <w:tcPr>
            <w:tcW w:w="885" w:type="dxa"/>
          </w:tcPr>
          <w:p w14:paraId="24D15EA3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15B0CFD9">
              <w:rPr>
                <w:rFonts w:eastAsia="Times New Roman" w:cs="Times New Roman"/>
                <w:sz w:val="20"/>
                <w:szCs w:val="20"/>
              </w:rPr>
              <w:t>Unclear, no specific sample size justification was provided.</w:t>
            </w:r>
          </w:p>
        </w:tc>
        <w:tc>
          <w:tcPr>
            <w:tcW w:w="900" w:type="dxa"/>
          </w:tcPr>
          <w:p w14:paraId="0F284712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15B0CFD9">
              <w:rPr>
                <w:rFonts w:eastAsia="Times New Roman" w:cs="Times New Roman"/>
                <w:sz w:val="20"/>
                <w:szCs w:val="20"/>
              </w:rPr>
              <w:t>Yes, baseline characteristics were well described.</w:t>
            </w:r>
          </w:p>
          <w:p w14:paraId="173B2554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915" w:type="dxa"/>
          </w:tcPr>
          <w:p w14:paraId="5313CC4D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15B0CFD9">
              <w:rPr>
                <w:rFonts w:eastAsia="Times New Roman" w:cs="Times New Roman"/>
                <w:sz w:val="20"/>
                <w:szCs w:val="20"/>
              </w:rPr>
              <w:t>Yes, all identified patients underwent biopsy and were included in the final analysis.</w:t>
            </w:r>
          </w:p>
        </w:tc>
        <w:tc>
          <w:tcPr>
            <w:tcW w:w="1020" w:type="dxa"/>
          </w:tcPr>
          <w:p w14:paraId="39917612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15B0CFD9">
              <w:rPr>
                <w:rFonts w:eastAsia="Times New Roman" w:cs="Times New Roman"/>
                <w:sz w:val="20"/>
                <w:szCs w:val="20"/>
              </w:rPr>
              <w:t>Yes, CA was diagnosed by Congo red staining and mass spectrometry.</w:t>
            </w:r>
          </w:p>
        </w:tc>
        <w:tc>
          <w:tcPr>
            <w:tcW w:w="1080" w:type="dxa"/>
          </w:tcPr>
          <w:p w14:paraId="1C6B710D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15B0CFD9">
              <w:rPr>
                <w:rFonts w:eastAsia="Times New Roman" w:cs="Times New Roman"/>
                <w:sz w:val="20"/>
                <w:szCs w:val="20"/>
              </w:rPr>
              <w:t>Yes, uniform biopsy acquisition, staining, and pathology review were applied across all participants.</w:t>
            </w:r>
          </w:p>
        </w:tc>
        <w:tc>
          <w:tcPr>
            <w:tcW w:w="1245" w:type="dxa"/>
          </w:tcPr>
          <w:p w14:paraId="60DCB166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15B0CFD9">
              <w:rPr>
                <w:rFonts w:eastAsia="Times New Roman" w:cs="Times New Roman"/>
                <w:sz w:val="20"/>
                <w:szCs w:val="20"/>
              </w:rPr>
              <w:t>Yes, prevalence was reported with clear numerator/denominator.</w:t>
            </w:r>
          </w:p>
        </w:tc>
        <w:tc>
          <w:tcPr>
            <w:tcW w:w="1250" w:type="dxa"/>
          </w:tcPr>
          <w:p w14:paraId="0D8E804E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15B0CFD9">
              <w:rPr>
                <w:rFonts w:eastAsia="Times New Roman" w:cs="Times New Roman"/>
                <w:sz w:val="20"/>
                <w:szCs w:val="20"/>
              </w:rPr>
              <w:t>Yes, the response rate was adequate, with only a minimal number of non-responders, all of whom were clearly reported and appropriately handled in the analysis.</w:t>
            </w:r>
          </w:p>
          <w:p w14:paraId="2EDCF98B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1470" w:type="dxa"/>
          </w:tcPr>
          <w:p w14:paraId="6E5E0EBA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/>
                <w:sz w:val="20"/>
                <w:szCs w:val="20"/>
              </w:rPr>
              <w:t>Low</w:t>
            </w:r>
            <w:r w:rsidRPr="15B0CFD9">
              <w:rPr>
                <w:rFonts w:eastAsia="Times New Roman" w:cs="Times New Roman"/>
                <w:sz w:val="20"/>
                <w:szCs w:val="20"/>
              </w:rPr>
              <w:t xml:space="preserve"> risk of bias.</w:t>
            </w:r>
          </w:p>
        </w:tc>
      </w:tr>
      <w:tr w:rsidR="0005575D" w14:paraId="5471E350" w14:textId="77777777" w:rsidTr="00676D57">
        <w:tc>
          <w:tcPr>
            <w:tcW w:w="945" w:type="dxa"/>
          </w:tcPr>
          <w:p w14:paraId="135B098B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15B0CFD9">
              <w:rPr>
                <w:rFonts w:eastAsia="Times New Roman" w:cs="Times New Roman"/>
                <w:sz w:val="20"/>
                <w:szCs w:val="20"/>
              </w:rPr>
              <w:t>López-Sainz et al.</w:t>
            </w:r>
            <w:r>
              <w:rPr>
                <w:rFonts w:eastAsia="Times New Roman" w:cs="Times New Roman"/>
                <w:sz w:val="20"/>
                <w:szCs w:val="20"/>
                <w:vertAlign w:val="superscript"/>
              </w:rPr>
              <w:t>24</w:t>
            </w:r>
          </w:p>
        </w:tc>
        <w:tc>
          <w:tcPr>
            <w:tcW w:w="795" w:type="dxa"/>
          </w:tcPr>
          <w:p w14:paraId="2689D464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15B0CFD9">
              <w:rPr>
                <w:rFonts w:eastAsia="Times New Roman" w:cs="Times New Roman"/>
                <w:sz w:val="20"/>
                <w:szCs w:val="20"/>
              </w:rPr>
              <w:t>Yes, it included a cohort of HFpEF patients.</w:t>
            </w:r>
          </w:p>
        </w:tc>
        <w:tc>
          <w:tcPr>
            <w:tcW w:w="885" w:type="dxa"/>
          </w:tcPr>
          <w:p w14:paraId="10A5D154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15B0CFD9">
              <w:rPr>
                <w:rFonts w:eastAsia="Times New Roman" w:cs="Times New Roman"/>
                <w:sz w:val="20"/>
                <w:szCs w:val="20"/>
              </w:rPr>
              <w:t>Yes, enrollment was prospective and consecutive.</w:t>
            </w:r>
          </w:p>
        </w:tc>
        <w:tc>
          <w:tcPr>
            <w:tcW w:w="885" w:type="dxa"/>
          </w:tcPr>
          <w:p w14:paraId="445C448E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15B0CFD9">
              <w:rPr>
                <w:rFonts w:eastAsia="Times New Roman" w:cs="Times New Roman"/>
                <w:sz w:val="20"/>
                <w:szCs w:val="20"/>
              </w:rPr>
              <w:t>Unclear, no specific sample size justification was provided.</w:t>
            </w:r>
          </w:p>
        </w:tc>
        <w:tc>
          <w:tcPr>
            <w:tcW w:w="900" w:type="dxa"/>
          </w:tcPr>
          <w:p w14:paraId="22BEC88A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15B0CFD9">
              <w:rPr>
                <w:rFonts w:eastAsia="Times New Roman" w:cs="Times New Roman"/>
                <w:sz w:val="20"/>
                <w:szCs w:val="20"/>
              </w:rPr>
              <w:t>Yes, baseline characteristics were well described.</w:t>
            </w:r>
          </w:p>
        </w:tc>
        <w:tc>
          <w:tcPr>
            <w:tcW w:w="915" w:type="dxa"/>
          </w:tcPr>
          <w:p w14:paraId="0C201E84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15B0CFD9">
              <w:rPr>
                <w:rFonts w:eastAsia="Times New Roman" w:cs="Times New Roman"/>
                <w:sz w:val="20"/>
                <w:szCs w:val="20"/>
              </w:rPr>
              <w:t>Yes, all enrolled patients underwent analysis.</w:t>
            </w:r>
          </w:p>
        </w:tc>
        <w:tc>
          <w:tcPr>
            <w:tcW w:w="1020" w:type="dxa"/>
          </w:tcPr>
          <w:p w14:paraId="473F7343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15B0CFD9">
              <w:rPr>
                <w:rFonts w:eastAsia="Times New Roman" w:cs="Times New Roman"/>
                <w:sz w:val="20"/>
                <w:szCs w:val="20"/>
              </w:rPr>
              <w:t>Yes, standardized diagnostic criteria were used.</w:t>
            </w:r>
          </w:p>
        </w:tc>
        <w:tc>
          <w:tcPr>
            <w:tcW w:w="1080" w:type="dxa"/>
          </w:tcPr>
          <w:p w14:paraId="6835ABDA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15B0CFD9">
              <w:rPr>
                <w:rFonts w:eastAsia="Times New Roman" w:cs="Times New Roman"/>
                <w:sz w:val="20"/>
                <w:szCs w:val="20"/>
              </w:rPr>
              <w:t>Yes, all patients underwent standardized scintigraphy protocols.</w:t>
            </w:r>
          </w:p>
        </w:tc>
        <w:tc>
          <w:tcPr>
            <w:tcW w:w="1245" w:type="dxa"/>
          </w:tcPr>
          <w:p w14:paraId="6E0EB437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15B0CFD9">
              <w:rPr>
                <w:rFonts w:eastAsia="Times New Roman" w:cs="Times New Roman"/>
                <w:sz w:val="20"/>
                <w:szCs w:val="20"/>
              </w:rPr>
              <w:t>Yes, prevalence was reported with clear numerator/denominator.</w:t>
            </w:r>
          </w:p>
        </w:tc>
        <w:tc>
          <w:tcPr>
            <w:tcW w:w="1250" w:type="dxa"/>
          </w:tcPr>
          <w:p w14:paraId="4524A302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15B0CFD9">
              <w:rPr>
                <w:rFonts w:eastAsia="Times New Roman" w:cs="Times New Roman"/>
                <w:sz w:val="20"/>
                <w:szCs w:val="20"/>
              </w:rPr>
              <w:t>Yes, all eligible patients completed diagnostic assessment.</w:t>
            </w:r>
          </w:p>
        </w:tc>
        <w:tc>
          <w:tcPr>
            <w:tcW w:w="1470" w:type="dxa"/>
          </w:tcPr>
          <w:p w14:paraId="298E557A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15B0CFD9">
              <w:rPr>
                <w:rFonts w:eastAsia="Times New Roman" w:cs="Times New Roman"/>
                <w:sz w:val="20"/>
                <w:szCs w:val="20"/>
              </w:rPr>
              <w:t>Low risk of bias.</w:t>
            </w:r>
          </w:p>
        </w:tc>
      </w:tr>
      <w:tr w:rsidR="0005575D" w14:paraId="1468585E" w14:textId="77777777" w:rsidTr="00676D57">
        <w:tc>
          <w:tcPr>
            <w:tcW w:w="945" w:type="dxa"/>
          </w:tcPr>
          <w:p w14:paraId="302A6488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15B0CFD9">
              <w:rPr>
                <w:rFonts w:eastAsia="Times New Roman" w:cs="Times New Roman"/>
                <w:sz w:val="20"/>
                <w:szCs w:val="20"/>
              </w:rPr>
              <w:t>Bennani-Smires et al.</w:t>
            </w:r>
            <w:r>
              <w:rPr>
                <w:rFonts w:eastAsia="Times New Roman" w:cs="Times New Roman"/>
                <w:sz w:val="20"/>
                <w:szCs w:val="20"/>
                <w:vertAlign w:val="superscript"/>
              </w:rPr>
              <w:t>25</w:t>
            </w:r>
          </w:p>
        </w:tc>
        <w:tc>
          <w:tcPr>
            <w:tcW w:w="795" w:type="dxa"/>
          </w:tcPr>
          <w:p w14:paraId="655F8188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15B0CFD9">
              <w:rPr>
                <w:rFonts w:eastAsia="Times New Roman" w:cs="Times New Roman"/>
                <w:sz w:val="20"/>
                <w:szCs w:val="20"/>
              </w:rPr>
              <w:t>Yes, it included a broad cohort of HFpEF patients.</w:t>
            </w:r>
          </w:p>
          <w:p w14:paraId="1BF92D3A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885" w:type="dxa"/>
          </w:tcPr>
          <w:p w14:paraId="4148D659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15B0CFD9">
              <w:rPr>
                <w:rFonts w:eastAsia="Times New Roman" w:cs="Times New Roman"/>
                <w:sz w:val="20"/>
                <w:szCs w:val="20"/>
              </w:rPr>
              <w:t>No, inclusion was based on clinical suspicion</w:t>
            </w:r>
            <w:r>
              <w:rPr>
                <w:rFonts w:eastAsia="Times New Roman" w:cs="Times New Roman"/>
                <w:sz w:val="20"/>
                <w:szCs w:val="20"/>
              </w:rPr>
              <w:t>,</w:t>
            </w:r>
            <w:r w:rsidRPr="15B0CFD9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>
              <w:rPr>
                <w:rFonts w:eastAsia="Times New Roman" w:cs="Times New Roman"/>
                <w:sz w:val="20"/>
                <w:szCs w:val="20"/>
              </w:rPr>
              <w:t>which may have introduced</w:t>
            </w:r>
            <w:r w:rsidRPr="15B0CFD9">
              <w:rPr>
                <w:rFonts w:eastAsia="Times New Roman" w:cs="Times New Roman"/>
                <w:sz w:val="20"/>
                <w:szCs w:val="20"/>
              </w:rPr>
              <w:t xml:space="preserve"> bias.</w:t>
            </w:r>
          </w:p>
        </w:tc>
        <w:tc>
          <w:tcPr>
            <w:tcW w:w="885" w:type="dxa"/>
          </w:tcPr>
          <w:p w14:paraId="2253EABA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15B0CFD9">
              <w:rPr>
                <w:rFonts w:eastAsia="Times New Roman" w:cs="Times New Roman"/>
                <w:sz w:val="20"/>
                <w:szCs w:val="20"/>
              </w:rPr>
              <w:t>Unclear, no specific sample size justification was provided.</w:t>
            </w:r>
          </w:p>
          <w:p w14:paraId="0860A59C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900" w:type="dxa"/>
          </w:tcPr>
          <w:p w14:paraId="7EBE0272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15B0CFD9">
              <w:rPr>
                <w:rFonts w:eastAsia="Times New Roman" w:cs="Times New Roman"/>
                <w:sz w:val="20"/>
                <w:szCs w:val="20"/>
              </w:rPr>
              <w:t>Yes, baseline characteristics were well described.</w:t>
            </w:r>
          </w:p>
          <w:p w14:paraId="5A70D922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</w:p>
          <w:p w14:paraId="3646C1CC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915" w:type="dxa"/>
          </w:tcPr>
          <w:p w14:paraId="53857DC9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15B0CFD9">
              <w:rPr>
                <w:rFonts w:eastAsia="Times New Roman" w:cs="Times New Roman"/>
                <w:sz w:val="20"/>
                <w:szCs w:val="20"/>
              </w:rPr>
              <w:t>Yes, all enrolled patients underwent analysis.</w:t>
            </w:r>
          </w:p>
          <w:p w14:paraId="43375738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1020" w:type="dxa"/>
          </w:tcPr>
          <w:p w14:paraId="3D19D8F5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15B0CFD9">
              <w:rPr>
                <w:rFonts w:eastAsia="Times New Roman" w:cs="Times New Roman"/>
                <w:sz w:val="20"/>
                <w:szCs w:val="20"/>
              </w:rPr>
              <w:t>Yes, standardized diagnostic criteria were used.</w:t>
            </w:r>
          </w:p>
          <w:p w14:paraId="23A51223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1080" w:type="dxa"/>
          </w:tcPr>
          <w:p w14:paraId="0EB5881C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15B0CFD9">
              <w:rPr>
                <w:rFonts w:eastAsia="Times New Roman" w:cs="Times New Roman"/>
                <w:sz w:val="20"/>
                <w:szCs w:val="20"/>
              </w:rPr>
              <w:t>Yes, all patients underwent standardized scintigraphy protocols.</w:t>
            </w:r>
          </w:p>
        </w:tc>
        <w:tc>
          <w:tcPr>
            <w:tcW w:w="1245" w:type="dxa"/>
          </w:tcPr>
          <w:p w14:paraId="653340E8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15B0CFD9">
              <w:rPr>
                <w:rFonts w:eastAsia="Times New Roman" w:cs="Times New Roman"/>
                <w:sz w:val="20"/>
                <w:szCs w:val="20"/>
              </w:rPr>
              <w:t>Yes, prevalence was reported with clear numerator/denominator.</w:t>
            </w:r>
          </w:p>
        </w:tc>
        <w:tc>
          <w:tcPr>
            <w:tcW w:w="1250" w:type="dxa"/>
          </w:tcPr>
          <w:p w14:paraId="7A4E00F5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15B0CFD9">
              <w:rPr>
                <w:rFonts w:eastAsia="Times New Roman" w:cs="Times New Roman"/>
                <w:sz w:val="20"/>
                <w:szCs w:val="20"/>
              </w:rPr>
              <w:t>Yes, all eligible patients completed diagnostic assessment.</w:t>
            </w:r>
          </w:p>
          <w:p w14:paraId="1D87C0CD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1470" w:type="dxa"/>
          </w:tcPr>
          <w:p w14:paraId="7BFC2D72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15B0CFD9">
              <w:rPr>
                <w:rFonts w:eastAsia="Times New Roman" w:cs="Times New Roman"/>
                <w:sz w:val="20"/>
                <w:szCs w:val="20"/>
              </w:rPr>
              <w:t>Moderate risk of bias.</w:t>
            </w:r>
          </w:p>
        </w:tc>
      </w:tr>
      <w:tr w:rsidR="0005575D" w14:paraId="73B78DBC" w14:textId="77777777" w:rsidTr="00676D57">
        <w:tc>
          <w:tcPr>
            <w:tcW w:w="945" w:type="dxa"/>
          </w:tcPr>
          <w:p w14:paraId="0212BBA2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15B0CFD9">
              <w:rPr>
                <w:rFonts w:eastAsia="Times New Roman" w:cs="Times New Roman"/>
                <w:sz w:val="20"/>
                <w:szCs w:val="20"/>
              </w:rPr>
              <w:t>González-López et al.</w:t>
            </w:r>
            <w:r>
              <w:rPr>
                <w:rFonts w:eastAsia="Times New Roman" w:cs="Times New Roman"/>
                <w:sz w:val="20"/>
                <w:szCs w:val="20"/>
                <w:vertAlign w:val="superscript"/>
              </w:rPr>
              <w:t>8</w:t>
            </w:r>
          </w:p>
        </w:tc>
        <w:tc>
          <w:tcPr>
            <w:tcW w:w="795" w:type="dxa"/>
          </w:tcPr>
          <w:p w14:paraId="23B4F325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15B0CFD9">
              <w:rPr>
                <w:rFonts w:eastAsia="Times New Roman" w:cs="Times New Roman"/>
                <w:sz w:val="20"/>
                <w:szCs w:val="20"/>
              </w:rPr>
              <w:t>Yes, it included a cohort of HFpEF patients.</w:t>
            </w:r>
          </w:p>
        </w:tc>
        <w:tc>
          <w:tcPr>
            <w:tcW w:w="885" w:type="dxa"/>
          </w:tcPr>
          <w:p w14:paraId="6FE09C3F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15B0CFD9">
              <w:rPr>
                <w:rFonts w:eastAsia="Times New Roman" w:cs="Times New Roman"/>
                <w:sz w:val="20"/>
                <w:szCs w:val="20"/>
              </w:rPr>
              <w:t>Yes, enrollment was prospective and consecutive.</w:t>
            </w:r>
          </w:p>
          <w:p w14:paraId="16D70A82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885" w:type="dxa"/>
          </w:tcPr>
          <w:p w14:paraId="52BAED2D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15B0CFD9">
              <w:rPr>
                <w:rFonts w:eastAsia="Times New Roman" w:cs="Times New Roman"/>
                <w:sz w:val="20"/>
                <w:szCs w:val="20"/>
              </w:rPr>
              <w:t>Unclear, no specific sample size justification was provided.</w:t>
            </w:r>
          </w:p>
        </w:tc>
        <w:tc>
          <w:tcPr>
            <w:tcW w:w="900" w:type="dxa"/>
          </w:tcPr>
          <w:p w14:paraId="6829A9EB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15B0CFD9">
              <w:rPr>
                <w:rFonts w:eastAsia="Times New Roman" w:cs="Times New Roman"/>
                <w:sz w:val="20"/>
                <w:szCs w:val="20"/>
              </w:rPr>
              <w:t>Yes, baseline characteristics were well described.</w:t>
            </w:r>
          </w:p>
          <w:p w14:paraId="21687CA8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915" w:type="dxa"/>
          </w:tcPr>
          <w:p w14:paraId="4082FC2B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15B0CFD9">
              <w:rPr>
                <w:rFonts w:eastAsia="Times New Roman" w:cs="Times New Roman"/>
                <w:sz w:val="20"/>
                <w:szCs w:val="20"/>
              </w:rPr>
              <w:t>Yes, most of the enrolled patients underwent analysis.</w:t>
            </w:r>
          </w:p>
        </w:tc>
        <w:tc>
          <w:tcPr>
            <w:tcW w:w="1020" w:type="dxa"/>
          </w:tcPr>
          <w:p w14:paraId="7C10CDDE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15B0CFD9">
              <w:rPr>
                <w:rFonts w:eastAsia="Times New Roman" w:cs="Times New Roman"/>
                <w:sz w:val="20"/>
                <w:szCs w:val="20"/>
              </w:rPr>
              <w:t>Yes, standardized diagnostic criteria were used.</w:t>
            </w:r>
          </w:p>
        </w:tc>
        <w:tc>
          <w:tcPr>
            <w:tcW w:w="1080" w:type="dxa"/>
          </w:tcPr>
          <w:p w14:paraId="2BB6AC18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15B0CFD9">
              <w:rPr>
                <w:rFonts w:eastAsia="Times New Roman" w:cs="Times New Roman"/>
                <w:sz w:val="20"/>
                <w:szCs w:val="20"/>
              </w:rPr>
              <w:t>Yes, all patients underwent standardized scintigraphy protocols.</w:t>
            </w:r>
          </w:p>
        </w:tc>
        <w:tc>
          <w:tcPr>
            <w:tcW w:w="1245" w:type="dxa"/>
          </w:tcPr>
          <w:p w14:paraId="19F4E4AB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15B0CFD9">
              <w:rPr>
                <w:rFonts w:eastAsia="Times New Roman" w:cs="Times New Roman"/>
                <w:sz w:val="20"/>
                <w:szCs w:val="20"/>
              </w:rPr>
              <w:t>Yes, prevalence was reported with clear numerator/denominator.</w:t>
            </w:r>
          </w:p>
        </w:tc>
        <w:tc>
          <w:tcPr>
            <w:tcW w:w="1250" w:type="dxa"/>
          </w:tcPr>
          <w:p w14:paraId="62F546B1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15B0CFD9">
              <w:rPr>
                <w:rFonts w:eastAsia="Times New Roman" w:cs="Times New Roman"/>
                <w:sz w:val="20"/>
                <w:szCs w:val="20"/>
              </w:rPr>
              <w:t>Yes, the response rate was adequate, with only a minimal number of non-responders, all of whom were clearly reported and appropriately handled in the analysis.</w:t>
            </w:r>
          </w:p>
          <w:p w14:paraId="76A5D495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1470" w:type="dxa"/>
          </w:tcPr>
          <w:p w14:paraId="52D941A1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15B0CFD9">
              <w:rPr>
                <w:rFonts w:eastAsia="Times New Roman" w:cs="Times New Roman"/>
                <w:sz w:val="20"/>
                <w:szCs w:val="20"/>
              </w:rPr>
              <w:t>Low</w:t>
            </w:r>
            <w:r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Pr="15B0CFD9">
              <w:rPr>
                <w:rFonts w:eastAsia="Times New Roman" w:cs="Times New Roman"/>
                <w:sz w:val="20"/>
                <w:szCs w:val="20"/>
              </w:rPr>
              <w:t>risk of bias.</w:t>
            </w:r>
          </w:p>
        </w:tc>
      </w:tr>
      <w:tr w:rsidR="0005575D" w14:paraId="237A28AC" w14:textId="77777777" w:rsidTr="00676D57">
        <w:trPr>
          <w:trHeight w:val="300"/>
        </w:trPr>
        <w:tc>
          <w:tcPr>
            <w:tcW w:w="945" w:type="dxa"/>
          </w:tcPr>
          <w:p w14:paraId="63C553BD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15B0CFD9">
              <w:rPr>
                <w:rFonts w:eastAsia="Times New Roman" w:cs="Times New Roman"/>
                <w:sz w:val="20"/>
                <w:szCs w:val="20"/>
              </w:rPr>
              <w:t>Mohammed et al.</w:t>
            </w:r>
            <w:r>
              <w:rPr>
                <w:rFonts w:eastAsia="Times New Roman" w:cs="Times New Roman"/>
                <w:sz w:val="20"/>
                <w:szCs w:val="20"/>
                <w:vertAlign w:val="superscript"/>
              </w:rPr>
              <w:t>26</w:t>
            </w:r>
          </w:p>
        </w:tc>
        <w:tc>
          <w:tcPr>
            <w:tcW w:w="795" w:type="dxa"/>
          </w:tcPr>
          <w:p w14:paraId="242A6FF9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15B0CFD9">
              <w:rPr>
                <w:rFonts w:eastAsia="Times New Roman" w:cs="Times New Roman"/>
                <w:sz w:val="20"/>
                <w:szCs w:val="20"/>
              </w:rPr>
              <w:t>Yes, it included a cohort of HFpEF patients.</w:t>
            </w:r>
          </w:p>
        </w:tc>
        <w:tc>
          <w:tcPr>
            <w:tcW w:w="885" w:type="dxa"/>
          </w:tcPr>
          <w:p w14:paraId="0B167608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15B0CFD9">
              <w:rPr>
                <w:rFonts w:eastAsia="Times New Roman" w:cs="Times New Roman"/>
                <w:sz w:val="20"/>
                <w:szCs w:val="20"/>
              </w:rPr>
              <w:t xml:space="preserve">Yes, HFpEF cases were identified </w:t>
            </w:r>
            <w:r w:rsidRPr="15B0CFD9">
              <w:rPr>
                <w:rFonts w:eastAsia="Times New Roman" w:cs="Times New Roman"/>
                <w:sz w:val="20"/>
                <w:szCs w:val="20"/>
              </w:rPr>
              <w:lastRenderedPageBreak/>
              <w:t>from population-based administrative cohorts and linked to consecutive autopsies.</w:t>
            </w:r>
          </w:p>
        </w:tc>
        <w:tc>
          <w:tcPr>
            <w:tcW w:w="885" w:type="dxa"/>
          </w:tcPr>
          <w:p w14:paraId="77BACAD3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15B0CFD9">
              <w:rPr>
                <w:rFonts w:eastAsia="Times New Roman" w:cs="Times New Roman"/>
                <w:sz w:val="20"/>
                <w:szCs w:val="20"/>
              </w:rPr>
              <w:lastRenderedPageBreak/>
              <w:t xml:space="preserve">Unclear, no specific sample size </w:t>
            </w:r>
            <w:r w:rsidRPr="15B0CFD9">
              <w:rPr>
                <w:rFonts w:eastAsia="Times New Roman" w:cs="Times New Roman"/>
                <w:sz w:val="20"/>
                <w:szCs w:val="20"/>
              </w:rPr>
              <w:lastRenderedPageBreak/>
              <w:t>justification was provided.</w:t>
            </w:r>
          </w:p>
        </w:tc>
        <w:tc>
          <w:tcPr>
            <w:tcW w:w="900" w:type="dxa"/>
          </w:tcPr>
          <w:p w14:paraId="5403EA27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15B0CFD9">
              <w:rPr>
                <w:rFonts w:eastAsia="Times New Roman" w:cs="Times New Roman"/>
                <w:sz w:val="20"/>
                <w:szCs w:val="20"/>
              </w:rPr>
              <w:lastRenderedPageBreak/>
              <w:t xml:space="preserve">Yes, baseline characteristics </w:t>
            </w:r>
            <w:r w:rsidRPr="15B0CFD9">
              <w:rPr>
                <w:rFonts w:eastAsia="Times New Roman" w:cs="Times New Roman"/>
                <w:sz w:val="20"/>
                <w:szCs w:val="20"/>
              </w:rPr>
              <w:lastRenderedPageBreak/>
              <w:t>were well described.</w:t>
            </w:r>
          </w:p>
        </w:tc>
        <w:tc>
          <w:tcPr>
            <w:tcW w:w="915" w:type="dxa"/>
          </w:tcPr>
          <w:p w14:paraId="353AAA6B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15B0CFD9">
              <w:rPr>
                <w:rFonts w:eastAsia="Times New Roman" w:cs="Times New Roman"/>
                <w:sz w:val="20"/>
                <w:szCs w:val="20"/>
              </w:rPr>
              <w:lastRenderedPageBreak/>
              <w:t xml:space="preserve">Yes, all enrolled patients </w:t>
            </w:r>
            <w:r w:rsidRPr="15B0CFD9">
              <w:rPr>
                <w:rFonts w:eastAsia="Times New Roman" w:cs="Times New Roman"/>
                <w:sz w:val="20"/>
                <w:szCs w:val="20"/>
              </w:rPr>
              <w:lastRenderedPageBreak/>
              <w:t>underwent analysis.</w:t>
            </w:r>
          </w:p>
        </w:tc>
        <w:tc>
          <w:tcPr>
            <w:tcW w:w="1020" w:type="dxa"/>
          </w:tcPr>
          <w:p w14:paraId="26A892F4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15B0CFD9">
              <w:rPr>
                <w:rFonts w:eastAsia="Times New Roman" w:cs="Times New Roman"/>
                <w:sz w:val="20"/>
                <w:szCs w:val="20"/>
              </w:rPr>
              <w:lastRenderedPageBreak/>
              <w:t xml:space="preserve">Yes, gold-standard approaches </w:t>
            </w:r>
            <w:r w:rsidRPr="15B0CFD9">
              <w:rPr>
                <w:rFonts w:eastAsia="Times New Roman" w:cs="Times New Roman"/>
                <w:sz w:val="20"/>
                <w:szCs w:val="20"/>
              </w:rPr>
              <w:lastRenderedPageBreak/>
              <w:t>were used including alcan blue screening and congo red confirmation and mass spectrometry.</w:t>
            </w:r>
          </w:p>
        </w:tc>
        <w:tc>
          <w:tcPr>
            <w:tcW w:w="1080" w:type="dxa"/>
          </w:tcPr>
          <w:p w14:paraId="2C1A6A71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15B0CFD9">
              <w:rPr>
                <w:rFonts w:eastAsia="Times New Roman" w:cs="Times New Roman"/>
                <w:sz w:val="20"/>
                <w:szCs w:val="20"/>
              </w:rPr>
              <w:lastRenderedPageBreak/>
              <w:t xml:space="preserve">Yes, this was applied </w:t>
            </w:r>
            <w:r w:rsidRPr="15B0CFD9">
              <w:rPr>
                <w:rFonts w:eastAsia="Times New Roman" w:cs="Times New Roman"/>
                <w:sz w:val="20"/>
                <w:szCs w:val="20"/>
              </w:rPr>
              <w:lastRenderedPageBreak/>
              <w:t>uniformly to all subjects</w:t>
            </w:r>
          </w:p>
        </w:tc>
        <w:tc>
          <w:tcPr>
            <w:tcW w:w="1245" w:type="dxa"/>
          </w:tcPr>
          <w:p w14:paraId="0C7235B0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15B0CFD9">
              <w:rPr>
                <w:rFonts w:eastAsia="Times New Roman" w:cs="Times New Roman"/>
                <w:sz w:val="20"/>
                <w:szCs w:val="20"/>
              </w:rPr>
              <w:lastRenderedPageBreak/>
              <w:t>Yes, prevalence was reported with clear numerator/denominator.</w:t>
            </w:r>
          </w:p>
        </w:tc>
        <w:tc>
          <w:tcPr>
            <w:tcW w:w="1250" w:type="dxa"/>
          </w:tcPr>
          <w:p w14:paraId="1482631A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15B0CFD9">
              <w:rPr>
                <w:rFonts w:eastAsia="Times New Roman" w:cs="Times New Roman"/>
                <w:sz w:val="20"/>
                <w:szCs w:val="20"/>
              </w:rPr>
              <w:t xml:space="preserve">Not applicable, as the study </w:t>
            </w:r>
            <w:r w:rsidRPr="15B0CFD9">
              <w:rPr>
                <w:rFonts w:eastAsia="Times New Roman" w:cs="Times New Roman"/>
                <w:sz w:val="20"/>
                <w:szCs w:val="20"/>
              </w:rPr>
              <w:lastRenderedPageBreak/>
              <w:t>was autopsy-based and did not involve participant response.</w:t>
            </w:r>
          </w:p>
        </w:tc>
        <w:tc>
          <w:tcPr>
            <w:tcW w:w="1470" w:type="dxa"/>
          </w:tcPr>
          <w:p w14:paraId="69209ED4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15B0CFD9">
              <w:rPr>
                <w:rFonts w:eastAsia="Times New Roman" w:cs="Times New Roman"/>
                <w:sz w:val="20"/>
                <w:szCs w:val="20"/>
              </w:rPr>
              <w:lastRenderedPageBreak/>
              <w:t>Moderate risk of bias.</w:t>
            </w:r>
          </w:p>
        </w:tc>
      </w:tr>
      <w:tr w:rsidR="0005575D" w14:paraId="6B8131A1" w14:textId="77777777" w:rsidTr="00676D57">
        <w:tc>
          <w:tcPr>
            <w:tcW w:w="945" w:type="dxa"/>
          </w:tcPr>
          <w:p w14:paraId="2077196A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15B0CFD9">
              <w:rPr>
                <w:rFonts w:eastAsia="Times New Roman" w:cs="Times New Roman"/>
                <w:sz w:val="20"/>
                <w:szCs w:val="20"/>
              </w:rPr>
              <w:t>Velliou et al.</w:t>
            </w:r>
            <w:r>
              <w:rPr>
                <w:rFonts w:eastAsia="Times New Roman" w:cs="Times New Roman"/>
                <w:sz w:val="20"/>
                <w:szCs w:val="20"/>
                <w:vertAlign w:val="superscript"/>
              </w:rPr>
              <w:t>27</w:t>
            </w:r>
          </w:p>
        </w:tc>
        <w:tc>
          <w:tcPr>
            <w:tcW w:w="795" w:type="dxa"/>
          </w:tcPr>
          <w:p w14:paraId="1416C390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15B0CFD9">
              <w:rPr>
                <w:rFonts w:eastAsia="Times New Roman" w:cs="Times New Roman"/>
                <w:sz w:val="20"/>
                <w:szCs w:val="20"/>
              </w:rPr>
              <w:t>Yes, it included a cohort of HF patients.</w:t>
            </w:r>
          </w:p>
          <w:p w14:paraId="48592CCD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885" w:type="dxa"/>
          </w:tcPr>
          <w:p w14:paraId="201884DF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15B0CFD9">
              <w:rPr>
                <w:rFonts w:eastAsia="Times New Roman" w:cs="Times New Roman"/>
                <w:sz w:val="20"/>
                <w:szCs w:val="20"/>
              </w:rPr>
              <w:t>Yes, enrollment was prospective and consecutive.</w:t>
            </w:r>
          </w:p>
        </w:tc>
        <w:tc>
          <w:tcPr>
            <w:tcW w:w="885" w:type="dxa"/>
          </w:tcPr>
          <w:p w14:paraId="67AE3507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15B0CFD9">
              <w:rPr>
                <w:rFonts w:eastAsia="Times New Roman" w:cs="Times New Roman"/>
                <w:sz w:val="20"/>
                <w:szCs w:val="20"/>
              </w:rPr>
              <w:t>Unclear, no specific sample size justification was provided.</w:t>
            </w:r>
          </w:p>
          <w:p w14:paraId="21353B77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900" w:type="dxa"/>
          </w:tcPr>
          <w:p w14:paraId="1237099E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15B0CFD9">
              <w:rPr>
                <w:rFonts w:eastAsia="Times New Roman" w:cs="Times New Roman"/>
                <w:sz w:val="20"/>
                <w:szCs w:val="20"/>
              </w:rPr>
              <w:t>Yes, baseline characteristics were well described.</w:t>
            </w:r>
          </w:p>
          <w:p w14:paraId="6478AD84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915" w:type="dxa"/>
          </w:tcPr>
          <w:p w14:paraId="04A586DC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15B0CFD9">
              <w:rPr>
                <w:rFonts w:eastAsia="Times New Roman" w:cs="Times New Roman"/>
                <w:sz w:val="20"/>
                <w:szCs w:val="20"/>
              </w:rPr>
              <w:t>Yes, all enrolled patients underwent analysis.</w:t>
            </w:r>
          </w:p>
        </w:tc>
        <w:tc>
          <w:tcPr>
            <w:tcW w:w="1020" w:type="dxa"/>
          </w:tcPr>
          <w:p w14:paraId="5D335A98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15B0CFD9">
              <w:rPr>
                <w:rFonts w:eastAsia="Times New Roman" w:cs="Times New Roman"/>
                <w:sz w:val="20"/>
                <w:szCs w:val="20"/>
              </w:rPr>
              <w:t>Yes, standardized diagnostic criteria were used.</w:t>
            </w:r>
          </w:p>
        </w:tc>
        <w:tc>
          <w:tcPr>
            <w:tcW w:w="1080" w:type="dxa"/>
          </w:tcPr>
          <w:p w14:paraId="16276DA9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15B0CFD9">
              <w:rPr>
                <w:rFonts w:eastAsia="Times New Roman" w:cs="Times New Roman"/>
                <w:sz w:val="20"/>
                <w:szCs w:val="20"/>
              </w:rPr>
              <w:t>Yes, all patients underwent standardized scintigraphy protocols.</w:t>
            </w:r>
          </w:p>
        </w:tc>
        <w:tc>
          <w:tcPr>
            <w:tcW w:w="1245" w:type="dxa"/>
          </w:tcPr>
          <w:p w14:paraId="01A6AA37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15B0CFD9">
              <w:rPr>
                <w:rFonts w:eastAsia="Times New Roman" w:cs="Times New Roman"/>
                <w:sz w:val="20"/>
                <w:szCs w:val="20"/>
              </w:rPr>
              <w:t>Yes, prevalence was reported with clear numerator/denominator.</w:t>
            </w:r>
          </w:p>
          <w:p w14:paraId="71DCADD5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1250" w:type="dxa"/>
          </w:tcPr>
          <w:p w14:paraId="3A05CAE1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15B0CFD9">
              <w:rPr>
                <w:rFonts w:eastAsia="Times New Roman" w:cs="Times New Roman"/>
                <w:sz w:val="20"/>
                <w:szCs w:val="20"/>
              </w:rPr>
              <w:t>Yes, all eligible patients completed diagnostic assessment.</w:t>
            </w:r>
          </w:p>
        </w:tc>
        <w:tc>
          <w:tcPr>
            <w:tcW w:w="1470" w:type="dxa"/>
          </w:tcPr>
          <w:p w14:paraId="0B44DA8E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15B0CFD9">
              <w:rPr>
                <w:rFonts w:eastAsia="Times New Roman" w:cs="Times New Roman"/>
                <w:sz w:val="20"/>
                <w:szCs w:val="20"/>
              </w:rPr>
              <w:t>Low risk of bias.</w:t>
            </w:r>
          </w:p>
        </w:tc>
      </w:tr>
      <w:tr w:rsidR="0005575D" w14:paraId="147D989B" w14:textId="77777777" w:rsidTr="00676D57">
        <w:tc>
          <w:tcPr>
            <w:tcW w:w="945" w:type="dxa"/>
          </w:tcPr>
          <w:p w14:paraId="5659E898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15B0CFD9">
              <w:rPr>
                <w:rFonts w:eastAsia="Times New Roman" w:cs="Times New Roman"/>
                <w:sz w:val="20"/>
                <w:szCs w:val="20"/>
              </w:rPr>
              <w:t>Achten et al.</w:t>
            </w:r>
            <w:r>
              <w:rPr>
                <w:rFonts w:eastAsia="Times New Roman" w:cs="Times New Roman"/>
                <w:sz w:val="20"/>
                <w:szCs w:val="20"/>
                <w:vertAlign w:val="superscript"/>
              </w:rPr>
              <w:t>28</w:t>
            </w:r>
          </w:p>
        </w:tc>
        <w:tc>
          <w:tcPr>
            <w:tcW w:w="795" w:type="dxa"/>
          </w:tcPr>
          <w:p w14:paraId="523CF9D7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15B0CFD9">
              <w:rPr>
                <w:rFonts w:eastAsia="Times New Roman" w:cs="Times New Roman"/>
                <w:sz w:val="20"/>
                <w:szCs w:val="20"/>
              </w:rPr>
              <w:t>Yes, it included a cohort of HFpEF patients.</w:t>
            </w:r>
          </w:p>
        </w:tc>
        <w:tc>
          <w:tcPr>
            <w:tcW w:w="885" w:type="dxa"/>
          </w:tcPr>
          <w:p w14:paraId="08499928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15B0CFD9">
              <w:rPr>
                <w:rFonts w:eastAsia="Times New Roman" w:cs="Times New Roman"/>
                <w:sz w:val="20"/>
                <w:szCs w:val="20"/>
              </w:rPr>
              <w:t>Yes, enrollment was prospective and consecutive.</w:t>
            </w:r>
          </w:p>
          <w:p w14:paraId="0A85442A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885" w:type="dxa"/>
          </w:tcPr>
          <w:p w14:paraId="3594AE50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15B0CFD9">
              <w:rPr>
                <w:rFonts w:eastAsia="Times New Roman" w:cs="Times New Roman"/>
                <w:sz w:val="20"/>
                <w:szCs w:val="20"/>
              </w:rPr>
              <w:t>Unclear, no specific sample size justification was provided.</w:t>
            </w:r>
          </w:p>
        </w:tc>
        <w:tc>
          <w:tcPr>
            <w:tcW w:w="900" w:type="dxa"/>
          </w:tcPr>
          <w:p w14:paraId="23F00F9A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15B0CFD9">
              <w:rPr>
                <w:rFonts w:eastAsia="Times New Roman" w:cs="Times New Roman"/>
                <w:sz w:val="20"/>
                <w:szCs w:val="20"/>
              </w:rPr>
              <w:t>Yes, baseline characteristics were well described.</w:t>
            </w:r>
          </w:p>
        </w:tc>
        <w:tc>
          <w:tcPr>
            <w:tcW w:w="915" w:type="dxa"/>
          </w:tcPr>
          <w:p w14:paraId="4B9346EF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15B0CFD9">
              <w:rPr>
                <w:rFonts w:eastAsia="Times New Roman" w:cs="Times New Roman"/>
                <w:sz w:val="20"/>
                <w:szCs w:val="20"/>
              </w:rPr>
              <w:t>Yes, most of the enrolled patients underwent analysis.</w:t>
            </w:r>
          </w:p>
        </w:tc>
        <w:tc>
          <w:tcPr>
            <w:tcW w:w="1020" w:type="dxa"/>
          </w:tcPr>
          <w:p w14:paraId="6C151D4E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15B0CFD9">
              <w:rPr>
                <w:rFonts w:eastAsia="Times New Roman" w:cs="Times New Roman"/>
                <w:sz w:val="20"/>
                <w:szCs w:val="20"/>
              </w:rPr>
              <w:t>Yes, standardized diagnostic criteria were used.</w:t>
            </w:r>
          </w:p>
        </w:tc>
        <w:tc>
          <w:tcPr>
            <w:tcW w:w="1080" w:type="dxa"/>
          </w:tcPr>
          <w:p w14:paraId="01123B6A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15B0CFD9">
              <w:rPr>
                <w:rFonts w:eastAsia="Times New Roman" w:cs="Times New Roman"/>
                <w:sz w:val="20"/>
                <w:szCs w:val="20"/>
              </w:rPr>
              <w:t>Yes, all patients underwent standardized scintigraphy protocols.</w:t>
            </w:r>
          </w:p>
        </w:tc>
        <w:tc>
          <w:tcPr>
            <w:tcW w:w="1245" w:type="dxa"/>
          </w:tcPr>
          <w:p w14:paraId="337E1193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15B0CFD9">
              <w:rPr>
                <w:rFonts w:eastAsia="Times New Roman" w:cs="Times New Roman"/>
                <w:sz w:val="20"/>
                <w:szCs w:val="20"/>
              </w:rPr>
              <w:t>Yes, prevalence was reported with clear numerator/denominator.</w:t>
            </w:r>
          </w:p>
        </w:tc>
        <w:tc>
          <w:tcPr>
            <w:tcW w:w="1250" w:type="dxa"/>
          </w:tcPr>
          <w:p w14:paraId="0674F37F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15B0CFD9">
              <w:rPr>
                <w:rFonts w:eastAsia="Times New Roman" w:cs="Times New Roman"/>
                <w:sz w:val="20"/>
                <w:szCs w:val="20"/>
              </w:rPr>
              <w:t>Yes, the response rate was adequate, with only a minimal number of non-responders, all of whom were clearly reported and appropriately handled in the analysis.</w:t>
            </w:r>
          </w:p>
          <w:p w14:paraId="4FAE0BDE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1470" w:type="dxa"/>
          </w:tcPr>
          <w:p w14:paraId="630A12BC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15B0CFD9">
              <w:rPr>
                <w:rFonts w:eastAsia="Times New Roman" w:cs="Times New Roman"/>
                <w:sz w:val="20"/>
                <w:szCs w:val="20"/>
              </w:rPr>
              <w:t>Low risk of bias.</w:t>
            </w:r>
          </w:p>
        </w:tc>
      </w:tr>
      <w:tr w:rsidR="0005575D" w14:paraId="0352772B" w14:textId="77777777" w:rsidTr="00676D57">
        <w:tc>
          <w:tcPr>
            <w:tcW w:w="945" w:type="dxa"/>
          </w:tcPr>
          <w:p w14:paraId="315431C6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15B0CFD9">
              <w:rPr>
                <w:rFonts w:eastAsia="Times New Roman" w:cs="Times New Roman"/>
                <w:sz w:val="20"/>
                <w:szCs w:val="20"/>
              </w:rPr>
              <w:t>Arvanitis et al.</w:t>
            </w:r>
            <w:r>
              <w:rPr>
                <w:rFonts w:eastAsia="Times New Roman" w:cs="Times New Roman"/>
                <w:sz w:val="20"/>
                <w:szCs w:val="20"/>
                <w:vertAlign w:val="superscript"/>
              </w:rPr>
              <w:t>29</w:t>
            </w:r>
          </w:p>
        </w:tc>
        <w:tc>
          <w:tcPr>
            <w:tcW w:w="795" w:type="dxa"/>
          </w:tcPr>
          <w:p w14:paraId="06064D01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15B0CFD9">
              <w:rPr>
                <w:rFonts w:eastAsia="Times New Roman" w:cs="Times New Roman"/>
                <w:sz w:val="20"/>
                <w:szCs w:val="20"/>
              </w:rPr>
              <w:t>Yes, it included a cohort of HF patients.</w:t>
            </w:r>
          </w:p>
        </w:tc>
        <w:tc>
          <w:tcPr>
            <w:tcW w:w="885" w:type="dxa"/>
          </w:tcPr>
          <w:p w14:paraId="3AC4CB32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15B0CFD9">
              <w:rPr>
                <w:rFonts w:eastAsia="Times New Roman" w:cs="Times New Roman"/>
                <w:sz w:val="20"/>
                <w:szCs w:val="20"/>
              </w:rPr>
              <w:t>Yes, enrollment was prospective and consecutive.</w:t>
            </w:r>
          </w:p>
        </w:tc>
        <w:tc>
          <w:tcPr>
            <w:tcW w:w="885" w:type="dxa"/>
          </w:tcPr>
          <w:p w14:paraId="2AB420F8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15B0CFD9">
              <w:rPr>
                <w:rFonts w:eastAsia="Times New Roman" w:cs="Times New Roman"/>
                <w:sz w:val="20"/>
                <w:szCs w:val="20"/>
              </w:rPr>
              <w:t>Unclear, no specific sample size justification was provided.</w:t>
            </w:r>
          </w:p>
        </w:tc>
        <w:tc>
          <w:tcPr>
            <w:tcW w:w="900" w:type="dxa"/>
          </w:tcPr>
          <w:p w14:paraId="5B61A1D5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15B0CFD9">
              <w:rPr>
                <w:rFonts w:eastAsia="Times New Roman" w:cs="Times New Roman"/>
                <w:sz w:val="20"/>
                <w:szCs w:val="20"/>
              </w:rPr>
              <w:t>Yes, baseline characteristics were well described.</w:t>
            </w:r>
          </w:p>
        </w:tc>
        <w:tc>
          <w:tcPr>
            <w:tcW w:w="915" w:type="dxa"/>
          </w:tcPr>
          <w:p w14:paraId="4B8A5D1E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15B0CFD9">
              <w:rPr>
                <w:rFonts w:eastAsia="Times New Roman" w:cs="Times New Roman"/>
                <w:sz w:val="20"/>
                <w:szCs w:val="20"/>
              </w:rPr>
              <w:t>Yes, most of the enrolled patients underwent analysis.</w:t>
            </w:r>
          </w:p>
        </w:tc>
        <w:tc>
          <w:tcPr>
            <w:tcW w:w="1020" w:type="dxa"/>
          </w:tcPr>
          <w:p w14:paraId="16232197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15B0CFD9">
              <w:rPr>
                <w:rFonts w:eastAsia="Times New Roman" w:cs="Times New Roman"/>
                <w:sz w:val="20"/>
                <w:szCs w:val="20"/>
              </w:rPr>
              <w:t>Yes, a standard genetic testing protocol was used.</w:t>
            </w:r>
          </w:p>
        </w:tc>
        <w:tc>
          <w:tcPr>
            <w:tcW w:w="1080" w:type="dxa"/>
          </w:tcPr>
          <w:p w14:paraId="5CCC6197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15B0CFD9">
              <w:rPr>
                <w:rFonts w:eastAsia="Times New Roman" w:cs="Times New Roman"/>
                <w:sz w:val="20"/>
                <w:szCs w:val="20"/>
              </w:rPr>
              <w:t>Yes, all patients underwent uniform genotyping.</w:t>
            </w:r>
          </w:p>
        </w:tc>
        <w:tc>
          <w:tcPr>
            <w:tcW w:w="1245" w:type="dxa"/>
          </w:tcPr>
          <w:p w14:paraId="27C8BF7D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15B0CFD9">
              <w:rPr>
                <w:rFonts w:eastAsia="Times New Roman" w:cs="Times New Roman"/>
                <w:sz w:val="20"/>
                <w:szCs w:val="20"/>
              </w:rPr>
              <w:t>Yes, prevalence was reported with clear numerator/denominator.</w:t>
            </w:r>
          </w:p>
        </w:tc>
        <w:tc>
          <w:tcPr>
            <w:tcW w:w="1250" w:type="dxa"/>
          </w:tcPr>
          <w:p w14:paraId="5B66EBE2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15B0CFD9">
              <w:rPr>
                <w:rFonts w:eastAsia="Times New Roman" w:cs="Times New Roman"/>
                <w:sz w:val="20"/>
                <w:szCs w:val="20"/>
              </w:rPr>
              <w:t>Yes, the response rate was adequate, and only two exclusions were there, which were clearly reported.</w:t>
            </w:r>
          </w:p>
        </w:tc>
        <w:tc>
          <w:tcPr>
            <w:tcW w:w="1470" w:type="dxa"/>
          </w:tcPr>
          <w:p w14:paraId="16743643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15B0CFD9">
              <w:rPr>
                <w:rFonts w:eastAsia="Times New Roman" w:cs="Times New Roman"/>
                <w:sz w:val="20"/>
                <w:szCs w:val="20"/>
              </w:rPr>
              <w:t>Low risk of bias.</w:t>
            </w:r>
          </w:p>
        </w:tc>
      </w:tr>
      <w:tr w:rsidR="0005575D" w14:paraId="01A2C8D7" w14:textId="77777777" w:rsidTr="00676D57">
        <w:tc>
          <w:tcPr>
            <w:tcW w:w="945" w:type="dxa"/>
          </w:tcPr>
          <w:p w14:paraId="0DB26366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15B0CFD9">
              <w:rPr>
                <w:rFonts w:eastAsia="Times New Roman" w:cs="Times New Roman"/>
                <w:sz w:val="20"/>
                <w:szCs w:val="20"/>
              </w:rPr>
              <w:t>Chang et al.</w:t>
            </w:r>
            <w:r>
              <w:rPr>
                <w:rFonts w:eastAsia="Times New Roman" w:cs="Times New Roman"/>
                <w:sz w:val="20"/>
                <w:szCs w:val="20"/>
                <w:vertAlign w:val="superscript"/>
              </w:rPr>
              <w:t>30</w:t>
            </w:r>
          </w:p>
        </w:tc>
        <w:tc>
          <w:tcPr>
            <w:tcW w:w="795" w:type="dxa"/>
          </w:tcPr>
          <w:p w14:paraId="0F9BEB12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15B0CFD9">
              <w:rPr>
                <w:rFonts w:eastAsia="Times New Roman" w:cs="Times New Roman"/>
                <w:sz w:val="20"/>
                <w:szCs w:val="20"/>
              </w:rPr>
              <w:t>Yes, it included a cohort of HF patients.</w:t>
            </w:r>
          </w:p>
          <w:p w14:paraId="6B95BFB1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885" w:type="dxa"/>
          </w:tcPr>
          <w:p w14:paraId="6AE7E54E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15B0CFD9">
              <w:rPr>
                <w:rFonts w:eastAsia="Times New Roman" w:cs="Times New Roman"/>
                <w:sz w:val="20"/>
                <w:szCs w:val="20"/>
              </w:rPr>
              <w:t>Yes, consecutive new referrals were included.</w:t>
            </w:r>
          </w:p>
        </w:tc>
        <w:tc>
          <w:tcPr>
            <w:tcW w:w="885" w:type="dxa"/>
          </w:tcPr>
          <w:p w14:paraId="5D54D2DA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15B0CFD9">
              <w:rPr>
                <w:rFonts w:eastAsia="Times New Roman" w:cs="Times New Roman"/>
                <w:sz w:val="20"/>
                <w:szCs w:val="20"/>
              </w:rPr>
              <w:t>Unclear, no specific sample size justification was provided. However, the sample size was large (N=1173).</w:t>
            </w:r>
          </w:p>
        </w:tc>
        <w:tc>
          <w:tcPr>
            <w:tcW w:w="900" w:type="dxa"/>
          </w:tcPr>
          <w:p w14:paraId="1A29D63B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15B0CFD9">
              <w:rPr>
                <w:rFonts w:eastAsia="Times New Roman" w:cs="Times New Roman"/>
                <w:sz w:val="20"/>
                <w:szCs w:val="20"/>
              </w:rPr>
              <w:t>Yes, baseline characteristics were well described.</w:t>
            </w:r>
          </w:p>
        </w:tc>
        <w:tc>
          <w:tcPr>
            <w:tcW w:w="915" w:type="dxa"/>
          </w:tcPr>
          <w:p w14:paraId="520C5186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15B0CFD9">
              <w:rPr>
                <w:rFonts w:eastAsia="Times New Roman" w:cs="Times New Roman"/>
                <w:sz w:val="20"/>
                <w:szCs w:val="20"/>
              </w:rPr>
              <w:t>Yes, all enrolled patients underwent analysis.</w:t>
            </w:r>
          </w:p>
        </w:tc>
        <w:tc>
          <w:tcPr>
            <w:tcW w:w="1020" w:type="dxa"/>
          </w:tcPr>
          <w:p w14:paraId="3DA07572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15B0CFD9">
              <w:rPr>
                <w:rFonts w:eastAsia="Times New Roman" w:cs="Times New Roman"/>
                <w:sz w:val="20"/>
                <w:szCs w:val="20"/>
              </w:rPr>
              <w:t>Yes, standard AL diagnostic criteria were used.</w:t>
            </w:r>
          </w:p>
        </w:tc>
        <w:tc>
          <w:tcPr>
            <w:tcW w:w="1080" w:type="dxa"/>
          </w:tcPr>
          <w:p w14:paraId="4FC6623E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15B0CFD9">
              <w:rPr>
                <w:rFonts w:eastAsia="Times New Roman" w:cs="Times New Roman"/>
                <w:sz w:val="20"/>
                <w:szCs w:val="20"/>
              </w:rPr>
              <w:t>Yes, all patients underwent uniform FLC assay.</w:t>
            </w:r>
          </w:p>
        </w:tc>
        <w:tc>
          <w:tcPr>
            <w:tcW w:w="1245" w:type="dxa"/>
          </w:tcPr>
          <w:p w14:paraId="08B3B779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15B0CFD9">
              <w:rPr>
                <w:rFonts w:eastAsia="Times New Roman" w:cs="Times New Roman"/>
                <w:sz w:val="20"/>
                <w:szCs w:val="20"/>
              </w:rPr>
              <w:t>Yes, prevalence was reported with clear numerator/denominator.</w:t>
            </w:r>
          </w:p>
        </w:tc>
        <w:tc>
          <w:tcPr>
            <w:tcW w:w="1250" w:type="dxa"/>
          </w:tcPr>
          <w:p w14:paraId="7192535A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15B0CFD9">
              <w:rPr>
                <w:rFonts w:eastAsia="Times New Roman" w:cs="Times New Roman"/>
                <w:sz w:val="20"/>
                <w:szCs w:val="20"/>
              </w:rPr>
              <w:t>Yes, all eligible patients completed diagnostic assessment.</w:t>
            </w:r>
          </w:p>
        </w:tc>
        <w:tc>
          <w:tcPr>
            <w:tcW w:w="1470" w:type="dxa"/>
          </w:tcPr>
          <w:p w14:paraId="15949EF5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15B0CFD9">
              <w:rPr>
                <w:rFonts w:eastAsia="Times New Roman" w:cs="Times New Roman"/>
                <w:sz w:val="20"/>
                <w:szCs w:val="20"/>
              </w:rPr>
              <w:t>Low risk of bias.</w:t>
            </w:r>
          </w:p>
        </w:tc>
      </w:tr>
      <w:tr w:rsidR="0005575D" w14:paraId="18399AD3" w14:textId="77777777" w:rsidTr="00676D57">
        <w:trPr>
          <w:trHeight w:val="300"/>
        </w:trPr>
        <w:tc>
          <w:tcPr>
            <w:tcW w:w="945" w:type="dxa"/>
          </w:tcPr>
          <w:p w14:paraId="5CFF9D8C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15B0CFD9">
              <w:rPr>
                <w:rFonts w:eastAsia="Times New Roman" w:cs="Times New Roman"/>
                <w:sz w:val="20"/>
                <w:szCs w:val="20"/>
              </w:rPr>
              <w:lastRenderedPageBreak/>
              <w:t>Damy et al.</w:t>
            </w:r>
            <w:r>
              <w:rPr>
                <w:rFonts w:eastAsia="Times New Roman" w:cs="Times New Roman"/>
                <w:sz w:val="20"/>
                <w:szCs w:val="20"/>
                <w:vertAlign w:val="superscript"/>
              </w:rPr>
              <w:t>31</w:t>
            </w:r>
          </w:p>
        </w:tc>
        <w:tc>
          <w:tcPr>
            <w:tcW w:w="795" w:type="dxa"/>
          </w:tcPr>
          <w:p w14:paraId="554BDB9A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15B0CFD9">
              <w:rPr>
                <w:rFonts w:eastAsia="Times New Roman" w:cs="Times New Roman"/>
                <w:sz w:val="20"/>
                <w:szCs w:val="20"/>
              </w:rPr>
              <w:t xml:space="preserve">Yes, it included a broad cohort of </w:t>
            </w:r>
            <w:r>
              <w:rPr>
                <w:rFonts w:eastAsia="Times New Roman" w:cs="Times New Roman"/>
                <w:sz w:val="20"/>
                <w:szCs w:val="20"/>
              </w:rPr>
              <w:t xml:space="preserve">HF </w:t>
            </w:r>
            <w:r w:rsidRPr="15B0CFD9">
              <w:rPr>
                <w:rFonts w:eastAsia="Times New Roman" w:cs="Times New Roman"/>
                <w:sz w:val="20"/>
                <w:szCs w:val="20"/>
              </w:rPr>
              <w:t>patients with increased LV wall thickness.</w:t>
            </w:r>
          </w:p>
        </w:tc>
        <w:tc>
          <w:tcPr>
            <w:tcW w:w="885" w:type="dxa"/>
          </w:tcPr>
          <w:p w14:paraId="5A347CC8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15B0CFD9">
              <w:rPr>
                <w:rFonts w:eastAsia="Times New Roman" w:cs="Times New Roman"/>
                <w:sz w:val="20"/>
                <w:szCs w:val="20"/>
              </w:rPr>
              <w:t>Yes, enrollment was prospective and consecutive.</w:t>
            </w:r>
          </w:p>
        </w:tc>
        <w:tc>
          <w:tcPr>
            <w:tcW w:w="885" w:type="dxa"/>
          </w:tcPr>
          <w:p w14:paraId="2AA3FCB1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15B0CFD9">
              <w:rPr>
                <w:rFonts w:eastAsia="Times New Roman" w:cs="Times New Roman"/>
                <w:sz w:val="20"/>
                <w:szCs w:val="20"/>
              </w:rPr>
              <w:t>Unclear, no specific sample size justification was provided.</w:t>
            </w:r>
          </w:p>
        </w:tc>
        <w:tc>
          <w:tcPr>
            <w:tcW w:w="900" w:type="dxa"/>
          </w:tcPr>
          <w:p w14:paraId="7021EBB0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15B0CFD9">
              <w:rPr>
                <w:rFonts w:eastAsia="Times New Roman" w:cs="Times New Roman"/>
                <w:sz w:val="20"/>
                <w:szCs w:val="20"/>
              </w:rPr>
              <w:t>Yes, baseline characteristics were well described.</w:t>
            </w:r>
          </w:p>
        </w:tc>
        <w:tc>
          <w:tcPr>
            <w:tcW w:w="915" w:type="dxa"/>
          </w:tcPr>
          <w:p w14:paraId="605BB386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15B0CFD9">
              <w:rPr>
                <w:rFonts w:eastAsia="Times New Roman" w:cs="Times New Roman"/>
                <w:sz w:val="20"/>
                <w:szCs w:val="20"/>
              </w:rPr>
              <w:t>Yes, most of the enrolled patients underwent analysis.</w:t>
            </w:r>
          </w:p>
        </w:tc>
        <w:tc>
          <w:tcPr>
            <w:tcW w:w="1020" w:type="dxa"/>
          </w:tcPr>
          <w:p w14:paraId="39030DCC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15B0CFD9">
              <w:rPr>
                <w:rFonts w:eastAsia="Times New Roman" w:cs="Times New Roman"/>
                <w:sz w:val="20"/>
                <w:szCs w:val="20"/>
              </w:rPr>
              <w:t>Yes, standard TTR gene sequencing methods were used.</w:t>
            </w:r>
          </w:p>
        </w:tc>
        <w:tc>
          <w:tcPr>
            <w:tcW w:w="1080" w:type="dxa"/>
          </w:tcPr>
          <w:p w14:paraId="45351716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15B0CFD9">
              <w:rPr>
                <w:rFonts w:eastAsia="Times New Roman" w:cs="Times New Roman"/>
                <w:sz w:val="20"/>
                <w:szCs w:val="20"/>
              </w:rPr>
              <w:t>Yes, the gene sequencing method was uniform to all.</w:t>
            </w:r>
          </w:p>
        </w:tc>
        <w:tc>
          <w:tcPr>
            <w:tcW w:w="1245" w:type="dxa"/>
          </w:tcPr>
          <w:p w14:paraId="20C387E0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15B0CFD9">
              <w:rPr>
                <w:rFonts w:eastAsia="Times New Roman" w:cs="Times New Roman"/>
                <w:sz w:val="20"/>
                <w:szCs w:val="20"/>
              </w:rPr>
              <w:t>Yes, prevalence was reported with clear numerator/denominator.</w:t>
            </w:r>
          </w:p>
        </w:tc>
        <w:tc>
          <w:tcPr>
            <w:tcW w:w="1250" w:type="dxa"/>
          </w:tcPr>
          <w:p w14:paraId="084070E6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15B0CFD9">
              <w:rPr>
                <w:rFonts w:eastAsia="Times New Roman" w:cs="Times New Roman"/>
                <w:sz w:val="20"/>
                <w:szCs w:val="20"/>
              </w:rPr>
              <w:t>Yes, the response rate was adequate; exclusions from final analysis were clearly reported.</w:t>
            </w:r>
          </w:p>
        </w:tc>
        <w:tc>
          <w:tcPr>
            <w:tcW w:w="1470" w:type="dxa"/>
          </w:tcPr>
          <w:p w14:paraId="2B37D6D6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15B0CFD9">
              <w:rPr>
                <w:rFonts w:eastAsia="Times New Roman" w:cs="Times New Roman"/>
                <w:sz w:val="20"/>
                <w:szCs w:val="20"/>
              </w:rPr>
              <w:t>Low risk of bias.</w:t>
            </w:r>
          </w:p>
        </w:tc>
      </w:tr>
      <w:tr w:rsidR="0005575D" w14:paraId="5545A629" w14:textId="77777777" w:rsidTr="00676D57">
        <w:tc>
          <w:tcPr>
            <w:tcW w:w="945" w:type="dxa"/>
          </w:tcPr>
          <w:p w14:paraId="74F54446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15B0CFD9">
              <w:rPr>
                <w:rFonts w:eastAsia="Times New Roman" w:cs="Times New Roman"/>
                <w:sz w:val="20"/>
                <w:szCs w:val="20"/>
              </w:rPr>
              <w:t>Holcman et al.</w:t>
            </w:r>
            <w:r>
              <w:rPr>
                <w:rFonts w:eastAsia="Times New Roman" w:cs="Times New Roman"/>
                <w:sz w:val="20"/>
                <w:szCs w:val="20"/>
                <w:vertAlign w:val="superscript"/>
              </w:rPr>
              <w:t>32</w:t>
            </w:r>
          </w:p>
        </w:tc>
        <w:tc>
          <w:tcPr>
            <w:tcW w:w="795" w:type="dxa"/>
          </w:tcPr>
          <w:p w14:paraId="00493768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15B0CFD9">
              <w:rPr>
                <w:rFonts w:eastAsia="Times New Roman" w:cs="Times New Roman"/>
                <w:sz w:val="20"/>
                <w:szCs w:val="20"/>
              </w:rPr>
              <w:t xml:space="preserve">Yes, it included a broad cohort of </w:t>
            </w:r>
            <w:r>
              <w:rPr>
                <w:rFonts w:eastAsia="Times New Roman" w:cs="Times New Roman"/>
                <w:sz w:val="20"/>
                <w:szCs w:val="20"/>
              </w:rPr>
              <w:t xml:space="preserve">HF </w:t>
            </w:r>
            <w:r w:rsidRPr="15B0CFD9">
              <w:rPr>
                <w:rFonts w:eastAsia="Times New Roman" w:cs="Times New Roman"/>
                <w:sz w:val="20"/>
                <w:szCs w:val="20"/>
              </w:rPr>
              <w:t>patients with increased LV wall thickness.</w:t>
            </w:r>
          </w:p>
        </w:tc>
        <w:tc>
          <w:tcPr>
            <w:tcW w:w="885" w:type="dxa"/>
          </w:tcPr>
          <w:p w14:paraId="13DF3B91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15B0CFD9">
              <w:rPr>
                <w:rFonts w:eastAsia="Times New Roman" w:cs="Times New Roman"/>
                <w:sz w:val="20"/>
                <w:szCs w:val="20"/>
              </w:rPr>
              <w:t>Yes, enrollment was prospective and consecutive.</w:t>
            </w:r>
          </w:p>
        </w:tc>
        <w:tc>
          <w:tcPr>
            <w:tcW w:w="885" w:type="dxa"/>
          </w:tcPr>
          <w:p w14:paraId="75FCF8A6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15B0CFD9">
              <w:rPr>
                <w:rFonts w:eastAsia="Times New Roman" w:cs="Times New Roman"/>
                <w:sz w:val="20"/>
                <w:szCs w:val="20"/>
              </w:rPr>
              <w:t>Unclear, no specific sample size justification was provided.</w:t>
            </w:r>
          </w:p>
        </w:tc>
        <w:tc>
          <w:tcPr>
            <w:tcW w:w="900" w:type="dxa"/>
          </w:tcPr>
          <w:p w14:paraId="04DBF1C0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15B0CFD9">
              <w:rPr>
                <w:rFonts w:eastAsia="Times New Roman" w:cs="Times New Roman"/>
                <w:sz w:val="20"/>
                <w:szCs w:val="20"/>
              </w:rPr>
              <w:t>Yes, baseline characteristics were well described.</w:t>
            </w:r>
          </w:p>
        </w:tc>
        <w:tc>
          <w:tcPr>
            <w:tcW w:w="915" w:type="dxa"/>
          </w:tcPr>
          <w:p w14:paraId="04D5F898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15B0CFD9">
              <w:rPr>
                <w:rFonts w:eastAsia="Times New Roman" w:cs="Times New Roman"/>
                <w:sz w:val="20"/>
                <w:szCs w:val="20"/>
              </w:rPr>
              <w:t>Yes, all enrolled patients underwent analysis.</w:t>
            </w:r>
          </w:p>
        </w:tc>
        <w:tc>
          <w:tcPr>
            <w:tcW w:w="1020" w:type="dxa"/>
          </w:tcPr>
          <w:p w14:paraId="1FAE8848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15B0CFD9">
              <w:rPr>
                <w:rFonts w:eastAsia="Times New Roman" w:cs="Times New Roman"/>
                <w:sz w:val="20"/>
                <w:szCs w:val="20"/>
              </w:rPr>
              <w:t>Yes, standardized diagnostic criteria were used.</w:t>
            </w:r>
          </w:p>
        </w:tc>
        <w:tc>
          <w:tcPr>
            <w:tcW w:w="1080" w:type="dxa"/>
          </w:tcPr>
          <w:p w14:paraId="05AEFA51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15B0CFD9">
              <w:rPr>
                <w:rFonts w:eastAsia="Times New Roman" w:cs="Times New Roman"/>
                <w:sz w:val="20"/>
                <w:szCs w:val="20"/>
              </w:rPr>
              <w:t>Yes, all patients underwent standardized scintigraphy protocols.</w:t>
            </w:r>
          </w:p>
        </w:tc>
        <w:tc>
          <w:tcPr>
            <w:tcW w:w="1245" w:type="dxa"/>
          </w:tcPr>
          <w:p w14:paraId="24C5A5D5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15B0CFD9">
              <w:rPr>
                <w:rFonts w:eastAsia="Times New Roman" w:cs="Times New Roman"/>
                <w:sz w:val="20"/>
                <w:szCs w:val="20"/>
              </w:rPr>
              <w:t>Yes, prevalence was reported with clear numerator/denominator.</w:t>
            </w:r>
          </w:p>
        </w:tc>
        <w:tc>
          <w:tcPr>
            <w:tcW w:w="1250" w:type="dxa"/>
          </w:tcPr>
          <w:p w14:paraId="4D779CE4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15B0CFD9">
              <w:rPr>
                <w:rFonts w:eastAsia="Times New Roman" w:cs="Times New Roman"/>
                <w:sz w:val="20"/>
                <w:szCs w:val="20"/>
              </w:rPr>
              <w:t>Yes, all eligible patients completed diagnostic assessment.</w:t>
            </w:r>
          </w:p>
          <w:p w14:paraId="00CABFBB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1470" w:type="dxa"/>
          </w:tcPr>
          <w:p w14:paraId="7D2A27CC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15B0CFD9">
              <w:rPr>
                <w:rFonts w:eastAsia="Times New Roman" w:cs="Times New Roman"/>
                <w:sz w:val="20"/>
                <w:szCs w:val="20"/>
              </w:rPr>
              <w:t>Low risk of bias.</w:t>
            </w:r>
          </w:p>
        </w:tc>
      </w:tr>
      <w:tr w:rsidR="0005575D" w14:paraId="7D94F87C" w14:textId="77777777" w:rsidTr="00676D57">
        <w:tc>
          <w:tcPr>
            <w:tcW w:w="945" w:type="dxa"/>
          </w:tcPr>
          <w:p w14:paraId="6C044B3C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15B0CFD9">
              <w:rPr>
                <w:rFonts w:eastAsia="Times New Roman" w:cs="Times New Roman"/>
                <w:sz w:val="20"/>
                <w:szCs w:val="20"/>
              </w:rPr>
              <w:t>Presti et al.</w:t>
            </w:r>
            <w:r>
              <w:rPr>
                <w:rFonts w:eastAsia="Times New Roman" w:cs="Times New Roman"/>
                <w:sz w:val="20"/>
                <w:szCs w:val="20"/>
                <w:vertAlign w:val="superscript"/>
              </w:rPr>
              <w:t>33</w:t>
            </w:r>
          </w:p>
        </w:tc>
        <w:tc>
          <w:tcPr>
            <w:tcW w:w="795" w:type="dxa"/>
          </w:tcPr>
          <w:p w14:paraId="7BC71C8D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15B0CFD9">
              <w:rPr>
                <w:rFonts w:eastAsia="Times New Roman" w:cs="Times New Roman"/>
                <w:sz w:val="20"/>
                <w:szCs w:val="20"/>
              </w:rPr>
              <w:t>Yes, it included a cohort of HF patients.</w:t>
            </w:r>
          </w:p>
        </w:tc>
        <w:tc>
          <w:tcPr>
            <w:tcW w:w="885" w:type="dxa"/>
          </w:tcPr>
          <w:p w14:paraId="209F52D2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15B0CFD9">
              <w:rPr>
                <w:rFonts w:eastAsia="Times New Roman" w:cs="Times New Roman"/>
                <w:sz w:val="20"/>
                <w:szCs w:val="20"/>
              </w:rPr>
              <w:t>No, enrollment was based on patients who already had scintigraphy.</w:t>
            </w:r>
          </w:p>
        </w:tc>
        <w:tc>
          <w:tcPr>
            <w:tcW w:w="885" w:type="dxa"/>
          </w:tcPr>
          <w:p w14:paraId="1B391709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15B0CFD9">
              <w:rPr>
                <w:rFonts w:eastAsia="Times New Roman" w:cs="Times New Roman"/>
                <w:sz w:val="20"/>
                <w:szCs w:val="20"/>
              </w:rPr>
              <w:t>Unclear, no specific sample size justification was provided.</w:t>
            </w:r>
          </w:p>
        </w:tc>
        <w:tc>
          <w:tcPr>
            <w:tcW w:w="900" w:type="dxa"/>
          </w:tcPr>
          <w:p w14:paraId="78357874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15B0CFD9">
              <w:rPr>
                <w:rFonts w:eastAsia="Times New Roman" w:cs="Times New Roman"/>
                <w:sz w:val="20"/>
                <w:szCs w:val="20"/>
              </w:rPr>
              <w:t>Yes, baseline characteristics were well described.</w:t>
            </w:r>
          </w:p>
        </w:tc>
        <w:tc>
          <w:tcPr>
            <w:tcW w:w="915" w:type="dxa"/>
          </w:tcPr>
          <w:p w14:paraId="365ADF38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15B0CFD9">
              <w:rPr>
                <w:rFonts w:eastAsia="Times New Roman" w:cs="Times New Roman"/>
                <w:sz w:val="20"/>
                <w:szCs w:val="20"/>
              </w:rPr>
              <w:t>Yes, all enrolled patients underwent analysis.</w:t>
            </w:r>
          </w:p>
        </w:tc>
        <w:tc>
          <w:tcPr>
            <w:tcW w:w="1020" w:type="dxa"/>
          </w:tcPr>
          <w:p w14:paraId="57324288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15B0CFD9">
              <w:rPr>
                <w:rFonts w:eastAsia="Times New Roman" w:cs="Times New Roman"/>
                <w:sz w:val="20"/>
                <w:szCs w:val="20"/>
              </w:rPr>
              <w:t>Yes, standardized diagnostic criteria were used.</w:t>
            </w:r>
          </w:p>
        </w:tc>
        <w:tc>
          <w:tcPr>
            <w:tcW w:w="1080" w:type="dxa"/>
          </w:tcPr>
          <w:p w14:paraId="3E2F376B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15B0CFD9">
              <w:rPr>
                <w:rFonts w:eastAsia="Times New Roman" w:cs="Times New Roman"/>
                <w:sz w:val="20"/>
                <w:szCs w:val="20"/>
              </w:rPr>
              <w:t>Yes, all patients underwent standardized scintigraphy protocols.</w:t>
            </w:r>
          </w:p>
        </w:tc>
        <w:tc>
          <w:tcPr>
            <w:tcW w:w="1245" w:type="dxa"/>
          </w:tcPr>
          <w:p w14:paraId="346DDFCF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15B0CFD9">
              <w:rPr>
                <w:rFonts w:eastAsia="Times New Roman" w:cs="Times New Roman"/>
                <w:sz w:val="20"/>
                <w:szCs w:val="20"/>
              </w:rPr>
              <w:t>Yes, prevalence was reported with clear numerator/denominator.</w:t>
            </w:r>
          </w:p>
        </w:tc>
        <w:tc>
          <w:tcPr>
            <w:tcW w:w="1250" w:type="dxa"/>
          </w:tcPr>
          <w:p w14:paraId="762FDD2A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15B0CFD9">
              <w:rPr>
                <w:rFonts w:eastAsia="Times New Roman" w:cs="Times New Roman"/>
                <w:sz w:val="20"/>
                <w:szCs w:val="20"/>
              </w:rPr>
              <w:t>Yes, all eligible patients completed diagnostic assessment.</w:t>
            </w:r>
          </w:p>
          <w:p w14:paraId="254493B6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1470" w:type="dxa"/>
          </w:tcPr>
          <w:p w14:paraId="52E385E8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15B0CFD9">
              <w:rPr>
                <w:rFonts w:eastAsia="Times New Roman" w:cs="Times New Roman"/>
                <w:sz w:val="20"/>
                <w:szCs w:val="20"/>
              </w:rPr>
              <w:t>Moderate risk of bias.</w:t>
            </w:r>
          </w:p>
        </w:tc>
      </w:tr>
      <w:tr w:rsidR="0005575D" w14:paraId="51E3913E" w14:textId="77777777" w:rsidTr="00676D57">
        <w:tc>
          <w:tcPr>
            <w:tcW w:w="945" w:type="dxa"/>
          </w:tcPr>
          <w:p w14:paraId="570D99C4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15B0CFD9">
              <w:rPr>
                <w:rFonts w:eastAsia="Times New Roman" w:cs="Times New Roman"/>
                <w:sz w:val="20"/>
                <w:szCs w:val="20"/>
              </w:rPr>
              <w:t>Madhani et al.</w:t>
            </w:r>
            <w:r>
              <w:rPr>
                <w:rFonts w:eastAsia="Times New Roman" w:cs="Times New Roman"/>
                <w:sz w:val="20"/>
                <w:szCs w:val="20"/>
                <w:vertAlign w:val="superscript"/>
              </w:rPr>
              <w:t>34</w:t>
            </w:r>
          </w:p>
        </w:tc>
        <w:tc>
          <w:tcPr>
            <w:tcW w:w="795" w:type="dxa"/>
          </w:tcPr>
          <w:p w14:paraId="3FD0E39F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15B0CFD9">
              <w:rPr>
                <w:rFonts w:eastAsia="Times New Roman" w:cs="Times New Roman"/>
                <w:sz w:val="20"/>
                <w:szCs w:val="20"/>
              </w:rPr>
              <w:t>Yes, it included a cohort of HF patients.</w:t>
            </w:r>
          </w:p>
        </w:tc>
        <w:tc>
          <w:tcPr>
            <w:tcW w:w="885" w:type="dxa"/>
          </w:tcPr>
          <w:p w14:paraId="4BB9286C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15B0CFD9">
              <w:rPr>
                <w:rFonts w:eastAsia="Times New Roman" w:cs="Times New Roman"/>
                <w:sz w:val="20"/>
                <w:szCs w:val="20"/>
              </w:rPr>
              <w:t>Yes, enrollment was prospective and consecutive.</w:t>
            </w:r>
          </w:p>
          <w:p w14:paraId="19509306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885" w:type="dxa"/>
          </w:tcPr>
          <w:p w14:paraId="43251436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15B0CFD9">
              <w:rPr>
                <w:rFonts w:eastAsia="Times New Roman" w:cs="Times New Roman"/>
                <w:sz w:val="20"/>
                <w:szCs w:val="20"/>
              </w:rPr>
              <w:t>Unclear, no specific sample size justification was provided.</w:t>
            </w:r>
          </w:p>
        </w:tc>
        <w:tc>
          <w:tcPr>
            <w:tcW w:w="900" w:type="dxa"/>
          </w:tcPr>
          <w:p w14:paraId="00853CF4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15B0CFD9">
              <w:rPr>
                <w:rFonts w:eastAsia="Times New Roman" w:cs="Times New Roman"/>
                <w:sz w:val="20"/>
                <w:szCs w:val="20"/>
              </w:rPr>
              <w:t>Yes, baseline characteristics were well described.</w:t>
            </w:r>
          </w:p>
        </w:tc>
        <w:tc>
          <w:tcPr>
            <w:tcW w:w="915" w:type="dxa"/>
          </w:tcPr>
          <w:p w14:paraId="12800E3F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15B0CFD9">
              <w:rPr>
                <w:rFonts w:eastAsia="Times New Roman" w:cs="Times New Roman"/>
                <w:sz w:val="20"/>
                <w:szCs w:val="20"/>
              </w:rPr>
              <w:t>Yes, all enrolled patients underwent analysis.</w:t>
            </w:r>
          </w:p>
        </w:tc>
        <w:tc>
          <w:tcPr>
            <w:tcW w:w="1020" w:type="dxa"/>
          </w:tcPr>
          <w:p w14:paraId="55AF43CE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15B0CFD9">
              <w:rPr>
                <w:rFonts w:eastAsia="Times New Roman" w:cs="Times New Roman"/>
                <w:sz w:val="20"/>
                <w:szCs w:val="20"/>
              </w:rPr>
              <w:t>Yes, standardized diagnostic criteria were used.</w:t>
            </w:r>
          </w:p>
        </w:tc>
        <w:tc>
          <w:tcPr>
            <w:tcW w:w="1080" w:type="dxa"/>
          </w:tcPr>
          <w:p w14:paraId="3FC90EAA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15B0CFD9">
              <w:rPr>
                <w:rFonts w:eastAsia="Times New Roman" w:cs="Times New Roman"/>
                <w:sz w:val="20"/>
                <w:szCs w:val="20"/>
              </w:rPr>
              <w:t>Yes, all patients underwent standardized scintigraphy protocols.</w:t>
            </w:r>
          </w:p>
        </w:tc>
        <w:tc>
          <w:tcPr>
            <w:tcW w:w="1245" w:type="dxa"/>
          </w:tcPr>
          <w:p w14:paraId="1F44633B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15B0CFD9">
              <w:rPr>
                <w:rFonts w:eastAsia="Times New Roman" w:cs="Times New Roman"/>
                <w:sz w:val="20"/>
                <w:szCs w:val="20"/>
              </w:rPr>
              <w:t>Yes, prevalence was reported with clear numerator/denominator.</w:t>
            </w:r>
          </w:p>
        </w:tc>
        <w:tc>
          <w:tcPr>
            <w:tcW w:w="1250" w:type="dxa"/>
          </w:tcPr>
          <w:p w14:paraId="1D9F8F40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15B0CFD9">
              <w:rPr>
                <w:rFonts w:eastAsia="Times New Roman" w:cs="Times New Roman"/>
                <w:sz w:val="20"/>
                <w:szCs w:val="20"/>
              </w:rPr>
              <w:t>Yes, all eligible patients completed diagnostic assessment.</w:t>
            </w:r>
          </w:p>
          <w:p w14:paraId="0D47424D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1470" w:type="dxa"/>
          </w:tcPr>
          <w:p w14:paraId="01C7325B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15B0CFD9">
              <w:rPr>
                <w:rFonts w:eastAsia="Times New Roman" w:cs="Times New Roman"/>
                <w:sz w:val="20"/>
                <w:szCs w:val="20"/>
              </w:rPr>
              <w:t>Low risk of bias</w:t>
            </w:r>
          </w:p>
        </w:tc>
      </w:tr>
      <w:tr w:rsidR="0005575D" w14:paraId="0033664C" w14:textId="77777777" w:rsidTr="00676D57">
        <w:tc>
          <w:tcPr>
            <w:tcW w:w="945" w:type="dxa"/>
          </w:tcPr>
          <w:p w14:paraId="2247DC9B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15B0CFD9">
              <w:rPr>
                <w:rFonts w:eastAsia="Times New Roman" w:cs="Times New Roman"/>
                <w:sz w:val="20"/>
                <w:szCs w:val="20"/>
              </w:rPr>
              <w:t>Naito et al.</w:t>
            </w:r>
            <w:r>
              <w:rPr>
                <w:rFonts w:eastAsia="Times New Roman" w:cs="Times New Roman"/>
                <w:sz w:val="20"/>
                <w:szCs w:val="20"/>
                <w:vertAlign w:val="superscript"/>
              </w:rPr>
              <w:t>35</w:t>
            </w:r>
          </w:p>
        </w:tc>
        <w:tc>
          <w:tcPr>
            <w:tcW w:w="795" w:type="dxa"/>
          </w:tcPr>
          <w:p w14:paraId="39E6F210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15B0CFD9">
              <w:rPr>
                <w:rFonts w:eastAsia="Times New Roman" w:cs="Times New Roman"/>
                <w:sz w:val="20"/>
                <w:szCs w:val="20"/>
              </w:rPr>
              <w:t>Yes, it included a cohort of HFpEF patients.</w:t>
            </w:r>
          </w:p>
          <w:p w14:paraId="6BE11BCA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885" w:type="dxa"/>
          </w:tcPr>
          <w:p w14:paraId="35F3F544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15B0CFD9">
              <w:rPr>
                <w:rFonts w:eastAsia="Times New Roman" w:cs="Times New Roman"/>
                <w:sz w:val="20"/>
                <w:szCs w:val="20"/>
              </w:rPr>
              <w:t>Yes, enrollment was prospective and consecutive.</w:t>
            </w:r>
          </w:p>
          <w:p w14:paraId="6B15064B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885" w:type="dxa"/>
          </w:tcPr>
          <w:p w14:paraId="209F6E39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15B0CFD9">
              <w:rPr>
                <w:rFonts w:eastAsia="Times New Roman" w:cs="Times New Roman"/>
                <w:sz w:val="20"/>
                <w:szCs w:val="20"/>
              </w:rPr>
              <w:t>Unclear, no specific sample size justification was provided.</w:t>
            </w:r>
          </w:p>
        </w:tc>
        <w:tc>
          <w:tcPr>
            <w:tcW w:w="900" w:type="dxa"/>
          </w:tcPr>
          <w:p w14:paraId="1F5447AB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15B0CFD9">
              <w:rPr>
                <w:rFonts w:eastAsia="Times New Roman" w:cs="Times New Roman"/>
                <w:sz w:val="20"/>
                <w:szCs w:val="20"/>
              </w:rPr>
              <w:t>Yes, baseline characteristics were well described.</w:t>
            </w:r>
          </w:p>
          <w:p w14:paraId="7F4E1F1E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915" w:type="dxa"/>
          </w:tcPr>
          <w:p w14:paraId="730CC459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15B0CFD9">
              <w:rPr>
                <w:rFonts w:eastAsia="Times New Roman" w:cs="Times New Roman"/>
                <w:sz w:val="20"/>
                <w:szCs w:val="20"/>
              </w:rPr>
              <w:t>Yes, all enrolled patients underwent analysis.</w:t>
            </w:r>
          </w:p>
        </w:tc>
        <w:tc>
          <w:tcPr>
            <w:tcW w:w="1020" w:type="dxa"/>
          </w:tcPr>
          <w:p w14:paraId="4BD56D50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15B0CFD9">
              <w:rPr>
                <w:rFonts w:eastAsia="Times New Roman" w:cs="Times New Roman"/>
                <w:sz w:val="20"/>
                <w:szCs w:val="20"/>
              </w:rPr>
              <w:t>Yes, standardized diagnostic criteria were used.</w:t>
            </w:r>
          </w:p>
        </w:tc>
        <w:tc>
          <w:tcPr>
            <w:tcW w:w="1080" w:type="dxa"/>
          </w:tcPr>
          <w:p w14:paraId="55CF6DF4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15B0CFD9">
              <w:rPr>
                <w:rFonts w:eastAsia="Times New Roman" w:cs="Times New Roman"/>
                <w:sz w:val="20"/>
                <w:szCs w:val="20"/>
              </w:rPr>
              <w:t>Yes, all patients underwent standardized scintigraphy protocols.</w:t>
            </w:r>
          </w:p>
        </w:tc>
        <w:tc>
          <w:tcPr>
            <w:tcW w:w="1245" w:type="dxa"/>
          </w:tcPr>
          <w:p w14:paraId="11BA05F5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15B0CFD9">
              <w:rPr>
                <w:rFonts w:eastAsia="Times New Roman" w:cs="Times New Roman"/>
                <w:sz w:val="20"/>
                <w:szCs w:val="20"/>
              </w:rPr>
              <w:t>Yes, prevalence was reported with clear numerator/denominator.</w:t>
            </w:r>
          </w:p>
        </w:tc>
        <w:tc>
          <w:tcPr>
            <w:tcW w:w="1250" w:type="dxa"/>
          </w:tcPr>
          <w:p w14:paraId="28833317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15B0CFD9">
              <w:rPr>
                <w:rFonts w:eastAsia="Times New Roman" w:cs="Times New Roman"/>
                <w:sz w:val="20"/>
                <w:szCs w:val="20"/>
              </w:rPr>
              <w:t>Yes, all eligible patients completed diagnostic assessment.</w:t>
            </w:r>
          </w:p>
          <w:p w14:paraId="4C4BBDD7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1470" w:type="dxa"/>
          </w:tcPr>
          <w:p w14:paraId="10BEBBB2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15B0CFD9">
              <w:rPr>
                <w:rFonts w:eastAsia="Times New Roman" w:cs="Times New Roman"/>
                <w:sz w:val="20"/>
                <w:szCs w:val="20"/>
              </w:rPr>
              <w:t>Low risk of bias.</w:t>
            </w:r>
          </w:p>
        </w:tc>
      </w:tr>
      <w:tr w:rsidR="0005575D" w14:paraId="4802C966" w14:textId="77777777" w:rsidTr="00676D57">
        <w:tc>
          <w:tcPr>
            <w:tcW w:w="945" w:type="dxa"/>
          </w:tcPr>
          <w:p w14:paraId="4EE821CA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15B0CFD9">
              <w:rPr>
                <w:rFonts w:eastAsia="Times New Roman" w:cs="Times New Roman"/>
                <w:sz w:val="20"/>
                <w:szCs w:val="20"/>
              </w:rPr>
              <w:t>Ruberg et al.</w:t>
            </w:r>
            <w:r>
              <w:rPr>
                <w:rFonts w:eastAsia="Times New Roman" w:cs="Times New Roman"/>
                <w:sz w:val="20"/>
                <w:szCs w:val="20"/>
                <w:vertAlign w:val="superscript"/>
              </w:rPr>
              <w:t>36</w:t>
            </w:r>
          </w:p>
        </w:tc>
        <w:tc>
          <w:tcPr>
            <w:tcW w:w="795" w:type="dxa"/>
          </w:tcPr>
          <w:p w14:paraId="3A65145B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15B0CFD9">
              <w:rPr>
                <w:rFonts w:eastAsia="Times New Roman" w:cs="Times New Roman"/>
                <w:sz w:val="20"/>
                <w:szCs w:val="20"/>
              </w:rPr>
              <w:t>Yes, it included a cohort of HF patients.</w:t>
            </w:r>
          </w:p>
        </w:tc>
        <w:tc>
          <w:tcPr>
            <w:tcW w:w="885" w:type="dxa"/>
          </w:tcPr>
          <w:p w14:paraId="52CAC458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15B0CFD9">
              <w:rPr>
                <w:rFonts w:eastAsia="Times New Roman" w:cs="Times New Roman"/>
                <w:sz w:val="20"/>
                <w:szCs w:val="20"/>
              </w:rPr>
              <w:t>Yes, patients were prospectively enrolled.</w:t>
            </w:r>
          </w:p>
        </w:tc>
        <w:tc>
          <w:tcPr>
            <w:tcW w:w="885" w:type="dxa"/>
          </w:tcPr>
          <w:p w14:paraId="47DB4347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15B0CFD9">
              <w:rPr>
                <w:rFonts w:eastAsia="Times New Roman" w:cs="Times New Roman"/>
                <w:sz w:val="20"/>
                <w:szCs w:val="20"/>
              </w:rPr>
              <w:t>Unclear, no specific sample size justification was provided.</w:t>
            </w:r>
          </w:p>
        </w:tc>
        <w:tc>
          <w:tcPr>
            <w:tcW w:w="900" w:type="dxa"/>
          </w:tcPr>
          <w:p w14:paraId="41B0D66E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15B0CFD9">
              <w:rPr>
                <w:rFonts w:eastAsia="Times New Roman" w:cs="Times New Roman"/>
                <w:sz w:val="20"/>
                <w:szCs w:val="20"/>
              </w:rPr>
              <w:t>Yes, baseline characteristics were well described.</w:t>
            </w:r>
          </w:p>
        </w:tc>
        <w:tc>
          <w:tcPr>
            <w:tcW w:w="915" w:type="dxa"/>
          </w:tcPr>
          <w:p w14:paraId="381F196C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15B0CFD9">
              <w:rPr>
                <w:rFonts w:eastAsia="Times New Roman" w:cs="Times New Roman"/>
                <w:sz w:val="20"/>
                <w:szCs w:val="20"/>
              </w:rPr>
              <w:t>Yes, all enrolled patients underwent analysis.</w:t>
            </w:r>
          </w:p>
        </w:tc>
        <w:tc>
          <w:tcPr>
            <w:tcW w:w="1020" w:type="dxa"/>
          </w:tcPr>
          <w:p w14:paraId="1C1F0773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15B0CFD9">
              <w:rPr>
                <w:rFonts w:eastAsia="Times New Roman" w:cs="Times New Roman"/>
                <w:sz w:val="20"/>
                <w:szCs w:val="20"/>
              </w:rPr>
              <w:t>Yes, standardized diagnostic criteria were used.</w:t>
            </w:r>
          </w:p>
        </w:tc>
        <w:tc>
          <w:tcPr>
            <w:tcW w:w="1080" w:type="dxa"/>
          </w:tcPr>
          <w:p w14:paraId="6D6D77A1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15B0CFD9">
              <w:rPr>
                <w:rFonts w:eastAsia="Times New Roman" w:cs="Times New Roman"/>
                <w:sz w:val="20"/>
                <w:szCs w:val="20"/>
              </w:rPr>
              <w:t>Yes, all patients underwent standardized scintigraphy protocols.</w:t>
            </w:r>
          </w:p>
        </w:tc>
        <w:tc>
          <w:tcPr>
            <w:tcW w:w="1245" w:type="dxa"/>
          </w:tcPr>
          <w:p w14:paraId="1B9345D0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15B0CFD9">
              <w:rPr>
                <w:rFonts w:eastAsia="Times New Roman" w:cs="Times New Roman"/>
                <w:sz w:val="20"/>
                <w:szCs w:val="20"/>
              </w:rPr>
              <w:t>Yes, prevalence was reported with clear numerator/denominator.</w:t>
            </w:r>
          </w:p>
        </w:tc>
        <w:tc>
          <w:tcPr>
            <w:tcW w:w="1250" w:type="dxa"/>
          </w:tcPr>
          <w:p w14:paraId="7BEA0CCF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15B0CFD9">
              <w:rPr>
                <w:rFonts w:eastAsia="Times New Roman" w:cs="Times New Roman"/>
                <w:sz w:val="20"/>
                <w:szCs w:val="20"/>
              </w:rPr>
              <w:t>Yes, all eligible patients completed diagnostic assessment.</w:t>
            </w:r>
          </w:p>
          <w:p w14:paraId="5CFA4FA4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1470" w:type="dxa"/>
          </w:tcPr>
          <w:p w14:paraId="09CE3CE5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15B0CFD9">
              <w:rPr>
                <w:rFonts w:eastAsia="Times New Roman" w:cs="Times New Roman"/>
                <w:sz w:val="20"/>
                <w:szCs w:val="20"/>
              </w:rPr>
              <w:t>Low risk of bias.</w:t>
            </w:r>
          </w:p>
        </w:tc>
      </w:tr>
      <w:tr w:rsidR="0005575D" w14:paraId="65AE2DF9" w14:textId="77777777" w:rsidTr="00676D57">
        <w:tc>
          <w:tcPr>
            <w:tcW w:w="945" w:type="dxa"/>
          </w:tcPr>
          <w:p w14:paraId="2DF52E57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15B0CFD9">
              <w:rPr>
                <w:rFonts w:eastAsia="Times New Roman" w:cs="Times New Roman"/>
                <w:sz w:val="20"/>
                <w:szCs w:val="20"/>
              </w:rPr>
              <w:t>Dungu et al.</w:t>
            </w:r>
            <w:r>
              <w:rPr>
                <w:rFonts w:eastAsia="Times New Roman" w:cs="Times New Roman"/>
                <w:sz w:val="20"/>
                <w:szCs w:val="20"/>
                <w:vertAlign w:val="superscript"/>
              </w:rPr>
              <w:t>37</w:t>
            </w:r>
          </w:p>
        </w:tc>
        <w:tc>
          <w:tcPr>
            <w:tcW w:w="795" w:type="dxa"/>
          </w:tcPr>
          <w:p w14:paraId="31FF82BE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15B0CFD9">
              <w:rPr>
                <w:rFonts w:eastAsia="Times New Roman" w:cs="Times New Roman"/>
                <w:sz w:val="20"/>
                <w:szCs w:val="20"/>
              </w:rPr>
              <w:t>Yes, it included a cohort of HF patients.</w:t>
            </w:r>
          </w:p>
          <w:p w14:paraId="32478346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885" w:type="dxa"/>
          </w:tcPr>
          <w:p w14:paraId="7C83DC82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15B0CFD9">
              <w:rPr>
                <w:rFonts w:eastAsia="Times New Roman" w:cs="Times New Roman"/>
                <w:sz w:val="20"/>
                <w:szCs w:val="20"/>
              </w:rPr>
              <w:t>Yes, patients were consecutively enrolled.</w:t>
            </w:r>
          </w:p>
          <w:p w14:paraId="69AF5D63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885" w:type="dxa"/>
          </w:tcPr>
          <w:p w14:paraId="079E8A0B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15B0CFD9">
              <w:rPr>
                <w:rFonts w:eastAsia="Times New Roman" w:cs="Times New Roman"/>
                <w:sz w:val="20"/>
                <w:szCs w:val="20"/>
              </w:rPr>
              <w:t>Unclear, no specific sample size justification was provided.</w:t>
            </w:r>
          </w:p>
        </w:tc>
        <w:tc>
          <w:tcPr>
            <w:tcW w:w="900" w:type="dxa"/>
          </w:tcPr>
          <w:p w14:paraId="68226AC3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15B0CFD9">
              <w:rPr>
                <w:rFonts w:eastAsia="Times New Roman" w:cs="Times New Roman"/>
                <w:sz w:val="20"/>
                <w:szCs w:val="20"/>
              </w:rPr>
              <w:t>Yes, baseline characteristics were well described.</w:t>
            </w:r>
          </w:p>
        </w:tc>
        <w:tc>
          <w:tcPr>
            <w:tcW w:w="915" w:type="dxa"/>
          </w:tcPr>
          <w:p w14:paraId="0B669F79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15B0CFD9">
              <w:rPr>
                <w:rFonts w:eastAsia="Times New Roman" w:cs="Times New Roman"/>
                <w:sz w:val="20"/>
                <w:szCs w:val="20"/>
              </w:rPr>
              <w:t>No, not all subjects were screened for amyloidosis as that was not the primary objective.</w:t>
            </w:r>
          </w:p>
        </w:tc>
        <w:tc>
          <w:tcPr>
            <w:tcW w:w="1020" w:type="dxa"/>
          </w:tcPr>
          <w:p w14:paraId="7B009642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15B0CFD9">
              <w:rPr>
                <w:rFonts w:eastAsia="Times New Roman" w:cs="Times New Roman"/>
                <w:sz w:val="20"/>
                <w:szCs w:val="20"/>
              </w:rPr>
              <w:t>Yes, standardized diagnostic criteria were used.</w:t>
            </w:r>
          </w:p>
          <w:p w14:paraId="60914FBF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1080" w:type="dxa"/>
          </w:tcPr>
          <w:p w14:paraId="41AD3046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15B0CFD9">
              <w:rPr>
                <w:rFonts w:eastAsia="Times New Roman" w:cs="Times New Roman"/>
                <w:sz w:val="20"/>
                <w:szCs w:val="20"/>
              </w:rPr>
              <w:t>No, they were not applied uniformly to all participants.</w:t>
            </w:r>
          </w:p>
        </w:tc>
        <w:tc>
          <w:tcPr>
            <w:tcW w:w="1245" w:type="dxa"/>
          </w:tcPr>
          <w:p w14:paraId="2C21B7C3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15B0CFD9">
              <w:rPr>
                <w:rFonts w:eastAsia="Times New Roman" w:cs="Times New Roman"/>
                <w:sz w:val="20"/>
                <w:szCs w:val="20"/>
              </w:rPr>
              <w:t>Yes, prevalence was reported with clear numerator/denominator.</w:t>
            </w:r>
          </w:p>
        </w:tc>
        <w:tc>
          <w:tcPr>
            <w:tcW w:w="1250" w:type="dxa"/>
          </w:tcPr>
          <w:p w14:paraId="24936E83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15B0CFD9">
              <w:rPr>
                <w:rFonts w:eastAsia="Times New Roman" w:cs="Times New Roman"/>
                <w:sz w:val="20"/>
                <w:szCs w:val="20"/>
              </w:rPr>
              <w:t>Not applicable, as this was a retrospective study using existing clinical data.</w:t>
            </w:r>
          </w:p>
        </w:tc>
        <w:tc>
          <w:tcPr>
            <w:tcW w:w="1470" w:type="dxa"/>
          </w:tcPr>
          <w:p w14:paraId="470353AF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/>
                <w:sz w:val="20"/>
                <w:szCs w:val="20"/>
              </w:rPr>
              <w:t>High</w:t>
            </w:r>
            <w:r w:rsidRPr="15B0CFD9">
              <w:rPr>
                <w:rFonts w:eastAsia="Times New Roman" w:cs="Times New Roman"/>
                <w:sz w:val="20"/>
                <w:szCs w:val="20"/>
              </w:rPr>
              <w:t xml:space="preserve"> risk of bias.</w:t>
            </w:r>
          </w:p>
        </w:tc>
      </w:tr>
    </w:tbl>
    <w:p w14:paraId="66269BA5" w14:textId="77777777" w:rsidR="0005575D" w:rsidRDefault="0005575D" w:rsidP="0005575D">
      <w:pPr>
        <w:rPr>
          <w:rFonts w:cs="Times New Roman"/>
        </w:rPr>
      </w:pPr>
    </w:p>
    <w:p w14:paraId="722E023F" w14:textId="77777777" w:rsidR="0005575D" w:rsidRDefault="0005575D" w:rsidP="0005575D">
      <w:pPr>
        <w:rPr>
          <w:rFonts w:cs="Times New Roman"/>
        </w:rPr>
      </w:pPr>
    </w:p>
    <w:p w14:paraId="6A192E02" w14:textId="77777777" w:rsidR="0005575D" w:rsidRDefault="0005575D" w:rsidP="0005575D">
      <w:pPr>
        <w:rPr>
          <w:rFonts w:cs="Times New Roman"/>
        </w:rPr>
      </w:pPr>
    </w:p>
    <w:p w14:paraId="6306FE22" w14:textId="77777777" w:rsidR="0005575D" w:rsidRDefault="0005575D" w:rsidP="0005575D">
      <w:pPr>
        <w:rPr>
          <w:rFonts w:cs="Times New Roman"/>
        </w:rPr>
      </w:pPr>
    </w:p>
    <w:p w14:paraId="1E503E69" w14:textId="77777777" w:rsidR="0005575D" w:rsidRDefault="0005575D" w:rsidP="0005575D">
      <w:pPr>
        <w:rPr>
          <w:rFonts w:cs="Times New Roman"/>
        </w:rPr>
      </w:pPr>
    </w:p>
    <w:p w14:paraId="077716BE" w14:textId="77777777" w:rsidR="0005575D" w:rsidRDefault="0005575D" w:rsidP="0005575D">
      <w:pPr>
        <w:rPr>
          <w:rFonts w:cs="Times New Roman"/>
        </w:rPr>
      </w:pPr>
    </w:p>
    <w:p w14:paraId="7EB02D45" w14:textId="77777777" w:rsidR="0005575D" w:rsidRDefault="0005575D" w:rsidP="0005575D">
      <w:pPr>
        <w:rPr>
          <w:rFonts w:cs="Times New Roman"/>
        </w:rPr>
      </w:pPr>
    </w:p>
    <w:p w14:paraId="47C59D63" w14:textId="77777777" w:rsidR="0005575D" w:rsidRDefault="0005575D" w:rsidP="0005575D">
      <w:pPr>
        <w:rPr>
          <w:rFonts w:cs="Times New Roman"/>
        </w:rPr>
      </w:pPr>
    </w:p>
    <w:p w14:paraId="0333B968" w14:textId="77777777" w:rsidR="0005575D" w:rsidRDefault="0005575D" w:rsidP="0005575D">
      <w:pPr>
        <w:rPr>
          <w:rFonts w:cs="Times New Roman"/>
        </w:rPr>
      </w:pPr>
    </w:p>
    <w:p w14:paraId="725C8778" w14:textId="77777777" w:rsidR="0005575D" w:rsidRDefault="0005575D" w:rsidP="0005575D">
      <w:pPr>
        <w:rPr>
          <w:rFonts w:cs="Times New Roman"/>
        </w:rPr>
      </w:pPr>
    </w:p>
    <w:p w14:paraId="62C60BBE" w14:textId="77777777" w:rsidR="0005575D" w:rsidRDefault="0005575D" w:rsidP="0005575D">
      <w:pPr>
        <w:rPr>
          <w:rFonts w:cs="Times New Roman"/>
        </w:rPr>
      </w:pPr>
    </w:p>
    <w:p w14:paraId="62BD603F" w14:textId="77777777" w:rsidR="0005575D" w:rsidRDefault="0005575D" w:rsidP="0005575D">
      <w:pPr>
        <w:rPr>
          <w:rFonts w:cs="Times New Roman"/>
        </w:rPr>
      </w:pPr>
    </w:p>
    <w:p w14:paraId="16224421" w14:textId="77777777" w:rsidR="0005575D" w:rsidRDefault="0005575D" w:rsidP="0005575D">
      <w:pPr>
        <w:rPr>
          <w:rFonts w:cs="Times New Roman"/>
        </w:rPr>
      </w:pPr>
    </w:p>
    <w:p w14:paraId="3B9C6767" w14:textId="77777777" w:rsidR="0005575D" w:rsidRDefault="0005575D" w:rsidP="0005575D">
      <w:pPr>
        <w:rPr>
          <w:rFonts w:cs="Times New Roman"/>
        </w:rPr>
      </w:pPr>
    </w:p>
    <w:p w14:paraId="7A37A3D8" w14:textId="77777777" w:rsidR="0005575D" w:rsidRDefault="0005575D" w:rsidP="0005575D">
      <w:pPr>
        <w:rPr>
          <w:rFonts w:cs="Times New Roman"/>
        </w:rPr>
      </w:pPr>
    </w:p>
    <w:p w14:paraId="439595F9" w14:textId="77777777" w:rsidR="0005575D" w:rsidRDefault="0005575D" w:rsidP="0005575D">
      <w:pPr>
        <w:rPr>
          <w:rFonts w:cs="Times New Roman"/>
        </w:rPr>
      </w:pPr>
    </w:p>
    <w:p w14:paraId="5CA738B6" w14:textId="77777777" w:rsidR="0005575D" w:rsidRDefault="0005575D" w:rsidP="0005575D">
      <w:pPr>
        <w:rPr>
          <w:rFonts w:eastAsia="Times New Roman" w:cs="Times New Roman"/>
        </w:rPr>
      </w:pPr>
      <w:r w:rsidRPr="55D96100">
        <w:rPr>
          <w:rFonts w:eastAsia="Times New Roman" w:cs="Times New Roman"/>
        </w:rPr>
        <w:t xml:space="preserve">Table </w:t>
      </w:r>
      <w:r>
        <w:rPr>
          <w:rFonts w:eastAsia="Times New Roman" w:cs="Times New Roman"/>
        </w:rPr>
        <w:t>2</w:t>
      </w:r>
      <w:r w:rsidRPr="55D96100">
        <w:rPr>
          <w:rFonts w:eastAsia="Times New Roman" w:cs="Times New Roman"/>
        </w:rPr>
        <w:t xml:space="preserve">. </w:t>
      </w:r>
      <w:r>
        <w:rPr>
          <w:rFonts w:eastAsia="Times New Roman" w:cs="Times New Roman"/>
        </w:rPr>
        <w:t>Baseline Characteristics</w:t>
      </w:r>
    </w:p>
    <w:p w14:paraId="1637945B" w14:textId="77777777" w:rsidR="0005575D" w:rsidRDefault="0005575D" w:rsidP="0005575D">
      <w:pPr>
        <w:rPr>
          <w:rFonts w:cs="Times New Roman"/>
        </w:rPr>
      </w:pPr>
    </w:p>
    <w:tbl>
      <w:tblPr>
        <w:tblStyle w:val="TableGrid"/>
        <w:tblW w:w="0" w:type="auto"/>
        <w:tblLook w:val="06A0" w:firstRow="1" w:lastRow="0" w:firstColumn="1" w:lastColumn="0" w:noHBand="1" w:noVBand="1"/>
      </w:tblPr>
      <w:tblGrid>
        <w:gridCol w:w="975"/>
        <w:gridCol w:w="790"/>
        <w:gridCol w:w="622"/>
        <w:gridCol w:w="622"/>
        <w:gridCol w:w="490"/>
        <w:gridCol w:w="948"/>
        <w:gridCol w:w="685"/>
        <w:gridCol w:w="962"/>
        <w:gridCol w:w="948"/>
        <w:gridCol w:w="622"/>
        <w:gridCol w:w="790"/>
        <w:gridCol w:w="896"/>
      </w:tblGrid>
      <w:tr w:rsidR="0005575D" w14:paraId="44952CC2" w14:textId="77777777" w:rsidTr="00676D57">
        <w:trPr>
          <w:trHeight w:val="300"/>
        </w:trPr>
        <w:tc>
          <w:tcPr>
            <w:tcW w:w="895" w:type="dxa"/>
          </w:tcPr>
          <w:p w14:paraId="6D4332A9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55D96100">
              <w:rPr>
                <w:rFonts w:eastAsia="Times New Roman" w:cs="Times New Roman"/>
                <w:sz w:val="20"/>
                <w:szCs w:val="20"/>
              </w:rPr>
              <w:t>Author</w:t>
            </w:r>
          </w:p>
        </w:tc>
        <w:tc>
          <w:tcPr>
            <w:tcW w:w="912" w:type="dxa"/>
          </w:tcPr>
          <w:p w14:paraId="45FB61CC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55D96100">
              <w:rPr>
                <w:rFonts w:eastAsia="Times New Roman" w:cs="Times New Roman"/>
                <w:sz w:val="20"/>
                <w:szCs w:val="20"/>
              </w:rPr>
              <w:t>Country</w:t>
            </w:r>
          </w:p>
        </w:tc>
        <w:tc>
          <w:tcPr>
            <w:tcW w:w="709" w:type="dxa"/>
          </w:tcPr>
          <w:p w14:paraId="57E3B83C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55D96100">
              <w:rPr>
                <w:rFonts w:eastAsia="Times New Roman" w:cs="Times New Roman"/>
                <w:sz w:val="20"/>
                <w:szCs w:val="20"/>
              </w:rPr>
              <w:t>Total Patients, N</w:t>
            </w:r>
          </w:p>
        </w:tc>
        <w:tc>
          <w:tcPr>
            <w:tcW w:w="709" w:type="dxa"/>
          </w:tcPr>
          <w:p w14:paraId="561FA991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55D96100">
              <w:rPr>
                <w:rFonts w:eastAsia="Times New Roman" w:cs="Times New Roman"/>
                <w:sz w:val="20"/>
                <w:szCs w:val="20"/>
              </w:rPr>
              <w:t>CA Patients, N</w:t>
            </w:r>
          </w:p>
        </w:tc>
        <w:tc>
          <w:tcPr>
            <w:tcW w:w="548" w:type="dxa"/>
          </w:tcPr>
          <w:p w14:paraId="17B8FC5D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55D96100">
              <w:rPr>
                <w:rFonts w:eastAsia="Times New Roman" w:cs="Times New Roman"/>
                <w:sz w:val="20"/>
                <w:szCs w:val="20"/>
              </w:rPr>
              <w:t>Male, N (%)</w:t>
            </w:r>
          </w:p>
        </w:tc>
        <w:tc>
          <w:tcPr>
            <w:tcW w:w="1104" w:type="dxa"/>
          </w:tcPr>
          <w:p w14:paraId="2EB649B6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55D96100">
              <w:rPr>
                <w:rFonts w:eastAsia="Times New Roman" w:cs="Times New Roman"/>
                <w:sz w:val="20"/>
                <w:szCs w:val="20"/>
              </w:rPr>
              <w:t>Age (Mean/median)</w:t>
            </w:r>
          </w:p>
        </w:tc>
        <w:tc>
          <w:tcPr>
            <w:tcW w:w="784" w:type="dxa"/>
          </w:tcPr>
          <w:p w14:paraId="2236A15D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55D96100">
              <w:rPr>
                <w:rFonts w:eastAsia="Times New Roman" w:cs="Times New Roman"/>
                <w:sz w:val="20"/>
                <w:szCs w:val="20"/>
              </w:rPr>
              <w:t>Race, N</w:t>
            </w:r>
          </w:p>
        </w:tc>
        <w:tc>
          <w:tcPr>
            <w:tcW w:w="1121" w:type="dxa"/>
          </w:tcPr>
          <w:p w14:paraId="24D922E3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55D96100">
              <w:rPr>
                <w:rFonts w:eastAsia="Times New Roman" w:cs="Times New Roman"/>
                <w:sz w:val="20"/>
                <w:szCs w:val="20"/>
              </w:rPr>
              <w:t>LVEF, % (Mean/Median)</w:t>
            </w:r>
          </w:p>
        </w:tc>
        <w:tc>
          <w:tcPr>
            <w:tcW w:w="1104" w:type="dxa"/>
          </w:tcPr>
          <w:p w14:paraId="391C177C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55D96100">
              <w:rPr>
                <w:rFonts w:eastAsia="Times New Roman" w:cs="Times New Roman"/>
                <w:sz w:val="20"/>
                <w:szCs w:val="20"/>
              </w:rPr>
              <w:t>IVS Thickness, mm (Mean/median)</w:t>
            </w:r>
          </w:p>
        </w:tc>
        <w:tc>
          <w:tcPr>
            <w:tcW w:w="709" w:type="dxa"/>
          </w:tcPr>
          <w:p w14:paraId="05BDD2A8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55D96100">
              <w:rPr>
                <w:rFonts w:eastAsia="Times New Roman" w:cs="Times New Roman"/>
                <w:sz w:val="20"/>
                <w:szCs w:val="20"/>
              </w:rPr>
              <w:t>Low Voltage, N</w:t>
            </w:r>
          </w:p>
        </w:tc>
        <w:tc>
          <w:tcPr>
            <w:tcW w:w="913" w:type="dxa"/>
          </w:tcPr>
          <w:p w14:paraId="5E472C01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55D96100">
              <w:rPr>
                <w:rFonts w:eastAsia="Times New Roman" w:cs="Times New Roman"/>
                <w:sz w:val="20"/>
                <w:szCs w:val="20"/>
              </w:rPr>
              <w:t>HF subtype, N (%)</w:t>
            </w:r>
          </w:p>
        </w:tc>
        <w:tc>
          <w:tcPr>
            <w:tcW w:w="1041" w:type="dxa"/>
          </w:tcPr>
          <w:p w14:paraId="6B700C4F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55D96100">
              <w:rPr>
                <w:rFonts w:eastAsia="Times New Roman" w:cs="Times New Roman"/>
                <w:sz w:val="20"/>
                <w:szCs w:val="20"/>
              </w:rPr>
              <w:t>CA subtype</w:t>
            </w:r>
          </w:p>
        </w:tc>
      </w:tr>
      <w:tr w:rsidR="0005575D" w14:paraId="47B7D840" w14:textId="77777777" w:rsidTr="00676D57">
        <w:trPr>
          <w:trHeight w:val="300"/>
        </w:trPr>
        <w:tc>
          <w:tcPr>
            <w:tcW w:w="895" w:type="dxa"/>
          </w:tcPr>
          <w:p w14:paraId="29E2E445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55D96100">
              <w:rPr>
                <w:rFonts w:eastAsia="Times New Roman" w:cs="Times New Roman"/>
                <w:sz w:val="20"/>
                <w:szCs w:val="20"/>
              </w:rPr>
              <w:t>Healy et al.</w:t>
            </w:r>
            <w:r w:rsidRPr="006854DF">
              <w:rPr>
                <w:rFonts w:eastAsia="Times New Roman" w:cs="Times New Roman"/>
                <w:sz w:val="20"/>
                <w:szCs w:val="20"/>
                <w:vertAlign w:val="superscript"/>
              </w:rPr>
              <w:t>14</w:t>
            </w:r>
          </w:p>
        </w:tc>
        <w:tc>
          <w:tcPr>
            <w:tcW w:w="912" w:type="dxa"/>
          </w:tcPr>
          <w:p w14:paraId="005C0416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55D96100">
              <w:rPr>
                <w:rFonts w:eastAsia="Times New Roman" w:cs="Times New Roman"/>
                <w:sz w:val="20"/>
                <w:szCs w:val="20"/>
              </w:rPr>
              <w:t>Ireland</w:t>
            </w:r>
          </w:p>
        </w:tc>
        <w:tc>
          <w:tcPr>
            <w:tcW w:w="709" w:type="dxa"/>
          </w:tcPr>
          <w:p w14:paraId="65156B60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55D96100">
              <w:rPr>
                <w:rFonts w:eastAsia="Times New Roman" w:cs="Times New Roman"/>
                <w:sz w:val="20"/>
                <w:szCs w:val="20"/>
              </w:rPr>
              <w:t>86</w:t>
            </w:r>
          </w:p>
        </w:tc>
        <w:tc>
          <w:tcPr>
            <w:tcW w:w="709" w:type="dxa"/>
          </w:tcPr>
          <w:p w14:paraId="01C5223D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55D96100">
              <w:rPr>
                <w:rFonts w:eastAsia="Times New Roman" w:cs="Times New Roman"/>
                <w:sz w:val="20"/>
                <w:szCs w:val="20"/>
              </w:rPr>
              <w:t>7</w:t>
            </w:r>
          </w:p>
        </w:tc>
        <w:tc>
          <w:tcPr>
            <w:tcW w:w="548" w:type="dxa"/>
          </w:tcPr>
          <w:p w14:paraId="02BF304B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55D96100">
              <w:rPr>
                <w:rFonts w:eastAsia="Times New Roman" w:cs="Times New Roman"/>
                <w:sz w:val="20"/>
                <w:szCs w:val="20"/>
              </w:rPr>
              <w:t>6 (86)</w:t>
            </w:r>
          </w:p>
        </w:tc>
        <w:tc>
          <w:tcPr>
            <w:tcW w:w="1104" w:type="dxa"/>
          </w:tcPr>
          <w:p w14:paraId="7BAC4E37" w14:textId="77777777" w:rsidR="0005575D" w:rsidRDefault="0005575D" w:rsidP="00676D57">
            <w:pPr>
              <w:rPr>
                <w:rFonts w:eastAsia="Times New Roman" w:cs="Times New Roman"/>
                <w:color w:val="000000" w:themeColor="text1"/>
                <w:sz w:val="20"/>
                <w:szCs w:val="20"/>
              </w:rPr>
            </w:pPr>
            <w:r w:rsidRPr="55D96100"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>86±3</w:t>
            </w:r>
          </w:p>
        </w:tc>
        <w:tc>
          <w:tcPr>
            <w:tcW w:w="784" w:type="dxa"/>
          </w:tcPr>
          <w:p w14:paraId="1C4181D3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55D96100">
              <w:rPr>
                <w:rFonts w:eastAsia="Times New Roman" w:cs="Times New Roman"/>
                <w:sz w:val="20"/>
                <w:szCs w:val="20"/>
              </w:rPr>
              <w:t>N/A</w:t>
            </w:r>
          </w:p>
        </w:tc>
        <w:tc>
          <w:tcPr>
            <w:tcW w:w="1121" w:type="dxa"/>
          </w:tcPr>
          <w:p w14:paraId="181E3294" w14:textId="77777777" w:rsidR="0005575D" w:rsidRDefault="0005575D" w:rsidP="00676D57">
            <w:pPr>
              <w:rPr>
                <w:rFonts w:eastAsia="Times New Roman" w:cs="Times New Roman"/>
                <w:color w:val="000000" w:themeColor="text1"/>
                <w:sz w:val="20"/>
                <w:szCs w:val="20"/>
              </w:rPr>
            </w:pPr>
            <w:r w:rsidRPr="55D96100"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>55±5</w:t>
            </w:r>
          </w:p>
        </w:tc>
        <w:tc>
          <w:tcPr>
            <w:tcW w:w="1104" w:type="dxa"/>
          </w:tcPr>
          <w:p w14:paraId="598710B6" w14:textId="77777777" w:rsidR="0005575D" w:rsidRDefault="0005575D" w:rsidP="00676D57">
            <w:pPr>
              <w:rPr>
                <w:rFonts w:eastAsia="Times New Roman" w:cs="Times New Roman"/>
                <w:color w:val="000000" w:themeColor="text1"/>
                <w:sz w:val="20"/>
                <w:szCs w:val="20"/>
              </w:rPr>
            </w:pPr>
            <w:r w:rsidRPr="55D96100"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>16±5</w:t>
            </w:r>
          </w:p>
        </w:tc>
        <w:tc>
          <w:tcPr>
            <w:tcW w:w="709" w:type="dxa"/>
          </w:tcPr>
          <w:p w14:paraId="2D98F1C2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55D96100">
              <w:rPr>
                <w:rFonts w:eastAsia="Times New Roman" w:cs="Times New Roman"/>
                <w:sz w:val="20"/>
                <w:szCs w:val="20"/>
              </w:rPr>
              <w:t>N/A</w:t>
            </w:r>
          </w:p>
        </w:tc>
        <w:tc>
          <w:tcPr>
            <w:tcW w:w="913" w:type="dxa"/>
          </w:tcPr>
          <w:p w14:paraId="5F7F5892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55D96100">
              <w:rPr>
                <w:rFonts w:eastAsia="Times New Roman" w:cs="Times New Roman"/>
                <w:sz w:val="20"/>
                <w:szCs w:val="20"/>
              </w:rPr>
              <w:t>HFpEF 7 (100)</w:t>
            </w:r>
          </w:p>
        </w:tc>
        <w:tc>
          <w:tcPr>
            <w:tcW w:w="1041" w:type="dxa"/>
          </w:tcPr>
          <w:p w14:paraId="3375C29D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55D96100">
              <w:rPr>
                <w:rFonts w:eastAsia="Times New Roman" w:cs="Times New Roman"/>
                <w:sz w:val="20"/>
                <w:szCs w:val="20"/>
              </w:rPr>
              <w:t>ATTRwt (7)</w:t>
            </w:r>
          </w:p>
        </w:tc>
      </w:tr>
      <w:tr w:rsidR="0005575D" w14:paraId="756048DE" w14:textId="77777777" w:rsidTr="00676D57">
        <w:trPr>
          <w:trHeight w:val="300"/>
        </w:trPr>
        <w:tc>
          <w:tcPr>
            <w:tcW w:w="895" w:type="dxa"/>
          </w:tcPr>
          <w:p w14:paraId="72EFF992" w14:textId="77777777" w:rsidR="0005575D" w:rsidRDefault="0005575D" w:rsidP="00676D57">
            <w:pPr>
              <w:rPr>
                <w:rFonts w:eastAsia="Times New Roman" w:cs="Times New Roman"/>
                <w:color w:val="212121"/>
                <w:sz w:val="20"/>
                <w:szCs w:val="20"/>
              </w:rPr>
            </w:pPr>
            <w:r w:rsidRPr="55D96100">
              <w:rPr>
                <w:rFonts w:eastAsia="Times New Roman" w:cs="Times New Roman"/>
                <w:color w:val="212121"/>
                <w:sz w:val="20"/>
                <w:szCs w:val="20"/>
              </w:rPr>
              <w:t>García-Pavía et al.</w:t>
            </w:r>
            <w:r>
              <w:rPr>
                <w:rFonts w:eastAsia="Times New Roman" w:cs="Times New Roman"/>
                <w:color w:val="212121"/>
                <w:sz w:val="20"/>
                <w:szCs w:val="20"/>
              </w:rPr>
              <w:t xml:space="preserve"> </w:t>
            </w:r>
            <w:r w:rsidRPr="006854DF">
              <w:rPr>
                <w:rFonts w:eastAsia="Times New Roman" w:cs="Times New Roman"/>
                <w:sz w:val="20"/>
                <w:szCs w:val="20"/>
                <w:vertAlign w:val="superscript"/>
              </w:rPr>
              <w:t>1</w:t>
            </w:r>
            <w:r>
              <w:rPr>
                <w:rFonts w:eastAsia="Times New Roman" w:cs="Times New Roman"/>
                <w:sz w:val="20"/>
                <w:szCs w:val="20"/>
                <w:vertAlign w:val="superscript"/>
              </w:rPr>
              <w:t>5</w:t>
            </w:r>
          </w:p>
        </w:tc>
        <w:tc>
          <w:tcPr>
            <w:tcW w:w="912" w:type="dxa"/>
          </w:tcPr>
          <w:p w14:paraId="7B464C93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55D96100">
              <w:rPr>
                <w:rFonts w:eastAsia="Times New Roman" w:cs="Times New Roman"/>
                <w:sz w:val="20"/>
                <w:szCs w:val="20"/>
              </w:rPr>
              <w:t>Spain</w:t>
            </w:r>
          </w:p>
        </w:tc>
        <w:tc>
          <w:tcPr>
            <w:tcW w:w="709" w:type="dxa"/>
          </w:tcPr>
          <w:p w14:paraId="52F48B07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55D96100">
              <w:rPr>
                <w:rFonts w:eastAsia="Times New Roman" w:cs="Times New Roman"/>
                <w:sz w:val="20"/>
                <w:szCs w:val="20"/>
              </w:rPr>
              <w:t>387</w:t>
            </w:r>
          </w:p>
        </w:tc>
        <w:tc>
          <w:tcPr>
            <w:tcW w:w="709" w:type="dxa"/>
          </w:tcPr>
          <w:p w14:paraId="0A866D7A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55D96100">
              <w:rPr>
                <w:rFonts w:eastAsia="Times New Roman" w:cs="Times New Roman"/>
                <w:sz w:val="20"/>
                <w:szCs w:val="20"/>
              </w:rPr>
              <w:t>65</w:t>
            </w:r>
          </w:p>
        </w:tc>
        <w:tc>
          <w:tcPr>
            <w:tcW w:w="548" w:type="dxa"/>
          </w:tcPr>
          <w:p w14:paraId="6222A44E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55D96100">
              <w:rPr>
                <w:rFonts w:eastAsia="Times New Roman" w:cs="Times New Roman"/>
                <w:sz w:val="20"/>
                <w:szCs w:val="20"/>
              </w:rPr>
              <w:t>39 (60)</w:t>
            </w:r>
          </w:p>
        </w:tc>
        <w:tc>
          <w:tcPr>
            <w:tcW w:w="1104" w:type="dxa"/>
          </w:tcPr>
          <w:p w14:paraId="66062D02" w14:textId="77777777" w:rsidR="0005575D" w:rsidRDefault="0005575D" w:rsidP="00676D57">
            <w:pPr>
              <w:rPr>
                <w:rFonts w:eastAsia="Times New Roman" w:cs="Times New Roman"/>
                <w:color w:val="000000" w:themeColor="text1"/>
                <w:sz w:val="20"/>
                <w:szCs w:val="20"/>
              </w:rPr>
            </w:pPr>
            <w:r w:rsidRPr="55D96100"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>85.3±5.2</w:t>
            </w:r>
          </w:p>
        </w:tc>
        <w:tc>
          <w:tcPr>
            <w:tcW w:w="784" w:type="dxa"/>
          </w:tcPr>
          <w:p w14:paraId="15F99C6A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55D96100">
              <w:rPr>
                <w:rFonts w:eastAsia="Times New Roman" w:cs="Times New Roman"/>
                <w:sz w:val="20"/>
                <w:szCs w:val="20"/>
              </w:rPr>
              <w:t>N/A</w:t>
            </w:r>
          </w:p>
        </w:tc>
        <w:tc>
          <w:tcPr>
            <w:tcW w:w="1121" w:type="dxa"/>
          </w:tcPr>
          <w:p w14:paraId="23F25D8F" w14:textId="77777777" w:rsidR="0005575D" w:rsidRDefault="0005575D" w:rsidP="00676D57">
            <w:pPr>
              <w:rPr>
                <w:rFonts w:eastAsia="Times New Roman" w:cs="Times New Roman"/>
                <w:color w:val="000000" w:themeColor="text1"/>
                <w:sz w:val="20"/>
                <w:szCs w:val="20"/>
              </w:rPr>
            </w:pPr>
            <w:r w:rsidRPr="55D96100"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>60.3±7.6</w:t>
            </w:r>
          </w:p>
        </w:tc>
        <w:tc>
          <w:tcPr>
            <w:tcW w:w="1104" w:type="dxa"/>
          </w:tcPr>
          <w:p w14:paraId="23FC02A1" w14:textId="77777777" w:rsidR="0005575D" w:rsidRDefault="0005575D" w:rsidP="00676D57">
            <w:pPr>
              <w:rPr>
                <w:rFonts w:eastAsia="Times New Roman" w:cs="Times New Roman"/>
                <w:color w:val="000000" w:themeColor="text1"/>
                <w:sz w:val="20"/>
                <w:szCs w:val="20"/>
              </w:rPr>
            </w:pPr>
            <w:r w:rsidRPr="55D96100"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>16.8±3.4</w:t>
            </w:r>
            <w:r w:rsidRPr="55D96100">
              <w:rPr>
                <w:rFonts w:eastAsia="Times New Roman" w:cs="Times New Roman"/>
                <w:color w:val="000000" w:themeColor="text1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709" w:type="dxa"/>
          </w:tcPr>
          <w:p w14:paraId="15FD9F80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55D96100">
              <w:rPr>
                <w:rFonts w:eastAsia="Times New Roman" w:cs="Times New Roman"/>
                <w:sz w:val="20"/>
                <w:szCs w:val="20"/>
              </w:rPr>
              <w:t>N/A</w:t>
            </w:r>
          </w:p>
        </w:tc>
        <w:tc>
          <w:tcPr>
            <w:tcW w:w="913" w:type="dxa"/>
          </w:tcPr>
          <w:p w14:paraId="3DDCB024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55D96100">
              <w:rPr>
                <w:rFonts w:eastAsia="Times New Roman" w:cs="Times New Roman"/>
                <w:sz w:val="20"/>
                <w:szCs w:val="20"/>
              </w:rPr>
              <w:t>HFpEF 65 (100)</w:t>
            </w:r>
          </w:p>
        </w:tc>
        <w:tc>
          <w:tcPr>
            <w:tcW w:w="1041" w:type="dxa"/>
          </w:tcPr>
          <w:p w14:paraId="565E2939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55D96100">
              <w:rPr>
                <w:rFonts w:eastAsia="Times New Roman" w:cs="Times New Roman"/>
                <w:sz w:val="20"/>
                <w:szCs w:val="20"/>
              </w:rPr>
              <w:t>ATTRwt (52),</w:t>
            </w:r>
            <w:r>
              <w:br/>
            </w:r>
            <w:r w:rsidRPr="55D96100">
              <w:rPr>
                <w:rFonts w:eastAsia="Times New Roman" w:cs="Times New Roman"/>
                <w:sz w:val="20"/>
                <w:szCs w:val="20"/>
              </w:rPr>
              <w:t>ATTRv (4),</w:t>
            </w:r>
            <w:r>
              <w:br/>
            </w:r>
            <w:r w:rsidRPr="55D96100">
              <w:rPr>
                <w:rFonts w:eastAsia="Times New Roman" w:cs="Times New Roman"/>
                <w:sz w:val="20"/>
                <w:szCs w:val="20"/>
              </w:rPr>
              <w:t>ATTR untyped (9)</w:t>
            </w:r>
          </w:p>
        </w:tc>
      </w:tr>
      <w:tr w:rsidR="0005575D" w14:paraId="3228061B" w14:textId="77777777" w:rsidTr="00676D57">
        <w:trPr>
          <w:trHeight w:val="300"/>
        </w:trPr>
        <w:tc>
          <w:tcPr>
            <w:tcW w:w="895" w:type="dxa"/>
          </w:tcPr>
          <w:p w14:paraId="09D872B3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55D96100"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>Kim et al.</w:t>
            </w:r>
            <w:r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r w:rsidRPr="006854DF">
              <w:rPr>
                <w:rFonts w:eastAsia="Times New Roman" w:cs="Times New Roman"/>
                <w:sz w:val="20"/>
                <w:szCs w:val="20"/>
                <w:vertAlign w:val="superscript"/>
              </w:rPr>
              <w:t>1</w:t>
            </w:r>
            <w:r>
              <w:rPr>
                <w:rFonts w:eastAsia="Times New Roman" w:cs="Times New Roman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912" w:type="dxa"/>
          </w:tcPr>
          <w:p w14:paraId="4FB4EEDB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55D96100">
              <w:rPr>
                <w:rFonts w:eastAsia="Times New Roman" w:cs="Times New Roman"/>
                <w:sz w:val="20"/>
                <w:szCs w:val="20"/>
              </w:rPr>
              <w:t>Korea</w:t>
            </w:r>
          </w:p>
        </w:tc>
        <w:tc>
          <w:tcPr>
            <w:tcW w:w="709" w:type="dxa"/>
          </w:tcPr>
          <w:p w14:paraId="6B3C1961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55D96100">
              <w:rPr>
                <w:rFonts w:eastAsia="Times New Roman" w:cs="Times New Roman"/>
                <w:sz w:val="20"/>
                <w:szCs w:val="20"/>
              </w:rPr>
              <w:t>97</w:t>
            </w:r>
          </w:p>
        </w:tc>
        <w:tc>
          <w:tcPr>
            <w:tcW w:w="709" w:type="dxa"/>
          </w:tcPr>
          <w:p w14:paraId="7BA68590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55D96100">
              <w:rPr>
                <w:rFonts w:eastAsia="Times New Roman" w:cs="Times New Roman"/>
                <w:sz w:val="20"/>
                <w:szCs w:val="20"/>
              </w:rPr>
              <w:t>13</w:t>
            </w:r>
          </w:p>
        </w:tc>
        <w:tc>
          <w:tcPr>
            <w:tcW w:w="548" w:type="dxa"/>
          </w:tcPr>
          <w:p w14:paraId="3E5ED1BC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55D96100">
              <w:rPr>
                <w:rFonts w:eastAsia="Times New Roman" w:cs="Times New Roman"/>
                <w:sz w:val="20"/>
                <w:szCs w:val="20"/>
              </w:rPr>
              <w:t>13 (100)</w:t>
            </w:r>
          </w:p>
        </w:tc>
        <w:tc>
          <w:tcPr>
            <w:tcW w:w="1104" w:type="dxa"/>
          </w:tcPr>
          <w:p w14:paraId="56A0ECD7" w14:textId="77777777" w:rsidR="0005575D" w:rsidRDefault="0005575D" w:rsidP="00676D57">
            <w:pPr>
              <w:rPr>
                <w:rFonts w:eastAsia="Times New Roman" w:cs="Times New Roman"/>
                <w:color w:val="000000" w:themeColor="text1"/>
                <w:sz w:val="20"/>
                <w:szCs w:val="20"/>
              </w:rPr>
            </w:pPr>
            <w:r w:rsidRPr="55D96100"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>78 (73–82)</w:t>
            </w:r>
          </w:p>
        </w:tc>
        <w:tc>
          <w:tcPr>
            <w:tcW w:w="784" w:type="dxa"/>
          </w:tcPr>
          <w:p w14:paraId="76AAE23F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55D96100">
              <w:rPr>
                <w:rFonts w:eastAsia="Times New Roman" w:cs="Times New Roman"/>
                <w:sz w:val="20"/>
                <w:szCs w:val="20"/>
              </w:rPr>
              <w:t>N/A</w:t>
            </w:r>
          </w:p>
        </w:tc>
        <w:tc>
          <w:tcPr>
            <w:tcW w:w="1121" w:type="dxa"/>
          </w:tcPr>
          <w:p w14:paraId="14B68B8B" w14:textId="77777777" w:rsidR="0005575D" w:rsidRDefault="0005575D" w:rsidP="00676D57">
            <w:pPr>
              <w:rPr>
                <w:rFonts w:eastAsia="Times New Roman" w:cs="Times New Roman"/>
                <w:color w:val="000000" w:themeColor="text1"/>
                <w:sz w:val="20"/>
                <w:szCs w:val="20"/>
              </w:rPr>
            </w:pPr>
            <w:r w:rsidRPr="55D96100"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>57.4±11.1</w:t>
            </w:r>
          </w:p>
        </w:tc>
        <w:tc>
          <w:tcPr>
            <w:tcW w:w="1104" w:type="dxa"/>
          </w:tcPr>
          <w:p w14:paraId="3A140254" w14:textId="77777777" w:rsidR="0005575D" w:rsidRDefault="0005575D" w:rsidP="00676D57">
            <w:pPr>
              <w:rPr>
                <w:rFonts w:eastAsia="Times New Roman" w:cs="Times New Roman"/>
                <w:color w:val="000000" w:themeColor="text1"/>
                <w:sz w:val="20"/>
                <w:szCs w:val="20"/>
              </w:rPr>
            </w:pPr>
            <w:r w:rsidRPr="55D96100"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>15 (14–17)</w:t>
            </w:r>
          </w:p>
        </w:tc>
        <w:tc>
          <w:tcPr>
            <w:tcW w:w="709" w:type="dxa"/>
          </w:tcPr>
          <w:p w14:paraId="2CAA1826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55D96100">
              <w:rPr>
                <w:rFonts w:eastAsia="Times New Roman" w:cs="Times New Roman"/>
                <w:sz w:val="20"/>
                <w:szCs w:val="20"/>
              </w:rPr>
              <w:t>5</w:t>
            </w:r>
          </w:p>
        </w:tc>
        <w:tc>
          <w:tcPr>
            <w:tcW w:w="913" w:type="dxa"/>
          </w:tcPr>
          <w:p w14:paraId="146D3629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55D96100">
              <w:rPr>
                <w:rFonts w:eastAsia="Times New Roman" w:cs="Times New Roman"/>
                <w:sz w:val="20"/>
                <w:szCs w:val="20"/>
              </w:rPr>
              <w:t>N/A</w:t>
            </w:r>
          </w:p>
        </w:tc>
        <w:tc>
          <w:tcPr>
            <w:tcW w:w="1041" w:type="dxa"/>
          </w:tcPr>
          <w:p w14:paraId="3CC379E4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55D96100">
              <w:rPr>
                <w:rFonts w:eastAsia="Times New Roman" w:cs="Times New Roman"/>
                <w:sz w:val="20"/>
                <w:szCs w:val="20"/>
              </w:rPr>
              <w:t>N/A</w:t>
            </w:r>
          </w:p>
        </w:tc>
      </w:tr>
      <w:tr w:rsidR="0005575D" w14:paraId="610F4F3D" w14:textId="77777777" w:rsidTr="00676D57">
        <w:trPr>
          <w:trHeight w:val="300"/>
        </w:trPr>
        <w:tc>
          <w:tcPr>
            <w:tcW w:w="895" w:type="dxa"/>
          </w:tcPr>
          <w:p w14:paraId="447F1153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55D96100">
              <w:rPr>
                <w:rFonts w:eastAsia="Times New Roman" w:cs="Times New Roman"/>
                <w:color w:val="000000" w:themeColor="text1"/>
                <w:sz w:val="20"/>
                <w:szCs w:val="20"/>
              </w:rPr>
              <w:lastRenderedPageBreak/>
              <w:t>Tubben et al.</w:t>
            </w:r>
            <w:r w:rsidRPr="006854DF">
              <w:rPr>
                <w:rFonts w:eastAsia="Times New Roman" w:cs="Times New Roman"/>
                <w:sz w:val="20"/>
                <w:szCs w:val="20"/>
                <w:vertAlign w:val="superscript"/>
              </w:rPr>
              <w:t>1</w:t>
            </w:r>
            <w:r>
              <w:rPr>
                <w:rFonts w:eastAsia="Times New Roman" w:cs="Times New Roman"/>
                <w:sz w:val="20"/>
                <w:szCs w:val="20"/>
                <w:vertAlign w:val="superscript"/>
              </w:rPr>
              <w:t>6</w:t>
            </w:r>
          </w:p>
        </w:tc>
        <w:tc>
          <w:tcPr>
            <w:tcW w:w="912" w:type="dxa"/>
          </w:tcPr>
          <w:p w14:paraId="59C87CFC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55D96100">
              <w:rPr>
                <w:rFonts w:eastAsia="Times New Roman" w:cs="Times New Roman"/>
                <w:sz w:val="20"/>
                <w:szCs w:val="20"/>
              </w:rPr>
              <w:t>Netherlands</w:t>
            </w:r>
          </w:p>
        </w:tc>
        <w:tc>
          <w:tcPr>
            <w:tcW w:w="709" w:type="dxa"/>
          </w:tcPr>
          <w:p w14:paraId="7B6FB599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55D96100">
              <w:rPr>
                <w:rFonts w:eastAsia="Times New Roman" w:cs="Times New Roman"/>
                <w:sz w:val="20"/>
                <w:szCs w:val="20"/>
              </w:rPr>
              <w:t>104</w:t>
            </w:r>
          </w:p>
        </w:tc>
        <w:tc>
          <w:tcPr>
            <w:tcW w:w="709" w:type="dxa"/>
          </w:tcPr>
          <w:p w14:paraId="0796978F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55D96100">
              <w:rPr>
                <w:rFonts w:eastAsia="Times New Roman" w:cs="Times New Roman"/>
                <w:sz w:val="20"/>
                <w:szCs w:val="20"/>
              </w:rPr>
              <w:t>5</w:t>
            </w:r>
          </w:p>
        </w:tc>
        <w:tc>
          <w:tcPr>
            <w:tcW w:w="548" w:type="dxa"/>
          </w:tcPr>
          <w:p w14:paraId="37410EDC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55D96100">
              <w:rPr>
                <w:rFonts w:eastAsia="Times New Roman" w:cs="Times New Roman"/>
                <w:sz w:val="20"/>
                <w:szCs w:val="20"/>
              </w:rPr>
              <w:t>4 (80)</w:t>
            </w:r>
          </w:p>
        </w:tc>
        <w:tc>
          <w:tcPr>
            <w:tcW w:w="1104" w:type="dxa"/>
          </w:tcPr>
          <w:p w14:paraId="55E3D374" w14:textId="77777777" w:rsidR="0005575D" w:rsidRDefault="0005575D" w:rsidP="00676D57">
            <w:pPr>
              <w:rPr>
                <w:rFonts w:eastAsia="Times New Roman" w:cs="Times New Roman"/>
                <w:color w:val="000000" w:themeColor="text1"/>
                <w:sz w:val="20"/>
                <w:szCs w:val="20"/>
              </w:rPr>
            </w:pPr>
            <w:r w:rsidRPr="55D96100"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>80±6</w:t>
            </w:r>
          </w:p>
        </w:tc>
        <w:tc>
          <w:tcPr>
            <w:tcW w:w="784" w:type="dxa"/>
          </w:tcPr>
          <w:p w14:paraId="2033F890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55D96100">
              <w:rPr>
                <w:rFonts w:eastAsia="Times New Roman" w:cs="Times New Roman"/>
                <w:sz w:val="20"/>
                <w:szCs w:val="20"/>
              </w:rPr>
              <w:t>N/A</w:t>
            </w:r>
          </w:p>
        </w:tc>
        <w:tc>
          <w:tcPr>
            <w:tcW w:w="1121" w:type="dxa"/>
          </w:tcPr>
          <w:p w14:paraId="04D3639D" w14:textId="77777777" w:rsidR="0005575D" w:rsidRDefault="0005575D" w:rsidP="00676D57">
            <w:pPr>
              <w:rPr>
                <w:rFonts w:eastAsia="Times New Roman" w:cs="Times New Roman"/>
                <w:color w:val="000000" w:themeColor="text1"/>
                <w:sz w:val="20"/>
                <w:szCs w:val="20"/>
              </w:rPr>
            </w:pPr>
            <w:r w:rsidRPr="55D96100"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>55 (53–56)</w:t>
            </w:r>
          </w:p>
        </w:tc>
        <w:tc>
          <w:tcPr>
            <w:tcW w:w="1104" w:type="dxa"/>
          </w:tcPr>
          <w:p w14:paraId="3CA13376" w14:textId="77777777" w:rsidR="0005575D" w:rsidRDefault="0005575D" w:rsidP="00676D57">
            <w:pPr>
              <w:rPr>
                <w:rFonts w:eastAsia="Times New Roman" w:cs="Times New Roman"/>
                <w:color w:val="000000" w:themeColor="text1"/>
                <w:sz w:val="20"/>
                <w:szCs w:val="20"/>
              </w:rPr>
            </w:pPr>
            <w:r w:rsidRPr="55D96100"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>13 (12–21)</w:t>
            </w:r>
          </w:p>
        </w:tc>
        <w:tc>
          <w:tcPr>
            <w:tcW w:w="709" w:type="dxa"/>
          </w:tcPr>
          <w:p w14:paraId="0F3FFCE7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55D96100">
              <w:rPr>
                <w:rFonts w:eastAsia="Times New Roman" w:cs="Times New Roman"/>
                <w:sz w:val="20"/>
                <w:szCs w:val="20"/>
              </w:rPr>
              <w:t>0</w:t>
            </w:r>
          </w:p>
        </w:tc>
        <w:tc>
          <w:tcPr>
            <w:tcW w:w="913" w:type="dxa"/>
          </w:tcPr>
          <w:p w14:paraId="24D5E4E3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55D96100">
              <w:rPr>
                <w:rFonts w:eastAsia="Times New Roman" w:cs="Times New Roman"/>
                <w:sz w:val="20"/>
                <w:szCs w:val="20"/>
              </w:rPr>
              <w:t>HFpEF 5 (100)</w:t>
            </w:r>
          </w:p>
        </w:tc>
        <w:tc>
          <w:tcPr>
            <w:tcW w:w="1041" w:type="dxa"/>
          </w:tcPr>
          <w:p w14:paraId="3CBAB06E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55D96100">
              <w:rPr>
                <w:rFonts w:eastAsia="Times New Roman" w:cs="Times New Roman"/>
                <w:sz w:val="20"/>
                <w:szCs w:val="20"/>
              </w:rPr>
              <w:t>ATTRwt (5)</w:t>
            </w:r>
          </w:p>
        </w:tc>
      </w:tr>
      <w:tr w:rsidR="0005575D" w14:paraId="244E97D2" w14:textId="77777777" w:rsidTr="00676D57">
        <w:trPr>
          <w:trHeight w:val="300"/>
        </w:trPr>
        <w:tc>
          <w:tcPr>
            <w:tcW w:w="895" w:type="dxa"/>
          </w:tcPr>
          <w:p w14:paraId="235FCADA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55D96100"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>Spaccavento  et al.</w:t>
            </w:r>
            <w:r w:rsidRPr="006854DF">
              <w:rPr>
                <w:rFonts w:eastAsia="Times New Roman" w:cs="Times New Roman"/>
                <w:sz w:val="20"/>
                <w:szCs w:val="20"/>
                <w:vertAlign w:val="superscript"/>
              </w:rPr>
              <w:t>1</w:t>
            </w:r>
            <w:r>
              <w:rPr>
                <w:rFonts w:eastAsia="Times New Roman" w:cs="Times New Roman"/>
                <w:sz w:val="20"/>
                <w:szCs w:val="20"/>
                <w:vertAlign w:val="superscript"/>
              </w:rPr>
              <w:t>7</w:t>
            </w:r>
          </w:p>
        </w:tc>
        <w:tc>
          <w:tcPr>
            <w:tcW w:w="912" w:type="dxa"/>
          </w:tcPr>
          <w:p w14:paraId="2CF5D20E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55D96100">
              <w:rPr>
                <w:rFonts w:eastAsia="Times New Roman" w:cs="Times New Roman"/>
                <w:sz w:val="20"/>
                <w:szCs w:val="20"/>
              </w:rPr>
              <w:t>Argentina</w:t>
            </w:r>
          </w:p>
        </w:tc>
        <w:tc>
          <w:tcPr>
            <w:tcW w:w="709" w:type="dxa"/>
          </w:tcPr>
          <w:p w14:paraId="6D883A26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55D96100">
              <w:rPr>
                <w:rFonts w:eastAsia="Times New Roman" w:cs="Times New Roman"/>
                <w:sz w:val="20"/>
                <w:szCs w:val="20"/>
              </w:rPr>
              <w:t>103</w:t>
            </w:r>
          </w:p>
        </w:tc>
        <w:tc>
          <w:tcPr>
            <w:tcW w:w="709" w:type="dxa"/>
          </w:tcPr>
          <w:p w14:paraId="1E2BC68F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55D96100">
              <w:rPr>
                <w:rFonts w:eastAsia="Times New Roman" w:cs="Times New Roman"/>
                <w:sz w:val="20"/>
                <w:szCs w:val="20"/>
              </w:rPr>
              <w:t>16</w:t>
            </w:r>
          </w:p>
        </w:tc>
        <w:tc>
          <w:tcPr>
            <w:tcW w:w="548" w:type="dxa"/>
          </w:tcPr>
          <w:p w14:paraId="106D0E14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55D96100">
              <w:rPr>
                <w:rFonts w:eastAsia="Times New Roman" w:cs="Times New Roman"/>
                <w:sz w:val="20"/>
                <w:szCs w:val="20"/>
              </w:rPr>
              <w:t>16 (100)</w:t>
            </w:r>
          </w:p>
        </w:tc>
        <w:tc>
          <w:tcPr>
            <w:tcW w:w="1104" w:type="dxa"/>
          </w:tcPr>
          <w:p w14:paraId="42C1DC99" w14:textId="77777777" w:rsidR="0005575D" w:rsidRDefault="0005575D" w:rsidP="00676D57">
            <w:pPr>
              <w:rPr>
                <w:rFonts w:eastAsia="Times New Roman" w:cs="Times New Roman"/>
                <w:color w:val="000000" w:themeColor="text1"/>
                <w:sz w:val="20"/>
                <w:szCs w:val="20"/>
              </w:rPr>
            </w:pPr>
            <w:r w:rsidRPr="55D96100"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>82 (74-86)</w:t>
            </w:r>
          </w:p>
        </w:tc>
        <w:tc>
          <w:tcPr>
            <w:tcW w:w="784" w:type="dxa"/>
          </w:tcPr>
          <w:p w14:paraId="2238B06D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55D96100">
              <w:rPr>
                <w:rFonts w:eastAsia="Times New Roman" w:cs="Times New Roman"/>
                <w:sz w:val="20"/>
                <w:szCs w:val="20"/>
              </w:rPr>
              <w:t>N/A</w:t>
            </w:r>
          </w:p>
        </w:tc>
        <w:tc>
          <w:tcPr>
            <w:tcW w:w="1121" w:type="dxa"/>
          </w:tcPr>
          <w:p w14:paraId="73D50D14" w14:textId="77777777" w:rsidR="0005575D" w:rsidRDefault="0005575D" w:rsidP="00676D57">
            <w:pPr>
              <w:rPr>
                <w:rFonts w:eastAsia="Times New Roman" w:cs="Times New Roman"/>
                <w:color w:val="000000" w:themeColor="text1"/>
                <w:sz w:val="20"/>
                <w:szCs w:val="20"/>
              </w:rPr>
            </w:pPr>
            <w:r w:rsidRPr="55D96100"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>50 (34-60)</w:t>
            </w:r>
          </w:p>
        </w:tc>
        <w:tc>
          <w:tcPr>
            <w:tcW w:w="1104" w:type="dxa"/>
          </w:tcPr>
          <w:p w14:paraId="4F639D0B" w14:textId="77777777" w:rsidR="0005575D" w:rsidRDefault="0005575D" w:rsidP="00676D57">
            <w:pPr>
              <w:rPr>
                <w:rFonts w:eastAsia="Times New Roman" w:cs="Times New Roman"/>
                <w:color w:val="000000" w:themeColor="text1"/>
                <w:sz w:val="20"/>
                <w:szCs w:val="20"/>
              </w:rPr>
            </w:pPr>
            <w:r w:rsidRPr="55D96100"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>17 (16-20)</w:t>
            </w:r>
          </w:p>
        </w:tc>
        <w:tc>
          <w:tcPr>
            <w:tcW w:w="709" w:type="dxa"/>
          </w:tcPr>
          <w:p w14:paraId="3B8C94AD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55D96100">
              <w:rPr>
                <w:rFonts w:eastAsia="Times New Roman" w:cs="Times New Roman"/>
                <w:sz w:val="20"/>
                <w:szCs w:val="20"/>
              </w:rPr>
              <w:t>6</w:t>
            </w:r>
          </w:p>
        </w:tc>
        <w:tc>
          <w:tcPr>
            <w:tcW w:w="913" w:type="dxa"/>
          </w:tcPr>
          <w:p w14:paraId="1B3076FC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55D96100">
              <w:rPr>
                <w:rFonts w:eastAsia="Times New Roman" w:cs="Times New Roman"/>
                <w:sz w:val="20"/>
                <w:szCs w:val="20"/>
              </w:rPr>
              <w:t>N/A</w:t>
            </w:r>
          </w:p>
        </w:tc>
        <w:tc>
          <w:tcPr>
            <w:tcW w:w="1041" w:type="dxa"/>
          </w:tcPr>
          <w:p w14:paraId="2D5155A0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55D96100">
              <w:rPr>
                <w:rFonts w:eastAsia="Times New Roman" w:cs="Times New Roman"/>
                <w:sz w:val="20"/>
                <w:szCs w:val="20"/>
              </w:rPr>
              <w:t>ATTR untyped (16)</w:t>
            </w:r>
          </w:p>
        </w:tc>
      </w:tr>
      <w:tr w:rsidR="0005575D" w14:paraId="1AE5C797" w14:textId="77777777" w:rsidTr="00676D57">
        <w:trPr>
          <w:trHeight w:val="300"/>
        </w:trPr>
        <w:tc>
          <w:tcPr>
            <w:tcW w:w="895" w:type="dxa"/>
          </w:tcPr>
          <w:p w14:paraId="76230BB5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55D96100"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>Yun et al.</w:t>
            </w:r>
            <w:r w:rsidRPr="006854DF">
              <w:rPr>
                <w:rFonts w:eastAsia="Times New Roman" w:cs="Times New Roman"/>
                <w:sz w:val="20"/>
                <w:szCs w:val="20"/>
                <w:vertAlign w:val="superscript"/>
              </w:rPr>
              <w:t>1</w:t>
            </w:r>
            <w:r>
              <w:rPr>
                <w:rFonts w:eastAsia="Times New Roman" w:cs="Times New Roman"/>
                <w:sz w:val="20"/>
                <w:szCs w:val="20"/>
                <w:vertAlign w:val="superscript"/>
              </w:rPr>
              <w:t>8</w:t>
            </w:r>
          </w:p>
        </w:tc>
        <w:tc>
          <w:tcPr>
            <w:tcW w:w="912" w:type="dxa"/>
          </w:tcPr>
          <w:p w14:paraId="39851657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55D96100">
              <w:rPr>
                <w:rFonts w:eastAsia="Times New Roman" w:cs="Times New Roman"/>
                <w:sz w:val="20"/>
                <w:szCs w:val="20"/>
              </w:rPr>
              <w:t>Multiple countries</w:t>
            </w:r>
          </w:p>
        </w:tc>
        <w:tc>
          <w:tcPr>
            <w:tcW w:w="709" w:type="dxa"/>
          </w:tcPr>
          <w:p w14:paraId="41B6DD8C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55D96100">
              <w:rPr>
                <w:rFonts w:eastAsia="Times New Roman" w:cs="Times New Roman"/>
                <w:sz w:val="20"/>
                <w:szCs w:val="20"/>
              </w:rPr>
              <w:t>315</w:t>
            </w:r>
          </w:p>
        </w:tc>
        <w:tc>
          <w:tcPr>
            <w:tcW w:w="709" w:type="dxa"/>
          </w:tcPr>
          <w:p w14:paraId="1F5E2AD0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55D96100">
              <w:rPr>
                <w:rFonts w:eastAsia="Times New Roman" w:cs="Times New Roman"/>
                <w:sz w:val="20"/>
                <w:szCs w:val="20"/>
              </w:rPr>
              <w:t>56</w:t>
            </w:r>
          </w:p>
        </w:tc>
        <w:tc>
          <w:tcPr>
            <w:tcW w:w="548" w:type="dxa"/>
          </w:tcPr>
          <w:p w14:paraId="7A9D3710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55D96100">
              <w:rPr>
                <w:rFonts w:eastAsia="Times New Roman" w:cs="Times New Roman"/>
                <w:sz w:val="20"/>
                <w:szCs w:val="20"/>
              </w:rPr>
              <w:t>24 (75)</w:t>
            </w:r>
          </w:p>
        </w:tc>
        <w:tc>
          <w:tcPr>
            <w:tcW w:w="1104" w:type="dxa"/>
          </w:tcPr>
          <w:p w14:paraId="7C566848" w14:textId="77777777" w:rsidR="0005575D" w:rsidRDefault="0005575D" w:rsidP="00676D57">
            <w:pPr>
              <w:rPr>
                <w:rFonts w:eastAsia="Times New Roman" w:cs="Times New Roman"/>
                <w:color w:val="000000" w:themeColor="text1"/>
                <w:sz w:val="20"/>
                <w:szCs w:val="20"/>
              </w:rPr>
            </w:pPr>
            <w:r w:rsidRPr="55D96100"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>84.1±6.6</w:t>
            </w:r>
          </w:p>
        </w:tc>
        <w:tc>
          <w:tcPr>
            <w:tcW w:w="784" w:type="dxa"/>
          </w:tcPr>
          <w:p w14:paraId="19EB7B95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55D96100">
              <w:rPr>
                <w:rFonts w:eastAsia="Times New Roman" w:cs="Times New Roman"/>
                <w:sz w:val="20"/>
                <w:szCs w:val="20"/>
              </w:rPr>
              <w:t>White (48), Black (6)</w:t>
            </w:r>
          </w:p>
        </w:tc>
        <w:tc>
          <w:tcPr>
            <w:tcW w:w="1121" w:type="dxa"/>
          </w:tcPr>
          <w:p w14:paraId="79F0CC7B" w14:textId="77777777" w:rsidR="0005575D" w:rsidRDefault="0005575D" w:rsidP="00676D57">
            <w:pPr>
              <w:rPr>
                <w:rFonts w:eastAsia="Times New Roman" w:cs="Times New Roman"/>
                <w:color w:val="000000" w:themeColor="text1"/>
                <w:sz w:val="20"/>
                <w:szCs w:val="20"/>
              </w:rPr>
            </w:pPr>
            <w:r w:rsidRPr="55D96100"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>55.0 (49.5-62.6)</w:t>
            </w:r>
          </w:p>
        </w:tc>
        <w:tc>
          <w:tcPr>
            <w:tcW w:w="1104" w:type="dxa"/>
          </w:tcPr>
          <w:p w14:paraId="25E18438" w14:textId="77777777" w:rsidR="0005575D" w:rsidRDefault="0005575D" w:rsidP="00676D57">
            <w:pPr>
              <w:rPr>
                <w:rFonts w:eastAsia="Times New Roman" w:cs="Times New Roman"/>
                <w:color w:val="000000" w:themeColor="text1"/>
                <w:sz w:val="20"/>
                <w:szCs w:val="20"/>
              </w:rPr>
            </w:pPr>
            <w:r w:rsidRPr="55D96100"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>15.9 (14-18)</w:t>
            </w:r>
          </w:p>
        </w:tc>
        <w:tc>
          <w:tcPr>
            <w:tcW w:w="709" w:type="dxa"/>
          </w:tcPr>
          <w:p w14:paraId="579A23CC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55D96100">
              <w:rPr>
                <w:rFonts w:eastAsia="Times New Roman" w:cs="Times New Roman"/>
                <w:sz w:val="20"/>
                <w:szCs w:val="20"/>
              </w:rPr>
              <w:t>N/A</w:t>
            </w:r>
          </w:p>
        </w:tc>
        <w:tc>
          <w:tcPr>
            <w:tcW w:w="913" w:type="dxa"/>
          </w:tcPr>
          <w:p w14:paraId="4F5C1F93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55D96100">
              <w:rPr>
                <w:rFonts w:eastAsia="Times New Roman" w:cs="Times New Roman"/>
                <w:sz w:val="20"/>
                <w:szCs w:val="20"/>
              </w:rPr>
              <w:t>N/A</w:t>
            </w:r>
          </w:p>
        </w:tc>
        <w:tc>
          <w:tcPr>
            <w:tcW w:w="1041" w:type="dxa"/>
          </w:tcPr>
          <w:p w14:paraId="1C343BC5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55D96100">
              <w:rPr>
                <w:rFonts w:eastAsia="Times New Roman" w:cs="Times New Roman"/>
                <w:sz w:val="20"/>
                <w:szCs w:val="20"/>
              </w:rPr>
              <w:t>ATTRwt (47),</w:t>
            </w:r>
            <w:r>
              <w:br/>
            </w:r>
            <w:r w:rsidRPr="55D96100">
              <w:rPr>
                <w:rFonts w:eastAsia="Times New Roman" w:cs="Times New Roman"/>
                <w:sz w:val="20"/>
                <w:szCs w:val="20"/>
              </w:rPr>
              <w:t>ATTRv (7),</w:t>
            </w:r>
            <w:r>
              <w:br/>
            </w:r>
            <w:r w:rsidRPr="55D96100">
              <w:rPr>
                <w:rFonts w:eastAsia="Times New Roman" w:cs="Times New Roman"/>
                <w:sz w:val="20"/>
                <w:szCs w:val="20"/>
              </w:rPr>
              <w:t>ATTR untyped (2)</w:t>
            </w:r>
          </w:p>
        </w:tc>
      </w:tr>
      <w:tr w:rsidR="0005575D" w14:paraId="34C2C188" w14:textId="77777777" w:rsidTr="00676D57">
        <w:trPr>
          <w:trHeight w:val="300"/>
        </w:trPr>
        <w:tc>
          <w:tcPr>
            <w:tcW w:w="895" w:type="dxa"/>
          </w:tcPr>
          <w:p w14:paraId="7C26A938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55D96100"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>Ahmad et al.</w:t>
            </w:r>
            <w:r w:rsidRPr="006854DF">
              <w:rPr>
                <w:rFonts w:eastAsia="Times New Roman" w:cs="Times New Roman"/>
                <w:sz w:val="20"/>
                <w:szCs w:val="20"/>
                <w:vertAlign w:val="superscript"/>
              </w:rPr>
              <w:t>1</w:t>
            </w:r>
            <w:r>
              <w:rPr>
                <w:rFonts w:eastAsia="Times New Roman" w:cs="Times New Roman"/>
                <w:sz w:val="20"/>
                <w:szCs w:val="20"/>
                <w:vertAlign w:val="superscript"/>
              </w:rPr>
              <w:t>0</w:t>
            </w:r>
          </w:p>
        </w:tc>
        <w:tc>
          <w:tcPr>
            <w:tcW w:w="912" w:type="dxa"/>
          </w:tcPr>
          <w:p w14:paraId="7236C07A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55D96100">
              <w:rPr>
                <w:rFonts w:eastAsia="Times New Roman" w:cs="Times New Roman"/>
                <w:sz w:val="20"/>
                <w:szCs w:val="20"/>
              </w:rPr>
              <w:t>Saudi Arabia</w:t>
            </w:r>
          </w:p>
        </w:tc>
        <w:tc>
          <w:tcPr>
            <w:tcW w:w="709" w:type="dxa"/>
          </w:tcPr>
          <w:p w14:paraId="39830155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55D96100">
              <w:rPr>
                <w:rFonts w:eastAsia="Times New Roman" w:cs="Times New Roman"/>
                <w:sz w:val="20"/>
                <w:szCs w:val="20"/>
              </w:rPr>
              <w:t>177</w:t>
            </w:r>
          </w:p>
        </w:tc>
        <w:tc>
          <w:tcPr>
            <w:tcW w:w="709" w:type="dxa"/>
          </w:tcPr>
          <w:p w14:paraId="71D6DAD7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55D96100">
              <w:rPr>
                <w:rFonts w:eastAsia="Times New Roman" w:cs="Times New Roman"/>
                <w:sz w:val="20"/>
                <w:szCs w:val="20"/>
              </w:rPr>
              <w:t>34</w:t>
            </w:r>
          </w:p>
        </w:tc>
        <w:tc>
          <w:tcPr>
            <w:tcW w:w="548" w:type="dxa"/>
          </w:tcPr>
          <w:p w14:paraId="5A965673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55D96100">
              <w:rPr>
                <w:rFonts w:eastAsia="Times New Roman" w:cs="Times New Roman"/>
                <w:sz w:val="20"/>
                <w:szCs w:val="20"/>
              </w:rPr>
              <w:t>15 (44)</w:t>
            </w:r>
          </w:p>
        </w:tc>
        <w:tc>
          <w:tcPr>
            <w:tcW w:w="1104" w:type="dxa"/>
          </w:tcPr>
          <w:p w14:paraId="547F6CCB" w14:textId="77777777" w:rsidR="0005575D" w:rsidRDefault="0005575D" w:rsidP="00676D57">
            <w:pPr>
              <w:rPr>
                <w:rFonts w:eastAsia="Times New Roman" w:cs="Times New Roman"/>
                <w:color w:val="000000" w:themeColor="text1"/>
                <w:sz w:val="20"/>
                <w:szCs w:val="20"/>
              </w:rPr>
            </w:pPr>
            <w:r w:rsidRPr="55D96100"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>70.0 (45.0–95.0)</w:t>
            </w:r>
          </w:p>
        </w:tc>
        <w:tc>
          <w:tcPr>
            <w:tcW w:w="784" w:type="dxa"/>
          </w:tcPr>
          <w:p w14:paraId="377D7A9E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55D96100">
              <w:rPr>
                <w:rFonts w:eastAsia="Times New Roman" w:cs="Times New Roman"/>
                <w:sz w:val="20"/>
                <w:szCs w:val="20"/>
              </w:rPr>
              <w:t>N/A</w:t>
            </w:r>
          </w:p>
        </w:tc>
        <w:tc>
          <w:tcPr>
            <w:tcW w:w="1121" w:type="dxa"/>
          </w:tcPr>
          <w:p w14:paraId="63D5D531" w14:textId="77777777" w:rsidR="0005575D" w:rsidRDefault="0005575D" w:rsidP="00676D57">
            <w:pPr>
              <w:rPr>
                <w:rFonts w:eastAsia="Times New Roman" w:cs="Times New Roman"/>
                <w:color w:val="000000" w:themeColor="text1"/>
                <w:sz w:val="20"/>
                <w:szCs w:val="20"/>
              </w:rPr>
            </w:pPr>
            <w:r w:rsidRPr="55D96100"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>43.0 (25.0–70.0)</w:t>
            </w:r>
          </w:p>
        </w:tc>
        <w:tc>
          <w:tcPr>
            <w:tcW w:w="1104" w:type="dxa"/>
          </w:tcPr>
          <w:p w14:paraId="1D6091D1" w14:textId="77777777" w:rsidR="0005575D" w:rsidRDefault="0005575D" w:rsidP="00676D57">
            <w:pPr>
              <w:rPr>
                <w:rFonts w:eastAsia="Times New Roman" w:cs="Times New Roman"/>
                <w:color w:val="000000" w:themeColor="text1"/>
                <w:sz w:val="20"/>
                <w:szCs w:val="20"/>
              </w:rPr>
            </w:pPr>
            <w:r w:rsidRPr="55D96100"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>14.0 (10–21)</w:t>
            </w:r>
          </w:p>
        </w:tc>
        <w:tc>
          <w:tcPr>
            <w:tcW w:w="709" w:type="dxa"/>
          </w:tcPr>
          <w:p w14:paraId="1CC6D0AD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55D96100">
              <w:rPr>
                <w:rFonts w:eastAsia="Times New Roman" w:cs="Times New Roman"/>
                <w:sz w:val="20"/>
                <w:szCs w:val="20"/>
              </w:rPr>
              <w:t>20</w:t>
            </w:r>
          </w:p>
        </w:tc>
        <w:tc>
          <w:tcPr>
            <w:tcW w:w="913" w:type="dxa"/>
          </w:tcPr>
          <w:p w14:paraId="124036D8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55D96100">
              <w:rPr>
                <w:rFonts w:eastAsia="Times New Roman" w:cs="Times New Roman"/>
                <w:sz w:val="20"/>
                <w:szCs w:val="20"/>
              </w:rPr>
              <w:t>HFpEF 17 (50),</w:t>
            </w:r>
            <w:r>
              <w:br/>
            </w:r>
            <w:r w:rsidRPr="55D96100">
              <w:rPr>
                <w:rFonts w:eastAsia="Times New Roman" w:cs="Times New Roman"/>
                <w:sz w:val="20"/>
                <w:szCs w:val="20"/>
              </w:rPr>
              <w:t>HFmrEF 6 (18),</w:t>
            </w:r>
            <w:r>
              <w:br/>
            </w:r>
            <w:r w:rsidRPr="55D96100">
              <w:rPr>
                <w:rFonts w:eastAsia="Times New Roman" w:cs="Times New Roman"/>
                <w:sz w:val="20"/>
                <w:szCs w:val="20"/>
              </w:rPr>
              <w:t>HFrEF 11 (32)</w:t>
            </w:r>
          </w:p>
        </w:tc>
        <w:tc>
          <w:tcPr>
            <w:tcW w:w="1041" w:type="dxa"/>
          </w:tcPr>
          <w:p w14:paraId="4484C693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55D96100">
              <w:rPr>
                <w:rFonts w:eastAsia="Times New Roman" w:cs="Times New Roman"/>
                <w:sz w:val="20"/>
                <w:szCs w:val="20"/>
              </w:rPr>
              <w:t>ATTRwt (174,</w:t>
            </w:r>
            <w:r>
              <w:br/>
            </w:r>
            <w:r w:rsidRPr="55D96100">
              <w:rPr>
                <w:rFonts w:eastAsia="Times New Roman" w:cs="Times New Roman"/>
                <w:sz w:val="20"/>
                <w:szCs w:val="20"/>
              </w:rPr>
              <w:t>ATTRv (4)</w:t>
            </w:r>
          </w:p>
        </w:tc>
      </w:tr>
      <w:tr w:rsidR="0005575D" w14:paraId="6FA1C0FE" w14:textId="77777777" w:rsidTr="00676D57">
        <w:trPr>
          <w:trHeight w:val="300"/>
        </w:trPr>
        <w:tc>
          <w:tcPr>
            <w:tcW w:w="895" w:type="dxa"/>
          </w:tcPr>
          <w:p w14:paraId="2E8746DD" w14:textId="77777777" w:rsidR="0005575D" w:rsidRPr="00911D0C" w:rsidRDefault="0005575D" w:rsidP="00676D57">
            <w:pPr>
              <w:rPr>
                <w:rFonts w:eastAsia="Times New Roman" w:cs="Times New Roman"/>
                <w:b/>
                <w:bCs/>
                <w:sz w:val="20"/>
                <w:szCs w:val="20"/>
              </w:rPr>
            </w:pPr>
            <w:r w:rsidRPr="55D96100"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>Ruiz-Hueso et al.</w:t>
            </w:r>
            <w:r w:rsidRPr="006854DF">
              <w:rPr>
                <w:rFonts w:eastAsia="Times New Roman" w:cs="Times New Roman"/>
                <w:sz w:val="20"/>
                <w:szCs w:val="20"/>
                <w:vertAlign w:val="superscript"/>
              </w:rPr>
              <w:t>1</w:t>
            </w:r>
            <w:r>
              <w:rPr>
                <w:rFonts w:eastAsia="Times New Roman" w:cs="Times New Roman"/>
                <w:sz w:val="20"/>
                <w:szCs w:val="20"/>
                <w:vertAlign w:val="superscript"/>
              </w:rPr>
              <w:t>9</w:t>
            </w:r>
          </w:p>
        </w:tc>
        <w:tc>
          <w:tcPr>
            <w:tcW w:w="912" w:type="dxa"/>
          </w:tcPr>
          <w:p w14:paraId="16B65891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55D96100">
              <w:rPr>
                <w:rFonts w:eastAsia="Times New Roman" w:cs="Times New Roman"/>
                <w:sz w:val="20"/>
                <w:szCs w:val="20"/>
              </w:rPr>
              <w:t>Spain</w:t>
            </w:r>
          </w:p>
        </w:tc>
        <w:tc>
          <w:tcPr>
            <w:tcW w:w="709" w:type="dxa"/>
          </w:tcPr>
          <w:p w14:paraId="6C7062B4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55D96100">
              <w:rPr>
                <w:rFonts w:eastAsia="Times New Roman" w:cs="Times New Roman"/>
                <w:sz w:val="20"/>
                <w:szCs w:val="20"/>
              </w:rPr>
              <w:t>453</w:t>
            </w:r>
          </w:p>
        </w:tc>
        <w:tc>
          <w:tcPr>
            <w:tcW w:w="709" w:type="dxa"/>
          </w:tcPr>
          <w:p w14:paraId="2E877DCA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55D96100">
              <w:rPr>
                <w:rFonts w:eastAsia="Times New Roman" w:cs="Times New Roman"/>
                <w:sz w:val="20"/>
                <w:szCs w:val="20"/>
              </w:rPr>
              <w:t>91</w:t>
            </w:r>
          </w:p>
        </w:tc>
        <w:tc>
          <w:tcPr>
            <w:tcW w:w="548" w:type="dxa"/>
          </w:tcPr>
          <w:p w14:paraId="1EF18587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55D96100">
              <w:rPr>
                <w:rFonts w:eastAsia="Times New Roman" w:cs="Times New Roman"/>
                <w:sz w:val="20"/>
                <w:szCs w:val="20"/>
              </w:rPr>
              <w:t>55 (60)</w:t>
            </w:r>
          </w:p>
        </w:tc>
        <w:tc>
          <w:tcPr>
            <w:tcW w:w="1104" w:type="dxa"/>
          </w:tcPr>
          <w:p w14:paraId="329C4909" w14:textId="77777777" w:rsidR="0005575D" w:rsidRDefault="0005575D" w:rsidP="00676D57">
            <w:pPr>
              <w:rPr>
                <w:rFonts w:eastAsia="Times New Roman" w:cs="Times New Roman"/>
                <w:color w:val="000000" w:themeColor="text1"/>
                <w:sz w:val="20"/>
                <w:szCs w:val="20"/>
              </w:rPr>
            </w:pPr>
            <w:r w:rsidRPr="55D96100"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>88 [85–91]</w:t>
            </w:r>
          </w:p>
        </w:tc>
        <w:tc>
          <w:tcPr>
            <w:tcW w:w="784" w:type="dxa"/>
          </w:tcPr>
          <w:p w14:paraId="30AAB291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55D96100">
              <w:rPr>
                <w:rFonts w:eastAsia="Times New Roman" w:cs="Times New Roman"/>
                <w:sz w:val="20"/>
                <w:szCs w:val="20"/>
              </w:rPr>
              <w:t>N/A</w:t>
            </w:r>
          </w:p>
        </w:tc>
        <w:tc>
          <w:tcPr>
            <w:tcW w:w="1121" w:type="dxa"/>
          </w:tcPr>
          <w:p w14:paraId="1F91256B" w14:textId="77777777" w:rsidR="0005575D" w:rsidRDefault="0005575D" w:rsidP="00676D57">
            <w:pPr>
              <w:rPr>
                <w:rFonts w:eastAsia="Times New Roman" w:cs="Times New Roman"/>
                <w:color w:val="000000" w:themeColor="text1"/>
                <w:sz w:val="20"/>
                <w:szCs w:val="20"/>
              </w:rPr>
            </w:pPr>
            <w:r w:rsidRPr="55D96100"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1104" w:type="dxa"/>
          </w:tcPr>
          <w:p w14:paraId="1E552AF4" w14:textId="77777777" w:rsidR="0005575D" w:rsidRDefault="0005575D" w:rsidP="00676D57">
            <w:pPr>
              <w:rPr>
                <w:rFonts w:eastAsia="Times New Roman" w:cs="Times New Roman"/>
                <w:color w:val="000000" w:themeColor="text1"/>
                <w:sz w:val="20"/>
                <w:szCs w:val="20"/>
              </w:rPr>
            </w:pPr>
            <w:r w:rsidRPr="55D96100"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>17 (14–19)</w:t>
            </w:r>
          </w:p>
        </w:tc>
        <w:tc>
          <w:tcPr>
            <w:tcW w:w="709" w:type="dxa"/>
          </w:tcPr>
          <w:p w14:paraId="445D8524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55D96100">
              <w:rPr>
                <w:rFonts w:eastAsia="Times New Roman" w:cs="Times New Roman"/>
                <w:sz w:val="20"/>
                <w:szCs w:val="20"/>
              </w:rPr>
              <w:t>28</w:t>
            </w:r>
          </w:p>
        </w:tc>
        <w:tc>
          <w:tcPr>
            <w:tcW w:w="913" w:type="dxa"/>
          </w:tcPr>
          <w:p w14:paraId="52C9A040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55D96100">
              <w:rPr>
                <w:rFonts w:eastAsia="Times New Roman" w:cs="Times New Roman"/>
                <w:sz w:val="20"/>
                <w:szCs w:val="20"/>
              </w:rPr>
              <w:t>HFpEF 61 (67),</w:t>
            </w:r>
            <w:r>
              <w:br/>
            </w:r>
            <w:r w:rsidRPr="55D96100">
              <w:rPr>
                <w:rFonts w:eastAsia="Times New Roman" w:cs="Times New Roman"/>
                <w:sz w:val="20"/>
                <w:szCs w:val="20"/>
              </w:rPr>
              <w:t>HFmrEF 14 (15),</w:t>
            </w:r>
            <w:r>
              <w:br/>
            </w:r>
            <w:r w:rsidRPr="55D96100">
              <w:rPr>
                <w:rFonts w:eastAsia="Times New Roman" w:cs="Times New Roman"/>
                <w:sz w:val="20"/>
                <w:szCs w:val="20"/>
              </w:rPr>
              <w:t>HFrEF 8 (9),</w:t>
            </w:r>
            <w:r>
              <w:br/>
            </w:r>
            <w:r w:rsidRPr="55D96100">
              <w:rPr>
                <w:rFonts w:eastAsia="Times New Roman" w:cs="Times New Roman"/>
                <w:sz w:val="20"/>
                <w:szCs w:val="20"/>
              </w:rPr>
              <w:t>Unspecified 8 (9)</w:t>
            </w:r>
          </w:p>
          <w:p w14:paraId="1C159FDA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1041" w:type="dxa"/>
          </w:tcPr>
          <w:p w14:paraId="04A2378E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55D96100">
              <w:rPr>
                <w:rFonts w:eastAsia="Times New Roman" w:cs="Times New Roman"/>
                <w:sz w:val="20"/>
                <w:szCs w:val="20"/>
              </w:rPr>
              <w:t>ATTRwt (36),</w:t>
            </w:r>
            <w:r>
              <w:br/>
            </w:r>
            <w:r w:rsidRPr="55D96100">
              <w:rPr>
                <w:rFonts w:eastAsia="Times New Roman" w:cs="Times New Roman"/>
                <w:sz w:val="20"/>
                <w:szCs w:val="20"/>
              </w:rPr>
              <w:t>ATTRv (4),</w:t>
            </w:r>
            <w:r>
              <w:br/>
            </w:r>
            <w:r w:rsidRPr="55D96100">
              <w:rPr>
                <w:rFonts w:eastAsia="Times New Roman" w:cs="Times New Roman"/>
                <w:sz w:val="20"/>
                <w:szCs w:val="20"/>
              </w:rPr>
              <w:t>ATTR untyped (36),</w:t>
            </w:r>
            <w:r>
              <w:br/>
            </w:r>
            <w:r w:rsidRPr="55D96100">
              <w:rPr>
                <w:rFonts w:eastAsia="Times New Roman" w:cs="Times New Roman"/>
                <w:sz w:val="20"/>
                <w:szCs w:val="20"/>
              </w:rPr>
              <w:t>AL (2),</w:t>
            </w:r>
          </w:p>
          <w:p w14:paraId="5E39EF64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55D96100">
              <w:rPr>
                <w:rFonts w:eastAsia="Times New Roman" w:cs="Times New Roman"/>
                <w:sz w:val="20"/>
                <w:szCs w:val="20"/>
              </w:rPr>
              <w:t>Undetermined CA (13)</w:t>
            </w:r>
          </w:p>
        </w:tc>
      </w:tr>
      <w:tr w:rsidR="0005575D" w14:paraId="41F36831" w14:textId="77777777" w:rsidTr="00676D57">
        <w:trPr>
          <w:trHeight w:val="300"/>
        </w:trPr>
        <w:tc>
          <w:tcPr>
            <w:tcW w:w="895" w:type="dxa"/>
          </w:tcPr>
          <w:p w14:paraId="2B75BF2B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55D96100"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>Goland et al.</w:t>
            </w:r>
            <w:r>
              <w:rPr>
                <w:rFonts w:eastAsia="Times New Roman" w:cs="Times New Roman"/>
                <w:sz w:val="20"/>
                <w:szCs w:val="20"/>
                <w:vertAlign w:val="superscript"/>
              </w:rPr>
              <w:t>20</w:t>
            </w:r>
          </w:p>
        </w:tc>
        <w:tc>
          <w:tcPr>
            <w:tcW w:w="912" w:type="dxa"/>
          </w:tcPr>
          <w:p w14:paraId="5F33A7DD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55D96100">
              <w:rPr>
                <w:rFonts w:eastAsia="Times New Roman" w:cs="Times New Roman"/>
                <w:sz w:val="20"/>
                <w:szCs w:val="20"/>
              </w:rPr>
              <w:t>Israel</w:t>
            </w:r>
          </w:p>
        </w:tc>
        <w:tc>
          <w:tcPr>
            <w:tcW w:w="709" w:type="dxa"/>
          </w:tcPr>
          <w:p w14:paraId="5BBBC1EB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55D96100">
              <w:rPr>
                <w:rFonts w:eastAsia="Times New Roman" w:cs="Times New Roman"/>
                <w:sz w:val="20"/>
                <w:szCs w:val="20"/>
              </w:rPr>
              <w:t>75</w:t>
            </w:r>
          </w:p>
        </w:tc>
        <w:tc>
          <w:tcPr>
            <w:tcW w:w="709" w:type="dxa"/>
          </w:tcPr>
          <w:p w14:paraId="4D0B3F25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55D96100">
              <w:rPr>
                <w:rFonts w:eastAsia="Times New Roman" w:cs="Times New Roman"/>
                <w:sz w:val="20"/>
                <w:szCs w:val="20"/>
              </w:rPr>
              <w:t>7</w:t>
            </w:r>
          </w:p>
        </w:tc>
        <w:tc>
          <w:tcPr>
            <w:tcW w:w="548" w:type="dxa"/>
          </w:tcPr>
          <w:p w14:paraId="43824210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55D96100">
              <w:rPr>
                <w:rFonts w:eastAsia="Times New Roman" w:cs="Times New Roman"/>
                <w:sz w:val="20"/>
                <w:szCs w:val="20"/>
              </w:rPr>
              <w:t>7 (100)</w:t>
            </w:r>
          </w:p>
        </w:tc>
        <w:tc>
          <w:tcPr>
            <w:tcW w:w="1104" w:type="dxa"/>
          </w:tcPr>
          <w:p w14:paraId="772D2E8F" w14:textId="77777777" w:rsidR="0005575D" w:rsidRDefault="0005575D" w:rsidP="00676D57">
            <w:pPr>
              <w:rPr>
                <w:rFonts w:eastAsia="Times New Roman" w:cs="Times New Roman"/>
                <w:color w:val="000000" w:themeColor="text1"/>
                <w:sz w:val="20"/>
                <w:szCs w:val="20"/>
              </w:rPr>
            </w:pPr>
            <w:r w:rsidRPr="55D96100"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>75.0±6.1</w:t>
            </w:r>
          </w:p>
        </w:tc>
        <w:tc>
          <w:tcPr>
            <w:tcW w:w="784" w:type="dxa"/>
          </w:tcPr>
          <w:p w14:paraId="1B60207C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55D96100">
              <w:rPr>
                <w:rFonts w:eastAsia="Times New Roman" w:cs="Times New Roman"/>
                <w:sz w:val="20"/>
                <w:szCs w:val="20"/>
              </w:rPr>
              <w:t>N/A</w:t>
            </w:r>
          </w:p>
        </w:tc>
        <w:tc>
          <w:tcPr>
            <w:tcW w:w="1121" w:type="dxa"/>
          </w:tcPr>
          <w:p w14:paraId="51CAE453" w14:textId="77777777" w:rsidR="0005575D" w:rsidRDefault="0005575D" w:rsidP="00676D57">
            <w:pPr>
              <w:rPr>
                <w:rFonts w:eastAsia="Times New Roman" w:cs="Times New Roman"/>
                <w:color w:val="000000" w:themeColor="text1"/>
                <w:sz w:val="20"/>
                <w:szCs w:val="20"/>
              </w:rPr>
            </w:pPr>
            <w:r w:rsidRPr="55D96100"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>32.0±8.3</w:t>
            </w:r>
          </w:p>
        </w:tc>
        <w:tc>
          <w:tcPr>
            <w:tcW w:w="1104" w:type="dxa"/>
          </w:tcPr>
          <w:p w14:paraId="6FA63597" w14:textId="77777777" w:rsidR="0005575D" w:rsidRDefault="0005575D" w:rsidP="00676D57">
            <w:pPr>
              <w:rPr>
                <w:rFonts w:eastAsia="Times New Roman" w:cs="Times New Roman"/>
                <w:color w:val="000000" w:themeColor="text1"/>
                <w:sz w:val="20"/>
                <w:szCs w:val="20"/>
              </w:rPr>
            </w:pPr>
            <w:r w:rsidRPr="55D96100"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>14±4.93</w:t>
            </w:r>
          </w:p>
        </w:tc>
        <w:tc>
          <w:tcPr>
            <w:tcW w:w="709" w:type="dxa"/>
          </w:tcPr>
          <w:p w14:paraId="5662E235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55D96100">
              <w:rPr>
                <w:rFonts w:eastAsia="Times New Roman" w:cs="Times New Roman"/>
                <w:sz w:val="20"/>
                <w:szCs w:val="20"/>
              </w:rPr>
              <w:t>3</w:t>
            </w:r>
          </w:p>
        </w:tc>
        <w:tc>
          <w:tcPr>
            <w:tcW w:w="913" w:type="dxa"/>
          </w:tcPr>
          <w:p w14:paraId="2A8CEAF0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55D96100">
              <w:rPr>
                <w:rFonts w:eastAsia="Times New Roman" w:cs="Times New Roman"/>
                <w:sz w:val="20"/>
                <w:szCs w:val="20"/>
              </w:rPr>
              <w:t>HFmrEF 6 (86),</w:t>
            </w:r>
            <w:r>
              <w:br/>
            </w:r>
            <w:r w:rsidRPr="55D96100">
              <w:rPr>
                <w:rFonts w:eastAsia="Times New Roman" w:cs="Times New Roman"/>
                <w:sz w:val="20"/>
                <w:szCs w:val="20"/>
              </w:rPr>
              <w:t>HFrEF 1 (14)</w:t>
            </w:r>
          </w:p>
        </w:tc>
        <w:tc>
          <w:tcPr>
            <w:tcW w:w="1041" w:type="dxa"/>
          </w:tcPr>
          <w:p w14:paraId="7B1DD14D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55D96100">
              <w:rPr>
                <w:rFonts w:eastAsia="Times New Roman" w:cs="Times New Roman"/>
                <w:sz w:val="20"/>
                <w:szCs w:val="20"/>
              </w:rPr>
              <w:t>ATTRwt (7)</w:t>
            </w:r>
          </w:p>
        </w:tc>
      </w:tr>
      <w:tr w:rsidR="0005575D" w14:paraId="56C7BD6C" w14:textId="77777777" w:rsidTr="00676D57">
        <w:trPr>
          <w:trHeight w:val="300"/>
        </w:trPr>
        <w:tc>
          <w:tcPr>
            <w:tcW w:w="895" w:type="dxa"/>
          </w:tcPr>
          <w:p w14:paraId="31F0E4F6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55D96100"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>AbouEzzeddine et al.</w:t>
            </w:r>
            <w:r>
              <w:rPr>
                <w:rFonts w:eastAsia="Times New Roman" w:cs="Times New Roman"/>
                <w:sz w:val="20"/>
                <w:szCs w:val="20"/>
                <w:vertAlign w:val="superscript"/>
              </w:rPr>
              <w:t>9</w:t>
            </w:r>
          </w:p>
        </w:tc>
        <w:tc>
          <w:tcPr>
            <w:tcW w:w="912" w:type="dxa"/>
          </w:tcPr>
          <w:p w14:paraId="018C7DF3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55D96100">
              <w:rPr>
                <w:rFonts w:eastAsia="Times New Roman" w:cs="Times New Roman"/>
                <w:sz w:val="20"/>
                <w:szCs w:val="20"/>
              </w:rPr>
              <w:t>USA</w:t>
            </w:r>
          </w:p>
        </w:tc>
        <w:tc>
          <w:tcPr>
            <w:tcW w:w="709" w:type="dxa"/>
          </w:tcPr>
          <w:p w14:paraId="05C878D2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55D96100">
              <w:rPr>
                <w:rFonts w:eastAsia="Times New Roman" w:cs="Times New Roman"/>
                <w:sz w:val="20"/>
                <w:szCs w:val="20"/>
              </w:rPr>
              <w:t>286</w:t>
            </w:r>
          </w:p>
        </w:tc>
        <w:tc>
          <w:tcPr>
            <w:tcW w:w="709" w:type="dxa"/>
          </w:tcPr>
          <w:p w14:paraId="76CFC3D6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55D96100">
              <w:rPr>
                <w:rFonts w:eastAsia="Times New Roman" w:cs="Times New Roman"/>
                <w:sz w:val="20"/>
                <w:szCs w:val="20"/>
              </w:rPr>
              <w:t>18</w:t>
            </w:r>
          </w:p>
        </w:tc>
        <w:tc>
          <w:tcPr>
            <w:tcW w:w="548" w:type="dxa"/>
          </w:tcPr>
          <w:p w14:paraId="1B98F33F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55D96100">
              <w:rPr>
                <w:rFonts w:eastAsia="Times New Roman" w:cs="Times New Roman"/>
                <w:sz w:val="20"/>
                <w:szCs w:val="20"/>
              </w:rPr>
              <w:t>15 (83)</w:t>
            </w:r>
          </w:p>
        </w:tc>
        <w:tc>
          <w:tcPr>
            <w:tcW w:w="1104" w:type="dxa"/>
          </w:tcPr>
          <w:p w14:paraId="55B86DE9" w14:textId="77777777" w:rsidR="0005575D" w:rsidRDefault="0005575D" w:rsidP="00676D57">
            <w:pPr>
              <w:rPr>
                <w:rFonts w:eastAsia="Times New Roman" w:cs="Times New Roman"/>
                <w:color w:val="000000" w:themeColor="text1"/>
                <w:sz w:val="20"/>
                <w:szCs w:val="20"/>
              </w:rPr>
            </w:pPr>
            <w:r w:rsidRPr="55D96100"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>84 (79-89)</w:t>
            </w:r>
          </w:p>
        </w:tc>
        <w:tc>
          <w:tcPr>
            <w:tcW w:w="784" w:type="dxa"/>
          </w:tcPr>
          <w:p w14:paraId="1F5D5C10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55D96100">
              <w:rPr>
                <w:rFonts w:eastAsia="Times New Roman" w:cs="Times New Roman"/>
                <w:sz w:val="20"/>
                <w:szCs w:val="20"/>
              </w:rPr>
              <w:t>White (18)</w:t>
            </w:r>
          </w:p>
        </w:tc>
        <w:tc>
          <w:tcPr>
            <w:tcW w:w="1121" w:type="dxa"/>
          </w:tcPr>
          <w:p w14:paraId="5BA1922D" w14:textId="77777777" w:rsidR="0005575D" w:rsidRDefault="0005575D" w:rsidP="00676D57">
            <w:pPr>
              <w:rPr>
                <w:rFonts w:eastAsia="Times New Roman" w:cs="Times New Roman"/>
                <w:color w:val="000000" w:themeColor="text1"/>
                <w:sz w:val="20"/>
                <w:szCs w:val="20"/>
              </w:rPr>
            </w:pPr>
            <w:r w:rsidRPr="55D96100"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>57 (50-63)</w:t>
            </w:r>
          </w:p>
        </w:tc>
        <w:tc>
          <w:tcPr>
            <w:tcW w:w="1104" w:type="dxa"/>
          </w:tcPr>
          <w:p w14:paraId="6071A34F" w14:textId="77777777" w:rsidR="0005575D" w:rsidRDefault="0005575D" w:rsidP="00676D57">
            <w:pPr>
              <w:rPr>
                <w:rFonts w:eastAsia="Times New Roman" w:cs="Times New Roman"/>
                <w:color w:val="000000" w:themeColor="text1"/>
                <w:sz w:val="20"/>
                <w:szCs w:val="20"/>
              </w:rPr>
            </w:pPr>
            <w:r w:rsidRPr="55D96100"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>14 (13-17)</w:t>
            </w:r>
          </w:p>
        </w:tc>
        <w:tc>
          <w:tcPr>
            <w:tcW w:w="709" w:type="dxa"/>
          </w:tcPr>
          <w:p w14:paraId="0292FB2C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55D96100">
              <w:rPr>
                <w:rFonts w:eastAsia="Times New Roman" w:cs="Times New Roman"/>
                <w:sz w:val="20"/>
                <w:szCs w:val="20"/>
              </w:rPr>
              <w:t>4</w:t>
            </w:r>
          </w:p>
        </w:tc>
        <w:tc>
          <w:tcPr>
            <w:tcW w:w="913" w:type="dxa"/>
          </w:tcPr>
          <w:p w14:paraId="5BBA88EB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55D96100">
              <w:rPr>
                <w:rFonts w:eastAsia="Times New Roman" w:cs="Times New Roman"/>
                <w:sz w:val="20"/>
                <w:szCs w:val="20"/>
              </w:rPr>
              <w:t>N/A</w:t>
            </w:r>
          </w:p>
        </w:tc>
        <w:tc>
          <w:tcPr>
            <w:tcW w:w="1041" w:type="dxa"/>
          </w:tcPr>
          <w:p w14:paraId="1E239995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55D96100">
              <w:rPr>
                <w:rFonts w:eastAsia="Times New Roman" w:cs="Times New Roman"/>
                <w:sz w:val="20"/>
                <w:szCs w:val="20"/>
              </w:rPr>
              <w:t>ATTRwt (16),</w:t>
            </w:r>
            <w:r>
              <w:br/>
            </w:r>
            <w:r w:rsidRPr="55D96100">
              <w:rPr>
                <w:rFonts w:eastAsia="Times New Roman" w:cs="Times New Roman"/>
                <w:sz w:val="20"/>
                <w:szCs w:val="20"/>
              </w:rPr>
              <w:t>Untyped ATTR (2)</w:t>
            </w:r>
          </w:p>
        </w:tc>
      </w:tr>
      <w:tr w:rsidR="0005575D" w14:paraId="3EFB7108" w14:textId="77777777" w:rsidTr="00676D57">
        <w:trPr>
          <w:trHeight w:val="300"/>
        </w:trPr>
        <w:tc>
          <w:tcPr>
            <w:tcW w:w="895" w:type="dxa"/>
          </w:tcPr>
          <w:p w14:paraId="47BABF56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55D96100"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>Lindmark et al.</w:t>
            </w:r>
            <w:r w:rsidRPr="55D96100">
              <w:rPr>
                <w:rFonts w:eastAsia="Times New Roman" w:cs="Times New Roman"/>
                <w:color w:val="000000" w:themeColor="text1"/>
                <w:sz w:val="20"/>
                <w:szCs w:val="20"/>
                <w:vertAlign w:val="superscript"/>
              </w:rPr>
              <w:t>b</w:t>
            </w:r>
            <w:r>
              <w:rPr>
                <w:rFonts w:eastAsia="Times New Roman" w:cs="Times New Roman"/>
                <w:sz w:val="20"/>
                <w:szCs w:val="20"/>
                <w:vertAlign w:val="superscript"/>
              </w:rPr>
              <w:t>21</w:t>
            </w:r>
          </w:p>
        </w:tc>
        <w:tc>
          <w:tcPr>
            <w:tcW w:w="912" w:type="dxa"/>
          </w:tcPr>
          <w:p w14:paraId="624B1DAF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55D96100">
              <w:rPr>
                <w:rFonts w:eastAsia="Times New Roman" w:cs="Times New Roman"/>
                <w:sz w:val="20"/>
                <w:szCs w:val="20"/>
              </w:rPr>
              <w:t>Sweden</w:t>
            </w:r>
          </w:p>
        </w:tc>
        <w:tc>
          <w:tcPr>
            <w:tcW w:w="709" w:type="dxa"/>
          </w:tcPr>
          <w:p w14:paraId="76BE9B70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55D96100">
              <w:rPr>
                <w:rFonts w:eastAsia="Times New Roman" w:cs="Times New Roman"/>
                <w:sz w:val="20"/>
                <w:szCs w:val="20"/>
              </w:rPr>
              <w:t>86</w:t>
            </w:r>
          </w:p>
        </w:tc>
        <w:tc>
          <w:tcPr>
            <w:tcW w:w="709" w:type="dxa"/>
          </w:tcPr>
          <w:p w14:paraId="095E01DD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55D96100">
              <w:rPr>
                <w:rFonts w:eastAsia="Times New Roman" w:cs="Times New Roman"/>
                <w:sz w:val="20"/>
                <w:szCs w:val="20"/>
              </w:rPr>
              <w:t>13</w:t>
            </w:r>
          </w:p>
        </w:tc>
        <w:tc>
          <w:tcPr>
            <w:tcW w:w="548" w:type="dxa"/>
          </w:tcPr>
          <w:p w14:paraId="767A3D98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  <w:vertAlign w:val="superscript"/>
              </w:rPr>
            </w:pPr>
            <w:r w:rsidRPr="55D96100">
              <w:rPr>
                <w:rFonts w:eastAsia="Times New Roman" w:cs="Times New Roman"/>
                <w:sz w:val="20"/>
                <w:szCs w:val="20"/>
              </w:rPr>
              <w:t>22</w:t>
            </w:r>
            <w:r w:rsidRPr="55D96100">
              <w:rPr>
                <w:rFonts w:eastAsia="Times New Roman" w:cs="Times New Roman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1104" w:type="dxa"/>
          </w:tcPr>
          <w:p w14:paraId="4A99E6E8" w14:textId="77777777" w:rsidR="0005575D" w:rsidRDefault="0005575D" w:rsidP="00676D57">
            <w:pPr>
              <w:rPr>
                <w:rFonts w:eastAsia="Times New Roman" w:cs="Times New Roman"/>
                <w:color w:val="000000" w:themeColor="text1"/>
                <w:sz w:val="20"/>
                <w:szCs w:val="20"/>
              </w:rPr>
            </w:pPr>
            <w:r w:rsidRPr="55D96100"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>84 (58–91)</w:t>
            </w:r>
            <w:r w:rsidRPr="55D96100">
              <w:rPr>
                <w:rFonts w:eastAsia="Times New Roman" w:cs="Times New Roman"/>
                <w:color w:val="000000" w:themeColor="text1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784" w:type="dxa"/>
          </w:tcPr>
          <w:p w14:paraId="0D3C2156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55D96100">
              <w:rPr>
                <w:rFonts w:eastAsia="Times New Roman" w:cs="Times New Roman"/>
                <w:sz w:val="20"/>
                <w:szCs w:val="20"/>
              </w:rPr>
              <w:t>N/A</w:t>
            </w:r>
          </w:p>
        </w:tc>
        <w:tc>
          <w:tcPr>
            <w:tcW w:w="1121" w:type="dxa"/>
          </w:tcPr>
          <w:p w14:paraId="56D7858E" w14:textId="77777777" w:rsidR="0005575D" w:rsidRDefault="0005575D" w:rsidP="00676D57">
            <w:pPr>
              <w:rPr>
                <w:rFonts w:eastAsia="Times New Roman" w:cs="Times New Roman"/>
                <w:color w:val="000000" w:themeColor="text1"/>
                <w:sz w:val="20"/>
                <w:szCs w:val="20"/>
              </w:rPr>
            </w:pPr>
            <w:r w:rsidRPr="55D96100"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1104" w:type="dxa"/>
          </w:tcPr>
          <w:p w14:paraId="252B83F6" w14:textId="77777777" w:rsidR="0005575D" w:rsidRDefault="0005575D" w:rsidP="00676D57">
            <w:pPr>
              <w:rPr>
                <w:rFonts w:eastAsia="Times New Roman" w:cs="Times New Roman"/>
                <w:color w:val="000000" w:themeColor="text1"/>
                <w:sz w:val="20"/>
                <w:szCs w:val="20"/>
              </w:rPr>
            </w:pPr>
            <w:r w:rsidRPr="55D96100"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>16.5 (12–25)</w:t>
            </w:r>
            <w:r w:rsidRPr="55D96100">
              <w:rPr>
                <w:rFonts w:eastAsia="Times New Roman" w:cs="Times New Roman"/>
                <w:color w:val="000000" w:themeColor="text1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709" w:type="dxa"/>
          </w:tcPr>
          <w:p w14:paraId="11723303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55D96100">
              <w:rPr>
                <w:rFonts w:eastAsia="Times New Roman" w:cs="Times New Roman"/>
                <w:sz w:val="20"/>
                <w:szCs w:val="20"/>
              </w:rPr>
              <w:t>N/A</w:t>
            </w:r>
          </w:p>
        </w:tc>
        <w:tc>
          <w:tcPr>
            <w:tcW w:w="913" w:type="dxa"/>
          </w:tcPr>
          <w:p w14:paraId="651BA7DE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55D96100">
              <w:rPr>
                <w:rFonts w:eastAsia="Times New Roman" w:cs="Times New Roman"/>
                <w:sz w:val="20"/>
                <w:szCs w:val="20"/>
              </w:rPr>
              <w:t>HFpEF 13,</w:t>
            </w:r>
            <w:r>
              <w:br/>
            </w:r>
            <w:r w:rsidRPr="55D96100">
              <w:rPr>
                <w:rFonts w:eastAsia="Times New Roman" w:cs="Times New Roman"/>
                <w:sz w:val="20"/>
                <w:szCs w:val="20"/>
              </w:rPr>
              <w:t>Unspecified 12</w:t>
            </w:r>
            <w:r w:rsidRPr="55D96100">
              <w:rPr>
                <w:rFonts w:eastAsia="Times New Roman" w:cs="Times New Roman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1041" w:type="dxa"/>
          </w:tcPr>
          <w:p w14:paraId="7103EF2C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  <w:vertAlign w:val="superscript"/>
              </w:rPr>
            </w:pPr>
            <w:r w:rsidRPr="55D96100">
              <w:rPr>
                <w:rFonts w:eastAsia="Times New Roman" w:cs="Times New Roman"/>
                <w:sz w:val="20"/>
                <w:szCs w:val="20"/>
              </w:rPr>
              <w:t>ATTRwt (25)</w:t>
            </w:r>
            <w:r w:rsidRPr="55D96100">
              <w:rPr>
                <w:rFonts w:eastAsia="Times New Roman" w:cs="Times New Roman"/>
                <w:sz w:val="20"/>
                <w:szCs w:val="20"/>
                <w:vertAlign w:val="superscript"/>
              </w:rPr>
              <w:t>b</w:t>
            </w:r>
          </w:p>
        </w:tc>
      </w:tr>
      <w:tr w:rsidR="0005575D" w14:paraId="2161469C" w14:textId="77777777" w:rsidTr="00676D57">
        <w:trPr>
          <w:trHeight w:val="300"/>
        </w:trPr>
        <w:tc>
          <w:tcPr>
            <w:tcW w:w="895" w:type="dxa"/>
          </w:tcPr>
          <w:p w14:paraId="4F2C1819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55D96100"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>Devesa et al.</w:t>
            </w:r>
            <w:r>
              <w:rPr>
                <w:rFonts w:eastAsia="Times New Roman" w:cs="Times New Roman"/>
                <w:sz w:val="20"/>
                <w:szCs w:val="20"/>
                <w:vertAlign w:val="superscript"/>
              </w:rPr>
              <w:t>22</w:t>
            </w:r>
          </w:p>
        </w:tc>
        <w:tc>
          <w:tcPr>
            <w:tcW w:w="912" w:type="dxa"/>
          </w:tcPr>
          <w:p w14:paraId="69A548E7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55D96100">
              <w:rPr>
                <w:rFonts w:eastAsia="Times New Roman" w:cs="Times New Roman"/>
                <w:sz w:val="20"/>
                <w:szCs w:val="20"/>
              </w:rPr>
              <w:t>Spain</w:t>
            </w:r>
          </w:p>
        </w:tc>
        <w:tc>
          <w:tcPr>
            <w:tcW w:w="709" w:type="dxa"/>
          </w:tcPr>
          <w:p w14:paraId="04EAAD3F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55D96100">
              <w:rPr>
                <w:rFonts w:eastAsia="Times New Roman" w:cs="Times New Roman"/>
                <w:sz w:val="20"/>
                <w:szCs w:val="20"/>
              </w:rPr>
              <w:t>58</w:t>
            </w:r>
          </w:p>
        </w:tc>
        <w:tc>
          <w:tcPr>
            <w:tcW w:w="709" w:type="dxa"/>
          </w:tcPr>
          <w:p w14:paraId="3A050FDF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55D96100">
              <w:rPr>
                <w:rFonts w:eastAsia="Times New Roman" w:cs="Times New Roman"/>
                <w:sz w:val="20"/>
                <w:szCs w:val="20"/>
              </w:rPr>
              <w:t>3</w:t>
            </w:r>
          </w:p>
        </w:tc>
        <w:tc>
          <w:tcPr>
            <w:tcW w:w="548" w:type="dxa"/>
          </w:tcPr>
          <w:p w14:paraId="6F3EAA83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55D96100">
              <w:rPr>
                <w:rFonts w:eastAsia="Times New Roman" w:cs="Times New Roman"/>
                <w:sz w:val="20"/>
                <w:szCs w:val="20"/>
              </w:rPr>
              <w:t>2 (67)</w:t>
            </w:r>
          </w:p>
        </w:tc>
        <w:tc>
          <w:tcPr>
            <w:tcW w:w="1104" w:type="dxa"/>
          </w:tcPr>
          <w:p w14:paraId="52204EE3" w14:textId="77777777" w:rsidR="0005575D" w:rsidRDefault="0005575D" w:rsidP="00676D57">
            <w:pPr>
              <w:rPr>
                <w:rFonts w:eastAsia="Times New Roman" w:cs="Times New Roman"/>
                <w:color w:val="000000" w:themeColor="text1"/>
                <w:sz w:val="20"/>
                <w:szCs w:val="20"/>
              </w:rPr>
            </w:pPr>
            <w:r w:rsidRPr="55D96100"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>84</w:t>
            </w:r>
          </w:p>
        </w:tc>
        <w:tc>
          <w:tcPr>
            <w:tcW w:w="784" w:type="dxa"/>
          </w:tcPr>
          <w:p w14:paraId="3C7F3880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55D96100">
              <w:rPr>
                <w:rFonts w:eastAsia="Times New Roman" w:cs="Times New Roman"/>
                <w:sz w:val="20"/>
                <w:szCs w:val="20"/>
              </w:rPr>
              <w:t>N/A</w:t>
            </w:r>
          </w:p>
        </w:tc>
        <w:tc>
          <w:tcPr>
            <w:tcW w:w="1121" w:type="dxa"/>
          </w:tcPr>
          <w:p w14:paraId="77A75EC3" w14:textId="77777777" w:rsidR="0005575D" w:rsidRDefault="0005575D" w:rsidP="00676D57">
            <w:pPr>
              <w:rPr>
                <w:rFonts w:eastAsia="Times New Roman" w:cs="Times New Roman"/>
                <w:color w:val="000000" w:themeColor="text1"/>
                <w:sz w:val="20"/>
                <w:szCs w:val="20"/>
              </w:rPr>
            </w:pPr>
            <w:r w:rsidRPr="55D96100"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>60</w:t>
            </w:r>
          </w:p>
        </w:tc>
        <w:tc>
          <w:tcPr>
            <w:tcW w:w="1104" w:type="dxa"/>
          </w:tcPr>
          <w:p w14:paraId="6AEB5DFE" w14:textId="77777777" w:rsidR="0005575D" w:rsidRDefault="0005575D" w:rsidP="00676D57">
            <w:pPr>
              <w:rPr>
                <w:rFonts w:eastAsia="Times New Roman" w:cs="Times New Roman"/>
                <w:color w:val="000000" w:themeColor="text1"/>
                <w:sz w:val="20"/>
                <w:szCs w:val="20"/>
              </w:rPr>
            </w:pPr>
            <w:r w:rsidRPr="55D96100"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>11</w:t>
            </w:r>
          </w:p>
        </w:tc>
        <w:tc>
          <w:tcPr>
            <w:tcW w:w="709" w:type="dxa"/>
          </w:tcPr>
          <w:p w14:paraId="6281BC8D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55D96100">
              <w:rPr>
                <w:rFonts w:eastAsia="Times New Roman" w:cs="Times New Roman"/>
                <w:sz w:val="20"/>
                <w:szCs w:val="20"/>
              </w:rPr>
              <w:t>1</w:t>
            </w:r>
          </w:p>
        </w:tc>
        <w:tc>
          <w:tcPr>
            <w:tcW w:w="913" w:type="dxa"/>
          </w:tcPr>
          <w:p w14:paraId="262B60FD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55D96100">
              <w:rPr>
                <w:rFonts w:eastAsia="Times New Roman" w:cs="Times New Roman"/>
                <w:sz w:val="20"/>
                <w:szCs w:val="20"/>
              </w:rPr>
              <w:t>HFpEF 3 (100)</w:t>
            </w:r>
          </w:p>
        </w:tc>
        <w:tc>
          <w:tcPr>
            <w:tcW w:w="1041" w:type="dxa"/>
          </w:tcPr>
          <w:p w14:paraId="693495BC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55D96100">
              <w:rPr>
                <w:rFonts w:eastAsia="Times New Roman" w:cs="Times New Roman"/>
                <w:sz w:val="20"/>
                <w:szCs w:val="20"/>
              </w:rPr>
              <w:t>ATTRwt (3)</w:t>
            </w:r>
          </w:p>
        </w:tc>
      </w:tr>
      <w:tr w:rsidR="0005575D" w14:paraId="3F147E81" w14:textId="77777777" w:rsidTr="00676D57">
        <w:trPr>
          <w:trHeight w:val="300"/>
        </w:trPr>
        <w:tc>
          <w:tcPr>
            <w:tcW w:w="895" w:type="dxa"/>
          </w:tcPr>
          <w:p w14:paraId="2BDE8512" w14:textId="77777777" w:rsidR="0005575D" w:rsidRPr="00911D0C" w:rsidRDefault="0005575D" w:rsidP="00676D57">
            <w:pPr>
              <w:rPr>
                <w:rFonts w:eastAsia="Times New Roman" w:cs="Times New Roman"/>
                <w:b/>
                <w:bCs/>
                <w:sz w:val="20"/>
                <w:szCs w:val="20"/>
              </w:rPr>
            </w:pPr>
            <w:r w:rsidRPr="55D96100"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>Hahn et al.</w:t>
            </w:r>
            <w:r>
              <w:rPr>
                <w:rFonts w:eastAsia="Times New Roman" w:cs="Times New Roman"/>
                <w:sz w:val="20"/>
                <w:szCs w:val="20"/>
                <w:vertAlign w:val="superscript"/>
              </w:rPr>
              <w:t>23</w:t>
            </w:r>
          </w:p>
        </w:tc>
        <w:tc>
          <w:tcPr>
            <w:tcW w:w="912" w:type="dxa"/>
          </w:tcPr>
          <w:p w14:paraId="12A3D870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55D96100">
              <w:rPr>
                <w:rFonts w:eastAsia="Times New Roman" w:cs="Times New Roman"/>
                <w:sz w:val="20"/>
                <w:szCs w:val="20"/>
              </w:rPr>
              <w:t>USA</w:t>
            </w:r>
          </w:p>
        </w:tc>
        <w:tc>
          <w:tcPr>
            <w:tcW w:w="709" w:type="dxa"/>
          </w:tcPr>
          <w:p w14:paraId="32B2EC72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55D96100">
              <w:rPr>
                <w:rFonts w:eastAsia="Times New Roman" w:cs="Times New Roman"/>
                <w:sz w:val="20"/>
                <w:szCs w:val="20"/>
              </w:rPr>
              <w:t>108</w:t>
            </w:r>
          </w:p>
        </w:tc>
        <w:tc>
          <w:tcPr>
            <w:tcW w:w="709" w:type="dxa"/>
          </w:tcPr>
          <w:p w14:paraId="1525AE41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55D96100">
              <w:rPr>
                <w:rFonts w:eastAsia="Times New Roman" w:cs="Times New Roman"/>
                <w:sz w:val="20"/>
                <w:szCs w:val="20"/>
              </w:rPr>
              <w:t>15</w:t>
            </w:r>
          </w:p>
        </w:tc>
        <w:tc>
          <w:tcPr>
            <w:tcW w:w="548" w:type="dxa"/>
          </w:tcPr>
          <w:p w14:paraId="619AA91C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55D96100">
              <w:rPr>
                <w:rFonts w:eastAsia="Times New Roman" w:cs="Times New Roman"/>
                <w:sz w:val="20"/>
                <w:szCs w:val="20"/>
              </w:rPr>
              <w:t>9 (60)</w:t>
            </w:r>
          </w:p>
        </w:tc>
        <w:tc>
          <w:tcPr>
            <w:tcW w:w="1104" w:type="dxa"/>
          </w:tcPr>
          <w:p w14:paraId="05568B8A" w14:textId="77777777" w:rsidR="0005575D" w:rsidRDefault="0005575D" w:rsidP="00676D57">
            <w:pPr>
              <w:rPr>
                <w:rFonts w:eastAsia="Times New Roman" w:cs="Times New Roman"/>
                <w:color w:val="000000" w:themeColor="text1"/>
                <w:sz w:val="20"/>
                <w:szCs w:val="20"/>
              </w:rPr>
            </w:pPr>
            <w:r w:rsidRPr="55D96100"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>74 (68–79)</w:t>
            </w:r>
          </w:p>
        </w:tc>
        <w:tc>
          <w:tcPr>
            <w:tcW w:w="784" w:type="dxa"/>
          </w:tcPr>
          <w:p w14:paraId="6433E3FA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55D96100">
              <w:rPr>
                <w:rFonts w:eastAsia="Times New Roman" w:cs="Times New Roman"/>
                <w:sz w:val="20"/>
                <w:szCs w:val="20"/>
              </w:rPr>
              <w:t xml:space="preserve">White (9), </w:t>
            </w:r>
            <w:r w:rsidRPr="55D96100">
              <w:rPr>
                <w:rFonts w:eastAsia="Times New Roman" w:cs="Times New Roman"/>
                <w:sz w:val="20"/>
                <w:szCs w:val="20"/>
              </w:rPr>
              <w:lastRenderedPageBreak/>
              <w:t>Black (6)</w:t>
            </w:r>
          </w:p>
        </w:tc>
        <w:tc>
          <w:tcPr>
            <w:tcW w:w="1121" w:type="dxa"/>
          </w:tcPr>
          <w:p w14:paraId="35BDEC86" w14:textId="77777777" w:rsidR="0005575D" w:rsidRDefault="0005575D" w:rsidP="00676D57">
            <w:pPr>
              <w:rPr>
                <w:rFonts w:eastAsia="Times New Roman" w:cs="Times New Roman"/>
                <w:color w:val="000000" w:themeColor="text1"/>
                <w:sz w:val="20"/>
                <w:szCs w:val="20"/>
              </w:rPr>
            </w:pPr>
            <w:r w:rsidRPr="55D96100">
              <w:rPr>
                <w:rFonts w:eastAsia="Times New Roman" w:cs="Times New Roman"/>
                <w:color w:val="000000" w:themeColor="text1"/>
                <w:sz w:val="20"/>
                <w:szCs w:val="20"/>
              </w:rPr>
              <w:lastRenderedPageBreak/>
              <w:t>60 (60–65)</w:t>
            </w:r>
          </w:p>
        </w:tc>
        <w:tc>
          <w:tcPr>
            <w:tcW w:w="1104" w:type="dxa"/>
          </w:tcPr>
          <w:p w14:paraId="5227B070" w14:textId="77777777" w:rsidR="0005575D" w:rsidRDefault="0005575D" w:rsidP="00676D57">
            <w:pPr>
              <w:rPr>
                <w:rFonts w:eastAsia="Times New Roman" w:cs="Times New Roman"/>
                <w:color w:val="000000" w:themeColor="text1"/>
                <w:sz w:val="20"/>
                <w:szCs w:val="20"/>
              </w:rPr>
            </w:pPr>
            <w:r w:rsidRPr="55D96100"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>14 (13–20)</w:t>
            </w:r>
          </w:p>
        </w:tc>
        <w:tc>
          <w:tcPr>
            <w:tcW w:w="709" w:type="dxa"/>
          </w:tcPr>
          <w:p w14:paraId="57A897C5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55D96100">
              <w:rPr>
                <w:rFonts w:eastAsia="Times New Roman" w:cs="Times New Roman"/>
                <w:sz w:val="20"/>
                <w:szCs w:val="20"/>
              </w:rPr>
              <w:t>N/A</w:t>
            </w:r>
          </w:p>
        </w:tc>
        <w:tc>
          <w:tcPr>
            <w:tcW w:w="913" w:type="dxa"/>
          </w:tcPr>
          <w:p w14:paraId="79D34DA9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55D96100">
              <w:rPr>
                <w:rFonts w:eastAsia="Times New Roman" w:cs="Times New Roman"/>
                <w:sz w:val="20"/>
                <w:szCs w:val="20"/>
              </w:rPr>
              <w:t>HFpEF 15 (100)</w:t>
            </w:r>
          </w:p>
        </w:tc>
        <w:tc>
          <w:tcPr>
            <w:tcW w:w="1041" w:type="dxa"/>
          </w:tcPr>
          <w:p w14:paraId="3A573838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55D96100">
              <w:rPr>
                <w:rFonts w:eastAsia="Times New Roman" w:cs="Times New Roman"/>
                <w:sz w:val="20"/>
                <w:szCs w:val="20"/>
              </w:rPr>
              <w:t>ATTRwt (7),</w:t>
            </w:r>
            <w:r>
              <w:br/>
            </w:r>
            <w:r w:rsidRPr="55D96100">
              <w:rPr>
                <w:rFonts w:eastAsia="Times New Roman" w:cs="Times New Roman"/>
                <w:sz w:val="20"/>
                <w:szCs w:val="20"/>
              </w:rPr>
              <w:t xml:space="preserve">ATTRv </w:t>
            </w:r>
            <w:r w:rsidRPr="55D96100">
              <w:rPr>
                <w:rFonts w:eastAsia="Times New Roman" w:cs="Times New Roman"/>
                <w:sz w:val="20"/>
                <w:szCs w:val="20"/>
              </w:rPr>
              <w:lastRenderedPageBreak/>
              <w:t>(4),</w:t>
            </w:r>
            <w:r>
              <w:br/>
            </w:r>
            <w:r w:rsidRPr="55D96100">
              <w:rPr>
                <w:rFonts w:eastAsia="Times New Roman" w:cs="Times New Roman"/>
                <w:sz w:val="20"/>
                <w:szCs w:val="20"/>
              </w:rPr>
              <w:t>AL (3),</w:t>
            </w:r>
            <w:r>
              <w:br/>
            </w:r>
            <w:r w:rsidRPr="55D96100">
              <w:rPr>
                <w:rFonts w:eastAsia="Times New Roman" w:cs="Times New Roman"/>
                <w:sz w:val="20"/>
                <w:szCs w:val="20"/>
              </w:rPr>
              <w:t>AA (1)</w:t>
            </w:r>
          </w:p>
        </w:tc>
      </w:tr>
      <w:tr w:rsidR="0005575D" w14:paraId="181ED3DD" w14:textId="77777777" w:rsidTr="00676D57">
        <w:trPr>
          <w:trHeight w:val="300"/>
        </w:trPr>
        <w:tc>
          <w:tcPr>
            <w:tcW w:w="895" w:type="dxa"/>
          </w:tcPr>
          <w:p w14:paraId="1046039E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55D96100">
              <w:rPr>
                <w:rFonts w:eastAsia="Times New Roman" w:cs="Times New Roman"/>
                <w:color w:val="000000" w:themeColor="text1"/>
                <w:sz w:val="20"/>
                <w:szCs w:val="20"/>
              </w:rPr>
              <w:lastRenderedPageBreak/>
              <w:t>López-Sainz et al.</w:t>
            </w:r>
            <w:r>
              <w:rPr>
                <w:rFonts w:eastAsia="Times New Roman" w:cs="Times New Roman"/>
                <w:sz w:val="20"/>
                <w:szCs w:val="20"/>
                <w:vertAlign w:val="superscript"/>
              </w:rPr>
              <w:t>24</w:t>
            </w:r>
          </w:p>
        </w:tc>
        <w:tc>
          <w:tcPr>
            <w:tcW w:w="912" w:type="dxa"/>
          </w:tcPr>
          <w:p w14:paraId="69057553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55D96100">
              <w:rPr>
                <w:rFonts w:eastAsia="Times New Roman" w:cs="Times New Roman"/>
                <w:sz w:val="20"/>
                <w:szCs w:val="20"/>
              </w:rPr>
              <w:t>Spain</w:t>
            </w:r>
          </w:p>
        </w:tc>
        <w:tc>
          <w:tcPr>
            <w:tcW w:w="709" w:type="dxa"/>
          </w:tcPr>
          <w:p w14:paraId="1172E272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55D96100">
              <w:rPr>
                <w:rFonts w:eastAsia="Times New Roman" w:cs="Times New Roman"/>
                <w:sz w:val="20"/>
                <w:szCs w:val="20"/>
              </w:rPr>
              <w:t>28</w:t>
            </w:r>
          </w:p>
        </w:tc>
        <w:tc>
          <w:tcPr>
            <w:tcW w:w="709" w:type="dxa"/>
          </w:tcPr>
          <w:p w14:paraId="7F65FB76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55D96100">
              <w:rPr>
                <w:rFonts w:eastAsia="Times New Roman" w:cs="Times New Roman"/>
                <w:sz w:val="20"/>
                <w:szCs w:val="20"/>
              </w:rPr>
              <w:t>3</w:t>
            </w:r>
          </w:p>
        </w:tc>
        <w:tc>
          <w:tcPr>
            <w:tcW w:w="548" w:type="dxa"/>
          </w:tcPr>
          <w:p w14:paraId="066CEC16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55D96100">
              <w:rPr>
                <w:rFonts w:eastAsia="Times New Roman" w:cs="Times New Roman"/>
                <w:sz w:val="20"/>
                <w:szCs w:val="20"/>
              </w:rPr>
              <w:t>3 (100)</w:t>
            </w:r>
          </w:p>
        </w:tc>
        <w:tc>
          <w:tcPr>
            <w:tcW w:w="1104" w:type="dxa"/>
          </w:tcPr>
          <w:p w14:paraId="1BA9B22E" w14:textId="77777777" w:rsidR="0005575D" w:rsidRDefault="0005575D" w:rsidP="00676D57">
            <w:pPr>
              <w:rPr>
                <w:rFonts w:eastAsia="Times New Roman" w:cs="Times New Roman"/>
                <w:color w:val="000000" w:themeColor="text1"/>
                <w:sz w:val="20"/>
                <w:szCs w:val="20"/>
              </w:rPr>
            </w:pPr>
            <w:r w:rsidRPr="55D96100"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>88 (81-88)</w:t>
            </w:r>
          </w:p>
        </w:tc>
        <w:tc>
          <w:tcPr>
            <w:tcW w:w="784" w:type="dxa"/>
          </w:tcPr>
          <w:p w14:paraId="58254C4D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55D96100">
              <w:rPr>
                <w:rFonts w:eastAsia="Times New Roman" w:cs="Times New Roman"/>
                <w:sz w:val="20"/>
                <w:szCs w:val="20"/>
              </w:rPr>
              <w:t>N/A</w:t>
            </w:r>
          </w:p>
        </w:tc>
        <w:tc>
          <w:tcPr>
            <w:tcW w:w="1121" w:type="dxa"/>
          </w:tcPr>
          <w:p w14:paraId="29ED0BA7" w14:textId="77777777" w:rsidR="0005575D" w:rsidRDefault="0005575D" w:rsidP="00676D57">
            <w:pPr>
              <w:rPr>
                <w:rFonts w:eastAsia="Times New Roman" w:cs="Times New Roman"/>
                <w:color w:val="000000" w:themeColor="text1"/>
                <w:sz w:val="20"/>
                <w:szCs w:val="20"/>
              </w:rPr>
            </w:pPr>
            <w:r w:rsidRPr="55D96100"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1104" w:type="dxa"/>
          </w:tcPr>
          <w:p w14:paraId="05E4CBCE" w14:textId="77777777" w:rsidR="0005575D" w:rsidRDefault="0005575D" w:rsidP="00676D57">
            <w:pPr>
              <w:rPr>
                <w:rFonts w:eastAsia="Times New Roman" w:cs="Times New Roman"/>
                <w:color w:val="000000" w:themeColor="text1"/>
                <w:sz w:val="20"/>
                <w:szCs w:val="20"/>
              </w:rPr>
            </w:pPr>
            <w:r w:rsidRPr="55D96100"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709" w:type="dxa"/>
          </w:tcPr>
          <w:p w14:paraId="356B51E9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55D96100">
              <w:rPr>
                <w:rFonts w:eastAsia="Times New Roman" w:cs="Times New Roman"/>
                <w:sz w:val="20"/>
                <w:szCs w:val="20"/>
              </w:rPr>
              <w:t>1</w:t>
            </w:r>
          </w:p>
        </w:tc>
        <w:tc>
          <w:tcPr>
            <w:tcW w:w="913" w:type="dxa"/>
          </w:tcPr>
          <w:p w14:paraId="71323AB2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55D96100">
              <w:rPr>
                <w:rFonts w:eastAsia="Times New Roman" w:cs="Times New Roman"/>
                <w:sz w:val="20"/>
                <w:szCs w:val="20"/>
              </w:rPr>
              <w:t>N/A</w:t>
            </w:r>
          </w:p>
        </w:tc>
        <w:tc>
          <w:tcPr>
            <w:tcW w:w="1041" w:type="dxa"/>
          </w:tcPr>
          <w:p w14:paraId="2F02C3D0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55D96100">
              <w:rPr>
                <w:rFonts w:eastAsia="Times New Roman" w:cs="Times New Roman"/>
                <w:sz w:val="20"/>
                <w:szCs w:val="20"/>
              </w:rPr>
              <w:t>ATTRwt (3)</w:t>
            </w:r>
          </w:p>
        </w:tc>
      </w:tr>
      <w:tr w:rsidR="0005575D" w14:paraId="753CB50D" w14:textId="77777777" w:rsidTr="00676D57">
        <w:trPr>
          <w:trHeight w:val="300"/>
        </w:trPr>
        <w:tc>
          <w:tcPr>
            <w:tcW w:w="895" w:type="dxa"/>
          </w:tcPr>
          <w:p w14:paraId="71B27BD5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55D96100"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>Bennani-Smires et al.</w:t>
            </w:r>
            <w:r>
              <w:rPr>
                <w:rFonts w:eastAsia="Times New Roman" w:cs="Times New Roman"/>
                <w:sz w:val="20"/>
                <w:szCs w:val="20"/>
                <w:vertAlign w:val="superscript"/>
              </w:rPr>
              <w:t>25</w:t>
            </w:r>
          </w:p>
        </w:tc>
        <w:tc>
          <w:tcPr>
            <w:tcW w:w="912" w:type="dxa"/>
          </w:tcPr>
          <w:p w14:paraId="67457D35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55D96100">
              <w:rPr>
                <w:rFonts w:eastAsia="Times New Roman" w:cs="Times New Roman"/>
                <w:sz w:val="20"/>
                <w:szCs w:val="20"/>
              </w:rPr>
              <w:t>France</w:t>
            </w:r>
          </w:p>
        </w:tc>
        <w:tc>
          <w:tcPr>
            <w:tcW w:w="709" w:type="dxa"/>
          </w:tcPr>
          <w:p w14:paraId="6FE14A92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55D96100">
              <w:rPr>
                <w:rFonts w:eastAsia="Times New Roman" w:cs="Times New Roman"/>
                <w:sz w:val="20"/>
                <w:szCs w:val="20"/>
              </w:rPr>
              <w:t>49</w:t>
            </w:r>
          </w:p>
        </w:tc>
        <w:tc>
          <w:tcPr>
            <w:tcW w:w="709" w:type="dxa"/>
          </w:tcPr>
          <w:p w14:paraId="30F6A798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55D96100">
              <w:rPr>
                <w:rFonts w:eastAsia="Times New Roman" w:cs="Times New Roman"/>
                <w:sz w:val="20"/>
                <w:szCs w:val="20"/>
              </w:rPr>
              <w:t>15</w:t>
            </w:r>
          </w:p>
        </w:tc>
        <w:tc>
          <w:tcPr>
            <w:tcW w:w="548" w:type="dxa"/>
          </w:tcPr>
          <w:p w14:paraId="01884312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55D96100">
              <w:rPr>
                <w:rFonts w:eastAsia="Times New Roman" w:cs="Times New Roman"/>
                <w:sz w:val="20"/>
                <w:szCs w:val="20"/>
              </w:rPr>
              <w:t>14</w:t>
            </w:r>
          </w:p>
        </w:tc>
        <w:tc>
          <w:tcPr>
            <w:tcW w:w="1104" w:type="dxa"/>
          </w:tcPr>
          <w:p w14:paraId="6381BCA3" w14:textId="77777777" w:rsidR="0005575D" w:rsidRDefault="0005575D" w:rsidP="00676D57">
            <w:pPr>
              <w:rPr>
                <w:rFonts w:eastAsia="Times New Roman" w:cs="Times New Roman"/>
                <w:color w:val="000000" w:themeColor="text1"/>
                <w:sz w:val="20"/>
                <w:szCs w:val="20"/>
              </w:rPr>
            </w:pPr>
            <w:r w:rsidRPr="55D96100"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>ATTR (80±5),</w:t>
            </w:r>
            <w:r>
              <w:br/>
            </w:r>
            <w:r w:rsidRPr="55D96100"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>AL (73±8)</w:t>
            </w:r>
          </w:p>
        </w:tc>
        <w:tc>
          <w:tcPr>
            <w:tcW w:w="784" w:type="dxa"/>
          </w:tcPr>
          <w:p w14:paraId="032EB4C7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55D96100">
              <w:rPr>
                <w:rFonts w:eastAsia="Times New Roman" w:cs="Times New Roman"/>
                <w:sz w:val="20"/>
                <w:szCs w:val="20"/>
              </w:rPr>
              <w:t>N/A</w:t>
            </w:r>
          </w:p>
        </w:tc>
        <w:tc>
          <w:tcPr>
            <w:tcW w:w="1121" w:type="dxa"/>
          </w:tcPr>
          <w:p w14:paraId="31D9E307" w14:textId="77777777" w:rsidR="0005575D" w:rsidRDefault="0005575D" w:rsidP="00676D57">
            <w:pPr>
              <w:rPr>
                <w:rFonts w:eastAsia="Times New Roman" w:cs="Times New Roman"/>
                <w:color w:val="000000" w:themeColor="text1"/>
                <w:sz w:val="20"/>
                <w:szCs w:val="20"/>
              </w:rPr>
            </w:pPr>
            <w:r w:rsidRPr="55D96100"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>ATTR (50±6),</w:t>
            </w:r>
            <w:r>
              <w:br/>
            </w:r>
            <w:r w:rsidRPr="55D96100"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>AL (52±5)</w:t>
            </w:r>
          </w:p>
        </w:tc>
        <w:tc>
          <w:tcPr>
            <w:tcW w:w="1104" w:type="dxa"/>
          </w:tcPr>
          <w:p w14:paraId="0EE747E2" w14:textId="77777777" w:rsidR="0005575D" w:rsidRDefault="0005575D" w:rsidP="00676D57">
            <w:pPr>
              <w:rPr>
                <w:rFonts w:eastAsia="Times New Roman" w:cs="Times New Roman"/>
                <w:color w:val="000000" w:themeColor="text1"/>
                <w:sz w:val="20"/>
                <w:szCs w:val="20"/>
              </w:rPr>
            </w:pPr>
            <w:r w:rsidRPr="55D96100"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>ATTR (20±5),</w:t>
            </w:r>
            <w:r>
              <w:br/>
            </w:r>
            <w:r w:rsidRPr="55D96100"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>AL (17±3)</w:t>
            </w:r>
          </w:p>
        </w:tc>
        <w:tc>
          <w:tcPr>
            <w:tcW w:w="709" w:type="dxa"/>
          </w:tcPr>
          <w:p w14:paraId="59BD6664" w14:textId="77777777" w:rsidR="0005575D" w:rsidRDefault="0005575D" w:rsidP="00676D57">
            <w:pPr>
              <w:rPr>
                <w:rFonts w:eastAsia="Times New Roman" w:cs="Times New Roman"/>
                <w:color w:val="000000" w:themeColor="text1"/>
                <w:sz w:val="20"/>
                <w:szCs w:val="20"/>
              </w:rPr>
            </w:pPr>
            <w:r w:rsidRPr="55D96100"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>ATTR (2),</w:t>
            </w:r>
            <w:r>
              <w:br/>
            </w:r>
            <w:r w:rsidRPr="55D96100"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>AL (2)</w:t>
            </w:r>
          </w:p>
        </w:tc>
        <w:tc>
          <w:tcPr>
            <w:tcW w:w="913" w:type="dxa"/>
          </w:tcPr>
          <w:p w14:paraId="520DFA7F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55D96100">
              <w:rPr>
                <w:rFonts w:eastAsia="Times New Roman" w:cs="Times New Roman"/>
                <w:sz w:val="20"/>
                <w:szCs w:val="20"/>
              </w:rPr>
              <w:t>N/A</w:t>
            </w:r>
          </w:p>
        </w:tc>
        <w:tc>
          <w:tcPr>
            <w:tcW w:w="1041" w:type="dxa"/>
          </w:tcPr>
          <w:p w14:paraId="7D4FB0C0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55D96100">
              <w:rPr>
                <w:rFonts w:eastAsia="Times New Roman" w:cs="Times New Roman"/>
                <w:sz w:val="20"/>
                <w:szCs w:val="20"/>
              </w:rPr>
              <w:t>ATTRwt (9),</w:t>
            </w:r>
            <w:r>
              <w:br/>
            </w:r>
            <w:r w:rsidRPr="55D96100">
              <w:rPr>
                <w:rFonts w:eastAsia="Times New Roman" w:cs="Times New Roman"/>
                <w:sz w:val="20"/>
                <w:szCs w:val="20"/>
              </w:rPr>
              <w:t>AL (6)</w:t>
            </w:r>
          </w:p>
        </w:tc>
      </w:tr>
      <w:tr w:rsidR="0005575D" w14:paraId="0CEEEE14" w14:textId="77777777" w:rsidTr="00676D57">
        <w:trPr>
          <w:trHeight w:val="300"/>
        </w:trPr>
        <w:tc>
          <w:tcPr>
            <w:tcW w:w="895" w:type="dxa"/>
          </w:tcPr>
          <w:p w14:paraId="34FAA4F1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55D96100"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>González-López et al.</w:t>
            </w:r>
            <w:r>
              <w:rPr>
                <w:rFonts w:eastAsia="Times New Roman" w:cs="Times New Roman"/>
                <w:sz w:val="20"/>
                <w:szCs w:val="20"/>
                <w:vertAlign w:val="superscript"/>
              </w:rPr>
              <w:t>8</w:t>
            </w:r>
          </w:p>
        </w:tc>
        <w:tc>
          <w:tcPr>
            <w:tcW w:w="912" w:type="dxa"/>
          </w:tcPr>
          <w:p w14:paraId="0E9676B7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55D96100">
              <w:rPr>
                <w:rFonts w:eastAsia="Times New Roman" w:cs="Times New Roman"/>
                <w:sz w:val="20"/>
                <w:szCs w:val="20"/>
              </w:rPr>
              <w:t>Spain</w:t>
            </w:r>
          </w:p>
        </w:tc>
        <w:tc>
          <w:tcPr>
            <w:tcW w:w="709" w:type="dxa"/>
          </w:tcPr>
          <w:p w14:paraId="3D54F0B2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55D96100">
              <w:rPr>
                <w:rFonts w:eastAsia="Times New Roman" w:cs="Times New Roman"/>
                <w:sz w:val="20"/>
                <w:szCs w:val="20"/>
              </w:rPr>
              <w:t>120</w:t>
            </w:r>
          </w:p>
        </w:tc>
        <w:tc>
          <w:tcPr>
            <w:tcW w:w="709" w:type="dxa"/>
          </w:tcPr>
          <w:p w14:paraId="7EA2A890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55D96100">
              <w:rPr>
                <w:rFonts w:eastAsia="Times New Roman" w:cs="Times New Roman"/>
                <w:sz w:val="20"/>
                <w:szCs w:val="20"/>
              </w:rPr>
              <w:t>16</w:t>
            </w:r>
          </w:p>
        </w:tc>
        <w:tc>
          <w:tcPr>
            <w:tcW w:w="548" w:type="dxa"/>
          </w:tcPr>
          <w:p w14:paraId="41299C97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55D96100">
              <w:rPr>
                <w:rFonts w:eastAsia="Times New Roman" w:cs="Times New Roman"/>
                <w:sz w:val="20"/>
                <w:szCs w:val="20"/>
              </w:rPr>
              <w:t>8 (50)</w:t>
            </w:r>
          </w:p>
        </w:tc>
        <w:tc>
          <w:tcPr>
            <w:tcW w:w="1104" w:type="dxa"/>
          </w:tcPr>
          <w:p w14:paraId="7469257E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55D96100">
              <w:rPr>
                <w:rFonts w:eastAsia="Times New Roman" w:cs="Times New Roman"/>
                <w:sz w:val="20"/>
                <w:szCs w:val="20"/>
              </w:rPr>
              <w:t>86</w:t>
            </w:r>
            <w:r w:rsidRPr="55D96100"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>±</w:t>
            </w:r>
            <w:r w:rsidRPr="55D96100">
              <w:rPr>
                <w:rFonts w:eastAsia="Times New Roman" w:cs="Times New Roman"/>
                <w:sz w:val="20"/>
                <w:szCs w:val="20"/>
              </w:rPr>
              <w:t>6</w:t>
            </w:r>
          </w:p>
        </w:tc>
        <w:tc>
          <w:tcPr>
            <w:tcW w:w="784" w:type="dxa"/>
          </w:tcPr>
          <w:p w14:paraId="00D04E69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55D96100">
              <w:rPr>
                <w:rFonts w:eastAsia="Times New Roman" w:cs="Times New Roman"/>
                <w:sz w:val="20"/>
                <w:szCs w:val="20"/>
              </w:rPr>
              <w:t>N/A</w:t>
            </w:r>
          </w:p>
        </w:tc>
        <w:tc>
          <w:tcPr>
            <w:tcW w:w="1121" w:type="dxa"/>
          </w:tcPr>
          <w:p w14:paraId="525CBA88" w14:textId="77777777" w:rsidR="0005575D" w:rsidRDefault="0005575D" w:rsidP="00676D57">
            <w:pPr>
              <w:rPr>
                <w:rFonts w:eastAsia="Times New Roman" w:cs="Times New Roman"/>
                <w:color w:val="000000" w:themeColor="text1"/>
                <w:sz w:val="20"/>
                <w:szCs w:val="20"/>
              </w:rPr>
            </w:pPr>
            <w:r w:rsidRPr="55D96100"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>60±7</w:t>
            </w:r>
          </w:p>
        </w:tc>
        <w:tc>
          <w:tcPr>
            <w:tcW w:w="1104" w:type="dxa"/>
          </w:tcPr>
          <w:p w14:paraId="4A6CC993" w14:textId="77777777" w:rsidR="0005575D" w:rsidRDefault="0005575D" w:rsidP="00676D57">
            <w:pPr>
              <w:rPr>
                <w:rFonts w:eastAsia="Times New Roman" w:cs="Times New Roman"/>
                <w:color w:val="000000" w:themeColor="text1"/>
                <w:sz w:val="20"/>
                <w:szCs w:val="20"/>
              </w:rPr>
            </w:pPr>
            <w:r w:rsidRPr="55D96100"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>18 (15.7–21)</w:t>
            </w:r>
          </w:p>
        </w:tc>
        <w:tc>
          <w:tcPr>
            <w:tcW w:w="709" w:type="dxa"/>
          </w:tcPr>
          <w:p w14:paraId="4A7DED5C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55D96100">
              <w:rPr>
                <w:rFonts w:eastAsia="Times New Roman" w:cs="Times New Roman"/>
                <w:sz w:val="20"/>
                <w:szCs w:val="20"/>
              </w:rPr>
              <w:t>5</w:t>
            </w:r>
          </w:p>
        </w:tc>
        <w:tc>
          <w:tcPr>
            <w:tcW w:w="913" w:type="dxa"/>
          </w:tcPr>
          <w:p w14:paraId="5C07BDE8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55D96100">
              <w:rPr>
                <w:rFonts w:eastAsia="Times New Roman" w:cs="Times New Roman"/>
                <w:sz w:val="20"/>
                <w:szCs w:val="20"/>
              </w:rPr>
              <w:t>HFpEF 16 (100)</w:t>
            </w:r>
          </w:p>
        </w:tc>
        <w:tc>
          <w:tcPr>
            <w:tcW w:w="1041" w:type="dxa"/>
          </w:tcPr>
          <w:p w14:paraId="300D652B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55D96100">
              <w:rPr>
                <w:rFonts w:eastAsia="Times New Roman" w:cs="Times New Roman"/>
                <w:sz w:val="20"/>
                <w:szCs w:val="20"/>
              </w:rPr>
              <w:t>ATTRwt (16)</w:t>
            </w:r>
          </w:p>
        </w:tc>
      </w:tr>
      <w:tr w:rsidR="0005575D" w14:paraId="4EA37316" w14:textId="77777777" w:rsidTr="00676D57">
        <w:trPr>
          <w:trHeight w:val="300"/>
        </w:trPr>
        <w:tc>
          <w:tcPr>
            <w:tcW w:w="895" w:type="dxa"/>
          </w:tcPr>
          <w:p w14:paraId="4530255F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55D96100"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>Mohammed et al.</w:t>
            </w:r>
            <w:r>
              <w:rPr>
                <w:rFonts w:eastAsia="Times New Roman" w:cs="Times New Roman"/>
                <w:sz w:val="20"/>
                <w:szCs w:val="20"/>
                <w:vertAlign w:val="superscript"/>
              </w:rPr>
              <w:t>26</w:t>
            </w:r>
          </w:p>
        </w:tc>
        <w:tc>
          <w:tcPr>
            <w:tcW w:w="912" w:type="dxa"/>
          </w:tcPr>
          <w:p w14:paraId="63167883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55D96100">
              <w:rPr>
                <w:rFonts w:eastAsia="Times New Roman" w:cs="Times New Roman"/>
                <w:sz w:val="20"/>
                <w:szCs w:val="20"/>
              </w:rPr>
              <w:t>USA</w:t>
            </w:r>
          </w:p>
        </w:tc>
        <w:tc>
          <w:tcPr>
            <w:tcW w:w="709" w:type="dxa"/>
          </w:tcPr>
          <w:p w14:paraId="701A32F9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55D96100">
              <w:rPr>
                <w:rFonts w:eastAsia="Times New Roman" w:cs="Times New Roman"/>
                <w:sz w:val="20"/>
                <w:szCs w:val="20"/>
              </w:rPr>
              <w:t>109</w:t>
            </w:r>
          </w:p>
        </w:tc>
        <w:tc>
          <w:tcPr>
            <w:tcW w:w="709" w:type="dxa"/>
          </w:tcPr>
          <w:p w14:paraId="38225E30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55D96100">
              <w:rPr>
                <w:rFonts w:eastAsia="Times New Roman" w:cs="Times New Roman"/>
                <w:sz w:val="20"/>
                <w:szCs w:val="20"/>
              </w:rPr>
              <w:t>21</w:t>
            </w:r>
          </w:p>
        </w:tc>
        <w:tc>
          <w:tcPr>
            <w:tcW w:w="548" w:type="dxa"/>
          </w:tcPr>
          <w:p w14:paraId="1984284A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55D96100">
              <w:rPr>
                <w:rFonts w:eastAsia="Times New Roman" w:cs="Times New Roman"/>
                <w:sz w:val="20"/>
                <w:szCs w:val="20"/>
              </w:rPr>
              <w:t>N/A</w:t>
            </w:r>
          </w:p>
        </w:tc>
        <w:tc>
          <w:tcPr>
            <w:tcW w:w="1104" w:type="dxa"/>
          </w:tcPr>
          <w:p w14:paraId="7E0A51FB" w14:textId="77777777" w:rsidR="0005575D" w:rsidRDefault="0005575D" w:rsidP="00676D57">
            <w:pPr>
              <w:rPr>
                <w:rFonts w:eastAsia="Times New Roman" w:cs="Times New Roman"/>
                <w:color w:val="000000" w:themeColor="text1"/>
                <w:sz w:val="20"/>
                <w:szCs w:val="20"/>
              </w:rPr>
            </w:pPr>
            <w:r w:rsidRPr="55D96100"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784" w:type="dxa"/>
          </w:tcPr>
          <w:p w14:paraId="6CF805BD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55D96100">
              <w:rPr>
                <w:rFonts w:eastAsia="Times New Roman" w:cs="Times New Roman"/>
                <w:sz w:val="20"/>
                <w:szCs w:val="20"/>
              </w:rPr>
              <w:t>N/A</w:t>
            </w:r>
          </w:p>
        </w:tc>
        <w:tc>
          <w:tcPr>
            <w:tcW w:w="1121" w:type="dxa"/>
          </w:tcPr>
          <w:p w14:paraId="020111BC" w14:textId="77777777" w:rsidR="0005575D" w:rsidRDefault="0005575D" w:rsidP="00676D57">
            <w:pPr>
              <w:rPr>
                <w:rFonts w:eastAsia="Times New Roman" w:cs="Times New Roman"/>
                <w:color w:val="000000" w:themeColor="text1"/>
                <w:sz w:val="20"/>
                <w:szCs w:val="20"/>
              </w:rPr>
            </w:pPr>
            <w:r w:rsidRPr="55D96100"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1104" w:type="dxa"/>
          </w:tcPr>
          <w:p w14:paraId="7E120653" w14:textId="77777777" w:rsidR="0005575D" w:rsidRDefault="0005575D" w:rsidP="00676D57">
            <w:pPr>
              <w:rPr>
                <w:rFonts w:eastAsia="Times New Roman" w:cs="Times New Roman"/>
                <w:color w:val="000000" w:themeColor="text1"/>
                <w:sz w:val="20"/>
                <w:szCs w:val="20"/>
              </w:rPr>
            </w:pPr>
            <w:r w:rsidRPr="55D96100"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709" w:type="dxa"/>
          </w:tcPr>
          <w:p w14:paraId="1489A4BB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55D96100">
              <w:rPr>
                <w:rFonts w:eastAsia="Times New Roman" w:cs="Times New Roman"/>
                <w:sz w:val="20"/>
                <w:szCs w:val="20"/>
              </w:rPr>
              <w:t>N/A</w:t>
            </w:r>
          </w:p>
        </w:tc>
        <w:tc>
          <w:tcPr>
            <w:tcW w:w="913" w:type="dxa"/>
          </w:tcPr>
          <w:p w14:paraId="7F8146D0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55D96100">
              <w:rPr>
                <w:rFonts w:eastAsia="Times New Roman" w:cs="Times New Roman"/>
                <w:sz w:val="20"/>
                <w:szCs w:val="20"/>
              </w:rPr>
              <w:t>HFpEF 21 (100)</w:t>
            </w:r>
          </w:p>
        </w:tc>
        <w:tc>
          <w:tcPr>
            <w:tcW w:w="1041" w:type="dxa"/>
          </w:tcPr>
          <w:p w14:paraId="1D869233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55D96100">
              <w:rPr>
                <w:rFonts w:eastAsia="Times New Roman" w:cs="Times New Roman"/>
                <w:sz w:val="20"/>
                <w:szCs w:val="20"/>
              </w:rPr>
              <w:t>ATTRwt (18),</w:t>
            </w:r>
            <w:r>
              <w:br/>
            </w:r>
            <w:r w:rsidRPr="55D96100">
              <w:rPr>
                <w:rFonts w:eastAsia="Times New Roman" w:cs="Times New Roman"/>
                <w:sz w:val="20"/>
                <w:szCs w:val="20"/>
              </w:rPr>
              <w:t>AL (1),</w:t>
            </w:r>
            <w:r>
              <w:br/>
            </w:r>
            <w:r w:rsidRPr="55D96100">
              <w:rPr>
                <w:rFonts w:eastAsia="Times New Roman" w:cs="Times New Roman"/>
                <w:sz w:val="20"/>
                <w:szCs w:val="20"/>
              </w:rPr>
              <w:t>Unspecified (2)</w:t>
            </w:r>
          </w:p>
        </w:tc>
      </w:tr>
      <w:tr w:rsidR="0005575D" w14:paraId="1021A908" w14:textId="77777777" w:rsidTr="00676D57">
        <w:trPr>
          <w:trHeight w:val="300"/>
        </w:trPr>
        <w:tc>
          <w:tcPr>
            <w:tcW w:w="895" w:type="dxa"/>
          </w:tcPr>
          <w:p w14:paraId="6F82F48C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55D96100"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>Velliou et al.</w:t>
            </w:r>
            <w:r>
              <w:rPr>
                <w:rFonts w:eastAsia="Times New Roman" w:cs="Times New Roman"/>
                <w:sz w:val="20"/>
                <w:szCs w:val="20"/>
                <w:vertAlign w:val="superscript"/>
              </w:rPr>
              <w:t>27</w:t>
            </w:r>
          </w:p>
        </w:tc>
        <w:tc>
          <w:tcPr>
            <w:tcW w:w="912" w:type="dxa"/>
          </w:tcPr>
          <w:p w14:paraId="0DEC8BBC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55D96100">
              <w:rPr>
                <w:rFonts w:eastAsia="Times New Roman" w:cs="Times New Roman"/>
                <w:sz w:val="20"/>
                <w:szCs w:val="20"/>
              </w:rPr>
              <w:t>Greece</w:t>
            </w:r>
          </w:p>
        </w:tc>
        <w:tc>
          <w:tcPr>
            <w:tcW w:w="709" w:type="dxa"/>
          </w:tcPr>
          <w:p w14:paraId="46B95BED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55D96100">
              <w:rPr>
                <w:rFonts w:eastAsia="Times New Roman" w:cs="Times New Roman"/>
                <w:sz w:val="20"/>
                <w:szCs w:val="20"/>
              </w:rPr>
              <w:t>95</w:t>
            </w:r>
          </w:p>
        </w:tc>
        <w:tc>
          <w:tcPr>
            <w:tcW w:w="709" w:type="dxa"/>
          </w:tcPr>
          <w:p w14:paraId="50086884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55D96100">
              <w:rPr>
                <w:rFonts w:eastAsia="Times New Roman" w:cs="Times New Roman"/>
                <w:sz w:val="20"/>
                <w:szCs w:val="20"/>
              </w:rPr>
              <w:t>8</w:t>
            </w:r>
          </w:p>
        </w:tc>
        <w:tc>
          <w:tcPr>
            <w:tcW w:w="548" w:type="dxa"/>
          </w:tcPr>
          <w:p w14:paraId="6D9E6C7D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55D96100">
              <w:rPr>
                <w:rFonts w:eastAsia="Times New Roman" w:cs="Times New Roman"/>
                <w:sz w:val="20"/>
                <w:szCs w:val="20"/>
              </w:rPr>
              <w:t>7 (88)</w:t>
            </w:r>
          </w:p>
        </w:tc>
        <w:tc>
          <w:tcPr>
            <w:tcW w:w="1104" w:type="dxa"/>
          </w:tcPr>
          <w:p w14:paraId="71B4DDC2" w14:textId="77777777" w:rsidR="0005575D" w:rsidRDefault="0005575D" w:rsidP="00676D57">
            <w:pPr>
              <w:rPr>
                <w:rFonts w:eastAsia="Times New Roman" w:cs="Times New Roman"/>
                <w:color w:val="000000" w:themeColor="text1"/>
                <w:sz w:val="20"/>
                <w:szCs w:val="20"/>
              </w:rPr>
            </w:pPr>
            <w:r w:rsidRPr="55D96100"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>86±5</w:t>
            </w:r>
          </w:p>
        </w:tc>
        <w:tc>
          <w:tcPr>
            <w:tcW w:w="784" w:type="dxa"/>
          </w:tcPr>
          <w:p w14:paraId="42AC6079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55D96100">
              <w:rPr>
                <w:rFonts w:eastAsia="Times New Roman" w:cs="Times New Roman"/>
                <w:sz w:val="20"/>
                <w:szCs w:val="20"/>
              </w:rPr>
              <w:t>N/A</w:t>
            </w:r>
          </w:p>
        </w:tc>
        <w:tc>
          <w:tcPr>
            <w:tcW w:w="1121" w:type="dxa"/>
          </w:tcPr>
          <w:p w14:paraId="69FDEBAE" w14:textId="77777777" w:rsidR="0005575D" w:rsidRDefault="0005575D" w:rsidP="00676D57">
            <w:pPr>
              <w:rPr>
                <w:rFonts w:eastAsia="Times New Roman" w:cs="Times New Roman"/>
                <w:color w:val="000000" w:themeColor="text1"/>
                <w:sz w:val="20"/>
                <w:szCs w:val="20"/>
              </w:rPr>
            </w:pPr>
            <w:r w:rsidRPr="55D96100"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>46.2±7.4</w:t>
            </w:r>
          </w:p>
        </w:tc>
        <w:tc>
          <w:tcPr>
            <w:tcW w:w="1104" w:type="dxa"/>
          </w:tcPr>
          <w:p w14:paraId="4D47575D" w14:textId="77777777" w:rsidR="0005575D" w:rsidRDefault="0005575D" w:rsidP="00676D57">
            <w:pPr>
              <w:rPr>
                <w:rFonts w:eastAsia="Times New Roman" w:cs="Times New Roman"/>
                <w:color w:val="000000" w:themeColor="text1"/>
                <w:sz w:val="20"/>
                <w:szCs w:val="20"/>
              </w:rPr>
            </w:pPr>
            <w:r w:rsidRPr="55D96100"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>13.1 ± 1.6</w:t>
            </w:r>
          </w:p>
        </w:tc>
        <w:tc>
          <w:tcPr>
            <w:tcW w:w="709" w:type="dxa"/>
          </w:tcPr>
          <w:p w14:paraId="44EF6CDE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55D96100">
              <w:rPr>
                <w:rFonts w:eastAsia="Times New Roman" w:cs="Times New Roman"/>
                <w:sz w:val="20"/>
                <w:szCs w:val="20"/>
              </w:rPr>
              <w:t>N/A</w:t>
            </w:r>
          </w:p>
        </w:tc>
        <w:tc>
          <w:tcPr>
            <w:tcW w:w="913" w:type="dxa"/>
          </w:tcPr>
          <w:p w14:paraId="30305193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55D96100">
              <w:rPr>
                <w:rFonts w:eastAsia="Times New Roman" w:cs="Times New Roman"/>
                <w:sz w:val="20"/>
                <w:szCs w:val="20"/>
              </w:rPr>
              <w:t>HFpEF 3 (38),</w:t>
            </w:r>
            <w:r>
              <w:br/>
            </w:r>
            <w:r w:rsidRPr="55D96100">
              <w:rPr>
                <w:rFonts w:eastAsia="Times New Roman" w:cs="Times New Roman"/>
                <w:sz w:val="20"/>
                <w:szCs w:val="20"/>
              </w:rPr>
              <w:t>HFmrEF 3 (38),</w:t>
            </w:r>
            <w:r>
              <w:br/>
            </w:r>
            <w:r w:rsidRPr="55D96100">
              <w:rPr>
                <w:rFonts w:eastAsia="Times New Roman" w:cs="Times New Roman"/>
                <w:sz w:val="20"/>
                <w:szCs w:val="20"/>
              </w:rPr>
              <w:t>HFrEF 2 (24),</w:t>
            </w:r>
          </w:p>
        </w:tc>
        <w:tc>
          <w:tcPr>
            <w:tcW w:w="1041" w:type="dxa"/>
          </w:tcPr>
          <w:p w14:paraId="48B62E79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55D96100">
              <w:rPr>
                <w:rFonts w:eastAsia="Times New Roman" w:cs="Times New Roman"/>
                <w:sz w:val="20"/>
                <w:szCs w:val="20"/>
              </w:rPr>
              <w:t>Untyped ATTR (8)</w:t>
            </w:r>
          </w:p>
        </w:tc>
      </w:tr>
      <w:tr w:rsidR="0005575D" w14:paraId="7B5B4390" w14:textId="77777777" w:rsidTr="00676D57">
        <w:trPr>
          <w:trHeight w:val="300"/>
        </w:trPr>
        <w:tc>
          <w:tcPr>
            <w:tcW w:w="895" w:type="dxa"/>
          </w:tcPr>
          <w:p w14:paraId="765E5FE9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55D96100"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>Achten et al.</w:t>
            </w:r>
            <w:r>
              <w:rPr>
                <w:rFonts w:eastAsia="Times New Roman" w:cs="Times New Roman"/>
                <w:sz w:val="20"/>
                <w:szCs w:val="20"/>
                <w:vertAlign w:val="superscript"/>
              </w:rPr>
              <w:t>28</w:t>
            </w:r>
          </w:p>
        </w:tc>
        <w:tc>
          <w:tcPr>
            <w:tcW w:w="912" w:type="dxa"/>
          </w:tcPr>
          <w:p w14:paraId="1D925CD7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55D96100">
              <w:rPr>
                <w:rFonts w:eastAsia="Times New Roman" w:cs="Times New Roman"/>
                <w:sz w:val="20"/>
                <w:szCs w:val="20"/>
              </w:rPr>
              <w:t>Dutch</w:t>
            </w:r>
          </w:p>
        </w:tc>
        <w:tc>
          <w:tcPr>
            <w:tcW w:w="709" w:type="dxa"/>
          </w:tcPr>
          <w:p w14:paraId="13006CDD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55D96100">
              <w:rPr>
                <w:rFonts w:eastAsia="Times New Roman" w:cs="Times New Roman"/>
                <w:sz w:val="20"/>
                <w:szCs w:val="20"/>
              </w:rPr>
              <w:t>200</w:t>
            </w:r>
          </w:p>
        </w:tc>
        <w:tc>
          <w:tcPr>
            <w:tcW w:w="709" w:type="dxa"/>
          </w:tcPr>
          <w:p w14:paraId="125D1C13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55D96100">
              <w:rPr>
                <w:rFonts w:eastAsia="Times New Roman" w:cs="Times New Roman"/>
                <w:sz w:val="20"/>
                <w:szCs w:val="20"/>
              </w:rPr>
              <w:t>6</w:t>
            </w:r>
          </w:p>
        </w:tc>
        <w:tc>
          <w:tcPr>
            <w:tcW w:w="548" w:type="dxa"/>
          </w:tcPr>
          <w:p w14:paraId="190ACAD0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55D96100">
              <w:rPr>
                <w:rFonts w:eastAsia="Times New Roman" w:cs="Times New Roman"/>
                <w:sz w:val="20"/>
                <w:szCs w:val="20"/>
              </w:rPr>
              <w:t>5 (83)</w:t>
            </w:r>
          </w:p>
        </w:tc>
        <w:tc>
          <w:tcPr>
            <w:tcW w:w="1104" w:type="dxa"/>
          </w:tcPr>
          <w:p w14:paraId="4E135318" w14:textId="77777777" w:rsidR="0005575D" w:rsidRDefault="0005575D" w:rsidP="00676D57">
            <w:pPr>
              <w:rPr>
                <w:rFonts w:eastAsia="Times New Roman" w:cs="Times New Roman"/>
                <w:color w:val="000000" w:themeColor="text1"/>
                <w:sz w:val="20"/>
                <w:szCs w:val="20"/>
              </w:rPr>
            </w:pPr>
            <w:r w:rsidRPr="55D96100"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>79 [78–82]</w:t>
            </w:r>
          </w:p>
        </w:tc>
        <w:tc>
          <w:tcPr>
            <w:tcW w:w="784" w:type="dxa"/>
          </w:tcPr>
          <w:p w14:paraId="5667AF23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55D96100">
              <w:rPr>
                <w:rFonts w:eastAsia="Times New Roman" w:cs="Times New Roman"/>
                <w:sz w:val="20"/>
                <w:szCs w:val="20"/>
              </w:rPr>
              <w:t>N/A</w:t>
            </w:r>
          </w:p>
        </w:tc>
        <w:tc>
          <w:tcPr>
            <w:tcW w:w="1121" w:type="dxa"/>
          </w:tcPr>
          <w:p w14:paraId="62B6AF60" w14:textId="77777777" w:rsidR="0005575D" w:rsidRDefault="0005575D" w:rsidP="00676D57">
            <w:pPr>
              <w:rPr>
                <w:rFonts w:eastAsia="Times New Roman" w:cs="Times New Roman"/>
                <w:color w:val="000000" w:themeColor="text1"/>
                <w:sz w:val="20"/>
                <w:szCs w:val="20"/>
              </w:rPr>
            </w:pPr>
            <w:r w:rsidRPr="55D96100"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>58 (54–62)</w:t>
            </w:r>
          </w:p>
        </w:tc>
        <w:tc>
          <w:tcPr>
            <w:tcW w:w="1104" w:type="dxa"/>
          </w:tcPr>
          <w:p w14:paraId="1572D1AA" w14:textId="77777777" w:rsidR="0005575D" w:rsidRDefault="0005575D" w:rsidP="00676D57">
            <w:pPr>
              <w:rPr>
                <w:rFonts w:eastAsia="Times New Roman" w:cs="Times New Roman"/>
                <w:color w:val="000000" w:themeColor="text1"/>
                <w:sz w:val="20"/>
                <w:szCs w:val="20"/>
              </w:rPr>
            </w:pPr>
            <w:r w:rsidRPr="55D96100"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>15 [11–17]</w:t>
            </w:r>
          </w:p>
        </w:tc>
        <w:tc>
          <w:tcPr>
            <w:tcW w:w="709" w:type="dxa"/>
          </w:tcPr>
          <w:p w14:paraId="70E22DCA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55D96100">
              <w:rPr>
                <w:rFonts w:eastAsia="Times New Roman" w:cs="Times New Roman"/>
                <w:sz w:val="20"/>
                <w:szCs w:val="20"/>
              </w:rPr>
              <w:t>2</w:t>
            </w:r>
          </w:p>
        </w:tc>
        <w:tc>
          <w:tcPr>
            <w:tcW w:w="913" w:type="dxa"/>
          </w:tcPr>
          <w:p w14:paraId="30037FB7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55D96100">
              <w:rPr>
                <w:rFonts w:eastAsia="Times New Roman" w:cs="Times New Roman"/>
                <w:sz w:val="20"/>
                <w:szCs w:val="20"/>
              </w:rPr>
              <w:t>HFpEF 6 (100)</w:t>
            </w:r>
          </w:p>
        </w:tc>
        <w:tc>
          <w:tcPr>
            <w:tcW w:w="1041" w:type="dxa"/>
          </w:tcPr>
          <w:p w14:paraId="11476786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55D96100">
              <w:rPr>
                <w:rFonts w:eastAsia="Times New Roman" w:cs="Times New Roman"/>
                <w:sz w:val="20"/>
                <w:szCs w:val="20"/>
              </w:rPr>
              <w:t>ATTRwt (6)</w:t>
            </w:r>
          </w:p>
        </w:tc>
      </w:tr>
      <w:tr w:rsidR="0005575D" w14:paraId="78EF1A09" w14:textId="77777777" w:rsidTr="00676D57">
        <w:trPr>
          <w:trHeight w:val="300"/>
        </w:trPr>
        <w:tc>
          <w:tcPr>
            <w:tcW w:w="895" w:type="dxa"/>
          </w:tcPr>
          <w:p w14:paraId="773BDAE1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55D96100"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>Arvanitis et al.</w:t>
            </w:r>
            <w:r>
              <w:rPr>
                <w:rFonts w:eastAsia="Times New Roman" w:cs="Times New Roman"/>
                <w:sz w:val="20"/>
                <w:szCs w:val="20"/>
                <w:vertAlign w:val="superscript"/>
              </w:rPr>
              <w:t>29</w:t>
            </w:r>
          </w:p>
        </w:tc>
        <w:tc>
          <w:tcPr>
            <w:tcW w:w="912" w:type="dxa"/>
          </w:tcPr>
          <w:p w14:paraId="4E48D569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55D96100">
              <w:rPr>
                <w:rFonts w:eastAsia="Times New Roman" w:cs="Times New Roman"/>
                <w:sz w:val="20"/>
                <w:szCs w:val="20"/>
              </w:rPr>
              <w:t>USA</w:t>
            </w:r>
          </w:p>
        </w:tc>
        <w:tc>
          <w:tcPr>
            <w:tcW w:w="709" w:type="dxa"/>
          </w:tcPr>
          <w:p w14:paraId="5B2FF7BB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55D96100">
              <w:rPr>
                <w:rFonts w:eastAsia="Times New Roman" w:cs="Times New Roman"/>
                <w:sz w:val="20"/>
                <w:szCs w:val="20"/>
              </w:rPr>
              <w:t>99</w:t>
            </w:r>
          </w:p>
        </w:tc>
        <w:tc>
          <w:tcPr>
            <w:tcW w:w="709" w:type="dxa"/>
          </w:tcPr>
          <w:p w14:paraId="5A3FB1ED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55D96100">
              <w:rPr>
                <w:rFonts w:eastAsia="Times New Roman" w:cs="Times New Roman"/>
                <w:sz w:val="20"/>
                <w:szCs w:val="20"/>
              </w:rPr>
              <w:t>2</w:t>
            </w:r>
          </w:p>
        </w:tc>
        <w:tc>
          <w:tcPr>
            <w:tcW w:w="548" w:type="dxa"/>
          </w:tcPr>
          <w:p w14:paraId="5899A7A3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55D96100">
              <w:rPr>
                <w:rFonts w:eastAsia="Times New Roman" w:cs="Times New Roman"/>
                <w:sz w:val="20"/>
                <w:szCs w:val="20"/>
              </w:rPr>
              <w:t>2 (100)</w:t>
            </w:r>
          </w:p>
        </w:tc>
        <w:tc>
          <w:tcPr>
            <w:tcW w:w="1104" w:type="dxa"/>
          </w:tcPr>
          <w:p w14:paraId="19C1108D" w14:textId="77777777" w:rsidR="0005575D" w:rsidRDefault="0005575D" w:rsidP="00676D57">
            <w:pPr>
              <w:rPr>
                <w:rFonts w:eastAsia="Times New Roman" w:cs="Times New Roman"/>
                <w:color w:val="000000" w:themeColor="text1"/>
                <w:sz w:val="20"/>
                <w:szCs w:val="20"/>
              </w:rPr>
            </w:pPr>
            <w:r w:rsidRPr="55D96100"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>66, 75</w:t>
            </w:r>
          </w:p>
        </w:tc>
        <w:tc>
          <w:tcPr>
            <w:tcW w:w="784" w:type="dxa"/>
          </w:tcPr>
          <w:p w14:paraId="1EA4C020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55D96100">
              <w:rPr>
                <w:rFonts w:eastAsia="Times New Roman" w:cs="Times New Roman"/>
                <w:sz w:val="20"/>
                <w:szCs w:val="20"/>
              </w:rPr>
              <w:t>N/A</w:t>
            </w:r>
          </w:p>
        </w:tc>
        <w:tc>
          <w:tcPr>
            <w:tcW w:w="1121" w:type="dxa"/>
          </w:tcPr>
          <w:p w14:paraId="316B495E" w14:textId="77777777" w:rsidR="0005575D" w:rsidRDefault="0005575D" w:rsidP="00676D57">
            <w:pPr>
              <w:rPr>
                <w:rFonts w:eastAsia="Times New Roman" w:cs="Times New Roman"/>
                <w:color w:val="000000" w:themeColor="text1"/>
                <w:sz w:val="20"/>
                <w:szCs w:val="20"/>
              </w:rPr>
            </w:pPr>
            <w:r w:rsidRPr="55D96100"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>55, 58</w:t>
            </w:r>
          </w:p>
        </w:tc>
        <w:tc>
          <w:tcPr>
            <w:tcW w:w="1104" w:type="dxa"/>
          </w:tcPr>
          <w:p w14:paraId="7BEA6865" w14:textId="77777777" w:rsidR="0005575D" w:rsidRDefault="0005575D" w:rsidP="00676D57">
            <w:pPr>
              <w:rPr>
                <w:rFonts w:eastAsia="Times New Roman" w:cs="Times New Roman"/>
                <w:color w:val="000000" w:themeColor="text1"/>
                <w:sz w:val="20"/>
                <w:szCs w:val="20"/>
              </w:rPr>
            </w:pPr>
            <w:r w:rsidRPr="55D96100"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>15, 18</w:t>
            </w:r>
          </w:p>
        </w:tc>
        <w:tc>
          <w:tcPr>
            <w:tcW w:w="709" w:type="dxa"/>
          </w:tcPr>
          <w:p w14:paraId="6AB3F54E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55D96100">
              <w:rPr>
                <w:rFonts w:eastAsia="Times New Roman" w:cs="Times New Roman"/>
                <w:sz w:val="20"/>
                <w:szCs w:val="20"/>
              </w:rPr>
              <w:t>N/A</w:t>
            </w:r>
          </w:p>
        </w:tc>
        <w:tc>
          <w:tcPr>
            <w:tcW w:w="913" w:type="dxa"/>
          </w:tcPr>
          <w:p w14:paraId="14D6B30A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55D96100">
              <w:rPr>
                <w:rFonts w:eastAsia="Times New Roman" w:cs="Times New Roman"/>
                <w:sz w:val="20"/>
                <w:szCs w:val="20"/>
              </w:rPr>
              <w:t>HFpEF 2 (100)</w:t>
            </w:r>
          </w:p>
        </w:tc>
        <w:tc>
          <w:tcPr>
            <w:tcW w:w="1041" w:type="dxa"/>
          </w:tcPr>
          <w:p w14:paraId="0B9F4A39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55D96100">
              <w:rPr>
                <w:rFonts w:eastAsia="Times New Roman" w:cs="Times New Roman"/>
                <w:sz w:val="20"/>
                <w:szCs w:val="20"/>
              </w:rPr>
              <w:t>ATTRv (2)</w:t>
            </w:r>
          </w:p>
        </w:tc>
      </w:tr>
      <w:tr w:rsidR="0005575D" w14:paraId="450EB0F4" w14:textId="77777777" w:rsidTr="00676D57">
        <w:trPr>
          <w:trHeight w:val="300"/>
        </w:trPr>
        <w:tc>
          <w:tcPr>
            <w:tcW w:w="895" w:type="dxa"/>
          </w:tcPr>
          <w:p w14:paraId="07C6C75B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55D96100"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>Chang et al.</w:t>
            </w:r>
            <w:r>
              <w:rPr>
                <w:rFonts w:eastAsia="Times New Roman" w:cs="Times New Roman"/>
                <w:sz w:val="20"/>
                <w:szCs w:val="20"/>
                <w:vertAlign w:val="superscript"/>
              </w:rPr>
              <w:t>30</w:t>
            </w:r>
          </w:p>
        </w:tc>
        <w:tc>
          <w:tcPr>
            <w:tcW w:w="912" w:type="dxa"/>
          </w:tcPr>
          <w:p w14:paraId="6FDA99BD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55D96100">
              <w:rPr>
                <w:rFonts w:eastAsia="Times New Roman" w:cs="Times New Roman"/>
                <w:sz w:val="20"/>
                <w:szCs w:val="20"/>
              </w:rPr>
              <w:t>USA</w:t>
            </w:r>
          </w:p>
        </w:tc>
        <w:tc>
          <w:tcPr>
            <w:tcW w:w="709" w:type="dxa"/>
          </w:tcPr>
          <w:p w14:paraId="3048E3E4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55D96100">
              <w:rPr>
                <w:rFonts w:eastAsia="Times New Roman" w:cs="Times New Roman"/>
                <w:sz w:val="20"/>
                <w:szCs w:val="20"/>
              </w:rPr>
              <w:t>1173</w:t>
            </w:r>
          </w:p>
        </w:tc>
        <w:tc>
          <w:tcPr>
            <w:tcW w:w="709" w:type="dxa"/>
          </w:tcPr>
          <w:p w14:paraId="775B81F5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55D96100">
              <w:rPr>
                <w:rFonts w:eastAsia="Times New Roman" w:cs="Times New Roman"/>
                <w:sz w:val="20"/>
                <w:szCs w:val="20"/>
              </w:rPr>
              <w:t>6</w:t>
            </w:r>
          </w:p>
        </w:tc>
        <w:tc>
          <w:tcPr>
            <w:tcW w:w="548" w:type="dxa"/>
          </w:tcPr>
          <w:p w14:paraId="0C9595EF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55D96100">
              <w:rPr>
                <w:rFonts w:eastAsia="Times New Roman" w:cs="Times New Roman"/>
                <w:sz w:val="20"/>
                <w:szCs w:val="20"/>
              </w:rPr>
              <w:t>4 (67)</w:t>
            </w:r>
          </w:p>
        </w:tc>
        <w:tc>
          <w:tcPr>
            <w:tcW w:w="1104" w:type="dxa"/>
          </w:tcPr>
          <w:p w14:paraId="61A5A419" w14:textId="77777777" w:rsidR="0005575D" w:rsidRDefault="0005575D" w:rsidP="00676D57">
            <w:pPr>
              <w:rPr>
                <w:rFonts w:eastAsia="Times New Roman" w:cs="Times New Roman"/>
                <w:color w:val="000000" w:themeColor="text1"/>
                <w:sz w:val="20"/>
                <w:szCs w:val="20"/>
              </w:rPr>
            </w:pPr>
            <w:r w:rsidRPr="55D96100"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>80.7±8.3</w:t>
            </w:r>
          </w:p>
        </w:tc>
        <w:tc>
          <w:tcPr>
            <w:tcW w:w="784" w:type="dxa"/>
          </w:tcPr>
          <w:p w14:paraId="2A954EB7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55D96100">
              <w:rPr>
                <w:rFonts w:eastAsia="Times New Roman" w:cs="Times New Roman"/>
                <w:sz w:val="20"/>
                <w:szCs w:val="20"/>
              </w:rPr>
              <w:t>White (5),</w:t>
            </w:r>
            <w:r>
              <w:br/>
            </w:r>
            <w:r w:rsidRPr="55D96100">
              <w:rPr>
                <w:rFonts w:eastAsia="Times New Roman" w:cs="Times New Roman"/>
                <w:sz w:val="20"/>
                <w:szCs w:val="20"/>
              </w:rPr>
              <w:t>Unknown (1)</w:t>
            </w:r>
          </w:p>
        </w:tc>
        <w:tc>
          <w:tcPr>
            <w:tcW w:w="1121" w:type="dxa"/>
          </w:tcPr>
          <w:p w14:paraId="3CF99115" w14:textId="77777777" w:rsidR="0005575D" w:rsidRDefault="0005575D" w:rsidP="00676D57">
            <w:pPr>
              <w:rPr>
                <w:rFonts w:eastAsia="Times New Roman" w:cs="Times New Roman"/>
                <w:color w:val="000000" w:themeColor="text1"/>
                <w:sz w:val="20"/>
                <w:szCs w:val="20"/>
              </w:rPr>
            </w:pPr>
            <w:r w:rsidRPr="55D96100"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>56 (50-64)</w:t>
            </w:r>
          </w:p>
        </w:tc>
        <w:tc>
          <w:tcPr>
            <w:tcW w:w="1104" w:type="dxa"/>
          </w:tcPr>
          <w:p w14:paraId="4D3F9ADC" w14:textId="77777777" w:rsidR="0005575D" w:rsidRDefault="0005575D" w:rsidP="00676D57">
            <w:pPr>
              <w:rPr>
                <w:rFonts w:eastAsia="Times New Roman" w:cs="Times New Roman"/>
                <w:color w:val="000000" w:themeColor="text1"/>
                <w:sz w:val="20"/>
                <w:szCs w:val="20"/>
              </w:rPr>
            </w:pPr>
            <w:r w:rsidRPr="55D96100"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>14.5 (14.0-15.0)</w:t>
            </w:r>
          </w:p>
        </w:tc>
        <w:tc>
          <w:tcPr>
            <w:tcW w:w="709" w:type="dxa"/>
          </w:tcPr>
          <w:p w14:paraId="1C24C7A9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55D96100">
              <w:rPr>
                <w:rFonts w:eastAsia="Times New Roman" w:cs="Times New Roman"/>
                <w:sz w:val="20"/>
                <w:szCs w:val="20"/>
              </w:rPr>
              <w:t>1</w:t>
            </w:r>
          </w:p>
        </w:tc>
        <w:tc>
          <w:tcPr>
            <w:tcW w:w="913" w:type="dxa"/>
          </w:tcPr>
          <w:p w14:paraId="4A0C5AC9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55D96100">
              <w:rPr>
                <w:rFonts w:eastAsia="Times New Roman" w:cs="Times New Roman"/>
                <w:sz w:val="20"/>
                <w:szCs w:val="20"/>
              </w:rPr>
              <w:t>N/A</w:t>
            </w:r>
          </w:p>
        </w:tc>
        <w:tc>
          <w:tcPr>
            <w:tcW w:w="1041" w:type="dxa"/>
          </w:tcPr>
          <w:p w14:paraId="5703BA4B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55D96100">
              <w:rPr>
                <w:rFonts w:eastAsia="Times New Roman" w:cs="Times New Roman"/>
                <w:sz w:val="20"/>
                <w:szCs w:val="20"/>
              </w:rPr>
              <w:t>AL (6)</w:t>
            </w:r>
          </w:p>
        </w:tc>
      </w:tr>
      <w:tr w:rsidR="0005575D" w14:paraId="466985DA" w14:textId="77777777" w:rsidTr="00676D57">
        <w:trPr>
          <w:trHeight w:val="300"/>
        </w:trPr>
        <w:tc>
          <w:tcPr>
            <w:tcW w:w="895" w:type="dxa"/>
          </w:tcPr>
          <w:p w14:paraId="5FA75515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55D96100"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>Damy et al.</w:t>
            </w:r>
            <w:r>
              <w:rPr>
                <w:rFonts w:eastAsia="Times New Roman" w:cs="Times New Roman"/>
                <w:sz w:val="20"/>
                <w:szCs w:val="20"/>
                <w:vertAlign w:val="superscript"/>
              </w:rPr>
              <w:t>31</w:t>
            </w:r>
          </w:p>
        </w:tc>
        <w:tc>
          <w:tcPr>
            <w:tcW w:w="912" w:type="dxa"/>
          </w:tcPr>
          <w:p w14:paraId="3177FBAB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55D96100">
              <w:rPr>
                <w:rFonts w:eastAsia="Times New Roman" w:cs="Times New Roman"/>
                <w:sz w:val="20"/>
                <w:szCs w:val="20"/>
              </w:rPr>
              <w:t>France</w:t>
            </w:r>
          </w:p>
        </w:tc>
        <w:tc>
          <w:tcPr>
            <w:tcW w:w="709" w:type="dxa"/>
          </w:tcPr>
          <w:p w14:paraId="62FE9E52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55D96100">
              <w:rPr>
                <w:rFonts w:eastAsia="Times New Roman" w:cs="Times New Roman"/>
                <w:sz w:val="20"/>
                <w:szCs w:val="20"/>
              </w:rPr>
              <w:t>296</w:t>
            </w:r>
          </w:p>
        </w:tc>
        <w:tc>
          <w:tcPr>
            <w:tcW w:w="709" w:type="dxa"/>
          </w:tcPr>
          <w:p w14:paraId="5D0C8967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55D96100">
              <w:rPr>
                <w:rFonts w:eastAsia="Times New Roman" w:cs="Times New Roman"/>
                <w:sz w:val="20"/>
                <w:szCs w:val="20"/>
              </w:rPr>
              <w:t>15</w:t>
            </w:r>
          </w:p>
        </w:tc>
        <w:tc>
          <w:tcPr>
            <w:tcW w:w="548" w:type="dxa"/>
          </w:tcPr>
          <w:p w14:paraId="4500178C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55D96100">
              <w:rPr>
                <w:rFonts w:eastAsia="Times New Roman" w:cs="Times New Roman"/>
                <w:sz w:val="20"/>
                <w:szCs w:val="20"/>
              </w:rPr>
              <w:t>11 (73)</w:t>
            </w:r>
          </w:p>
        </w:tc>
        <w:tc>
          <w:tcPr>
            <w:tcW w:w="1104" w:type="dxa"/>
          </w:tcPr>
          <w:p w14:paraId="2F943B9D" w14:textId="77777777" w:rsidR="0005575D" w:rsidRDefault="0005575D" w:rsidP="00676D57">
            <w:pPr>
              <w:rPr>
                <w:rFonts w:eastAsia="Times New Roman" w:cs="Times New Roman"/>
                <w:color w:val="000000" w:themeColor="text1"/>
                <w:sz w:val="20"/>
                <w:szCs w:val="20"/>
              </w:rPr>
            </w:pPr>
            <w:r w:rsidRPr="55D96100"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>74 (69-79)</w:t>
            </w:r>
          </w:p>
        </w:tc>
        <w:tc>
          <w:tcPr>
            <w:tcW w:w="784" w:type="dxa"/>
          </w:tcPr>
          <w:p w14:paraId="64BFC322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55D96100">
              <w:rPr>
                <w:rFonts w:eastAsia="Times New Roman" w:cs="Times New Roman"/>
                <w:sz w:val="20"/>
                <w:szCs w:val="20"/>
              </w:rPr>
              <w:t>White (6),</w:t>
            </w:r>
            <w:r>
              <w:br/>
            </w:r>
            <w:r w:rsidRPr="55D96100">
              <w:rPr>
                <w:rFonts w:eastAsia="Times New Roman" w:cs="Times New Roman"/>
                <w:sz w:val="20"/>
                <w:szCs w:val="20"/>
              </w:rPr>
              <w:t>Black (9)</w:t>
            </w:r>
          </w:p>
        </w:tc>
        <w:tc>
          <w:tcPr>
            <w:tcW w:w="1121" w:type="dxa"/>
          </w:tcPr>
          <w:p w14:paraId="2BADEC09" w14:textId="77777777" w:rsidR="0005575D" w:rsidRDefault="0005575D" w:rsidP="00676D57">
            <w:pPr>
              <w:rPr>
                <w:rFonts w:eastAsia="Times New Roman" w:cs="Times New Roman"/>
                <w:color w:val="000000" w:themeColor="text1"/>
                <w:sz w:val="20"/>
                <w:szCs w:val="20"/>
              </w:rPr>
            </w:pPr>
            <w:r w:rsidRPr="55D96100"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>45 (35-51)</w:t>
            </w:r>
          </w:p>
        </w:tc>
        <w:tc>
          <w:tcPr>
            <w:tcW w:w="1104" w:type="dxa"/>
          </w:tcPr>
          <w:p w14:paraId="4A44D256" w14:textId="77777777" w:rsidR="0005575D" w:rsidRDefault="0005575D" w:rsidP="00676D57">
            <w:pPr>
              <w:rPr>
                <w:rFonts w:eastAsia="Times New Roman" w:cs="Times New Roman"/>
                <w:color w:val="000000" w:themeColor="text1"/>
                <w:sz w:val="20"/>
                <w:szCs w:val="20"/>
              </w:rPr>
            </w:pPr>
            <w:r w:rsidRPr="55D96100"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>18 (16-21)</w:t>
            </w:r>
          </w:p>
        </w:tc>
        <w:tc>
          <w:tcPr>
            <w:tcW w:w="709" w:type="dxa"/>
          </w:tcPr>
          <w:p w14:paraId="4D460881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55D96100">
              <w:rPr>
                <w:rFonts w:eastAsia="Times New Roman" w:cs="Times New Roman"/>
                <w:sz w:val="20"/>
                <w:szCs w:val="20"/>
              </w:rPr>
              <w:t>5</w:t>
            </w:r>
          </w:p>
        </w:tc>
        <w:tc>
          <w:tcPr>
            <w:tcW w:w="913" w:type="dxa"/>
          </w:tcPr>
          <w:p w14:paraId="12C11FD9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55D96100">
              <w:rPr>
                <w:rFonts w:eastAsia="Times New Roman" w:cs="Times New Roman"/>
                <w:sz w:val="20"/>
                <w:szCs w:val="20"/>
              </w:rPr>
              <w:t>HFpEF 5 (33),</w:t>
            </w:r>
          </w:p>
          <w:p w14:paraId="15EF794A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55D96100">
              <w:rPr>
                <w:rFonts w:eastAsia="Times New Roman" w:cs="Times New Roman"/>
                <w:sz w:val="20"/>
                <w:szCs w:val="20"/>
              </w:rPr>
              <w:t>HFmrEF 3 (20),</w:t>
            </w:r>
            <w:r>
              <w:br/>
            </w:r>
            <w:r w:rsidRPr="55D96100">
              <w:rPr>
                <w:rFonts w:eastAsia="Times New Roman" w:cs="Times New Roman"/>
                <w:sz w:val="20"/>
                <w:szCs w:val="20"/>
              </w:rPr>
              <w:t xml:space="preserve">HFrEF 7 (47) </w:t>
            </w:r>
          </w:p>
        </w:tc>
        <w:tc>
          <w:tcPr>
            <w:tcW w:w="1041" w:type="dxa"/>
          </w:tcPr>
          <w:p w14:paraId="1F0CBADD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55D96100">
              <w:rPr>
                <w:rFonts w:eastAsia="Times New Roman" w:cs="Times New Roman"/>
                <w:sz w:val="20"/>
                <w:szCs w:val="20"/>
              </w:rPr>
              <w:t>ATTRv (15)</w:t>
            </w:r>
          </w:p>
        </w:tc>
      </w:tr>
      <w:tr w:rsidR="0005575D" w14:paraId="272FA412" w14:textId="77777777" w:rsidTr="00676D57">
        <w:trPr>
          <w:trHeight w:val="300"/>
        </w:trPr>
        <w:tc>
          <w:tcPr>
            <w:tcW w:w="895" w:type="dxa"/>
          </w:tcPr>
          <w:p w14:paraId="5940E6AB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55D96100"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>Holcman et al.</w:t>
            </w:r>
            <w:r>
              <w:rPr>
                <w:rFonts w:eastAsia="Times New Roman" w:cs="Times New Roman"/>
                <w:sz w:val="20"/>
                <w:szCs w:val="20"/>
                <w:vertAlign w:val="superscript"/>
              </w:rPr>
              <w:t>32</w:t>
            </w:r>
          </w:p>
        </w:tc>
        <w:tc>
          <w:tcPr>
            <w:tcW w:w="912" w:type="dxa"/>
          </w:tcPr>
          <w:p w14:paraId="29DE0C3C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55D96100">
              <w:rPr>
                <w:rFonts w:eastAsia="Times New Roman" w:cs="Times New Roman"/>
                <w:sz w:val="20"/>
                <w:szCs w:val="20"/>
              </w:rPr>
              <w:t>Poland</w:t>
            </w:r>
          </w:p>
        </w:tc>
        <w:tc>
          <w:tcPr>
            <w:tcW w:w="709" w:type="dxa"/>
          </w:tcPr>
          <w:p w14:paraId="468812AB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55D96100">
              <w:rPr>
                <w:rFonts w:eastAsia="Times New Roman" w:cs="Times New Roman"/>
                <w:sz w:val="20"/>
                <w:szCs w:val="20"/>
              </w:rPr>
              <w:t>100</w:t>
            </w:r>
          </w:p>
        </w:tc>
        <w:tc>
          <w:tcPr>
            <w:tcW w:w="709" w:type="dxa"/>
          </w:tcPr>
          <w:p w14:paraId="6D40FECA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55D96100">
              <w:rPr>
                <w:rFonts w:eastAsia="Times New Roman" w:cs="Times New Roman"/>
                <w:sz w:val="20"/>
                <w:szCs w:val="20"/>
              </w:rPr>
              <w:t>18</w:t>
            </w:r>
          </w:p>
        </w:tc>
        <w:tc>
          <w:tcPr>
            <w:tcW w:w="548" w:type="dxa"/>
          </w:tcPr>
          <w:p w14:paraId="717B6EF6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  <w:vertAlign w:val="superscript"/>
              </w:rPr>
            </w:pPr>
            <w:r w:rsidRPr="55D96100">
              <w:rPr>
                <w:rFonts w:eastAsia="Times New Roman" w:cs="Times New Roman"/>
                <w:sz w:val="20"/>
                <w:szCs w:val="20"/>
              </w:rPr>
              <w:t>9</w:t>
            </w:r>
            <w:r w:rsidRPr="55D96100">
              <w:rPr>
                <w:rFonts w:eastAsia="Times New Roman" w:cs="Times New Roman"/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1104" w:type="dxa"/>
          </w:tcPr>
          <w:p w14:paraId="275CBCA5" w14:textId="77777777" w:rsidR="0005575D" w:rsidRDefault="0005575D" w:rsidP="00676D57">
            <w:pPr>
              <w:rPr>
                <w:rFonts w:eastAsia="Times New Roman" w:cs="Times New Roman"/>
                <w:color w:val="000000" w:themeColor="text1"/>
                <w:sz w:val="20"/>
                <w:szCs w:val="20"/>
              </w:rPr>
            </w:pPr>
            <w:r w:rsidRPr="55D96100"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>69±12</w:t>
            </w:r>
            <w:r w:rsidRPr="55D96100">
              <w:rPr>
                <w:rFonts w:eastAsia="Times New Roman" w:cs="Times New Roman"/>
                <w:color w:val="000000" w:themeColor="text1"/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784" w:type="dxa"/>
          </w:tcPr>
          <w:p w14:paraId="2BBDC15C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55D96100">
              <w:rPr>
                <w:rFonts w:eastAsia="Times New Roman" w:cs="Times New Roman"/>
                <w:sz w:val="20"/>
                <w:szCs w:val="20"/>
              </w:rPr>
              <w:t>N/A</w:t>
            </w:r>
          </w:p>
        </w:tc>
        <w:tc>
          <w:tcPr>
            <w:tcW w:w="1121" w:type="dxa"/>
          </w:tcPr>
          <w:p w14:paraId="29AFC1D6" w14:textId="77777777" w:rsidR="0005575D" w:rsidRDefault="0005575D" w:rsidP="00676D57">
            <w:pPr>
              <w:rPr>
                <w:rFonts w:eastAsia="Times New Roman" w:cs="Times New Roman"/>
                <w:color w:val="000000" w:themeColor="text1"/>
                <w:sz w:val="20"/>
                <w:szCs w:val="20"/>
              </w:rPr>
            </w:pPr>
            <w:r w:rsidRPr="55D96100"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>41±12</w:t>
            </w:r>
            <w:r w:rsidRPr="55D96100">
              <w:rPr>
                <w:rFonts w:eastAsia="Times New Roman" w:cs="Times New Roman"/>
                <w:color w:val="000000" w:themeColor="text1"/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1104" w:type="dxa"/>
          </w:tcPr>
          <w:p w14:paraId="56ABF94B" w14:textId="77777777" w:rsidR="0005575D" w:rsidRDefault="0005575D" w:rsidP="00676D57">
            <w:pPr>
              <w:rPr>
                <w:rFonts w:eastAsia="Times New Roman" w:cs="Times New Roman"/>
                <w:color w:val="000000" w:themeColor="text1"/>
                <w:sz w:val="20"/>
                <w:szCs w:val="20"/>
              </w:rPr>
            </w:pPr>
            <w:r w:rsidRPr="55D96100"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>20±2</w:t>
            </w:r>
            <w:r w:rsidRPr="55D96100">
              <w:rPr>
                <w:rFonts w:eastAsia="Times New Roman" w:cs="Times New Roman"/>
                <w:color w:val="000000" w:themeColor="text1"/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709" w:type="dxa"/>
          </w:tcPr>
          <w:p w14:paraId="1E87A830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55D96100">
              <w:rPr>
                <w:rFonts w:eastAsia="Times New Roman" w:cs="Times New Roman"/>
                <w:sz w:val="20"/>
                <w:szCs w:val="20"/>
              </w:rPr>
              <w:t>8</w:t>
            </w:r>
            <w:r w:rsidRPr="55D96100">
              <w:rPr>
                <w:rFonts w:eastAsia="Times New Roman" w:cs="Times New Roman"/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913" w:type="dxa"/>
          </w:tcPr>
          <w:p w14:paraId="554BE92A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55D96100">
              <w:rPr>
                <w:rFonts w:eastAsia="Times New Roman" w:cs="Times New Roman"/>
                <w:sz w:val="20"/>
                <w:szCs w:val="20"/>
              </w:rPr>
              <w:t>N/A</w:t>
            </w:r>
          </w:p>
        </w:tc>
        <w:tc>
          <w:tcPr>
            <w:tcW w:w="1041" w:type="dxa"/>
          </w:tcPr>
          <w:p w14:paraId="5C3CE525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55D96100">
              <w:rPr>
                <w:rFonts w:eastAsia="Times New Roman" w:cs="Times New Roman"/>
                <w:sz w:val="20"/>
                <w:szCs w:val="20"/>
              </w:rPr>
              <w:t>ATTRwt (8),</w:t>
            </w:r>
            <w:r>
              <w:br/>
            </w:r>
            <w:r w:rsidRPr="55D96100">
              <w:rPr>
                <w:rFonts w:eastAsia="Times New Roman" w:cs="Times New Roman"/>
                <w:sz w:val="20"/>
                <w:szCs w:val="20"/>
              </w:rPr>
              <w:t>ATTRv (4),</w:t>
            </w:r>
            <w:r>
              <w:br/>
            </w:r>
            <w:r w:rsidRPr="55D96100">
              <w:rPr>
                <w:rFonts w:eastAsia="Times New Roman" w:cs="Times New Roman"/>
                <w:sz w:val="20"/>
                <w:szCs w:val="20"/>
              </w:rPr>
              <w:t>AL (5),</w:t>
            </w:r>
            <w:r>
              <w:br/>
            </w:r>
            <w:r w:rsidRPr="55D96100">
              <w:rPr>
                <w:rFonts w:eastAsia="Times New Roman" w:cs="Times New Roman"/>
                <w:sz w:val="20"/>
                <w:szCs w:val="20"/>
              </w:rPr>
              <w:t>AA (1)</w:t>
            </w:r>
          </w:p>
        </w:tc>
      </w:tr>
      <w:tr w:rsidR="0005575D" w14:paraId="7EBC801F" w14:textId="77777777" w:rsidTr="00676D57">
        <w:trPr>
          <w:trHeight w:val="300"/>
        </w:trPr>
        <w:tc>
          <w:tcPr>
            <w:tcW w:w="895" w:type="dxa"/>
          </w:tcPr>
          <w:p w14:paraId="69B60208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55D96100"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>Presti et al.</w:t>
            </w:r>
            <w:r>
              <w:rPr>
                <w:rFonts w:eastAsia="Times New Roman" w:cs="Times New Roman"/>
                <w:sz w:val="20"/>
                <w:szCs w:val="20"/>
                <w:vertAlign w:val="superscript"/>
              </w:rPr>
              <w:t>33</w:t>
            </w:r>
          </w:p>
        </w:tc>
        <w:tc>
          <w:tcPr>
            <w:tcW w:w="912" w:type="dxa"/>
          </w:tcPr>
          <w:p w14:paraId="0678CF4A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55D96100">
              <w:rPr>
                <w:rFonts w:eastAsia="Times New Roman" w:cs="Times New Roman"/>
                <w:sz w:val="20"/>
                <w:szCs w:val="20"/>
              </w:rPr>
              <w:t>USA</w:t>
            </w:r>
          </w:p>
        </w:tc>
        <w:tc>
          <w:tcPr>
            <w:tcW w:w="709" w:type="dxa"/>
          </w:tcPr>
          <w:p w14:paraId="63B51050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55D96100">
              <w:rPr>
                <w:rFonts w:eastAsia="Times New Roman" w:cs="Times New Roman"/>
                <w:sz w:val="20"/>
                <w:szCs w:val="20"/>
              </w:rPr>
              <w:t>100</w:t>
            </w:r>
          </w:p>
        </w:tc>
        <w:tc>
          <w:tcPr>
            <w:tcW w:w="709" w:type="dxa"/>
          </w:tcPr>
          <w:p w14:paraId="343FC360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55D96100">
              <w:rPr>
                <w:rFonts w:eastAsia="Times New Roman" w:cs="Times New Roman"/>
                <w:sz w:val="20"/>
                <w:szCs w:val="20"/>
              </w:rPr>
              <w:t>19</w:t>
            </w:r>
          </w:p>
        </w:tc>
        <w:tc>
          <w:tcPr>
            <w:tcW w:w="548" w:type="dxa"/>
          </w:tcPr>
          <w:p w14:paraId="0D370C73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55D96100">
              <w:rPr>
                <w:rFonts w:eastAsia="Times New Roman" w:cs="Times New Roman"/>
                <w:sz w:val="20"/>
                <w:szCs w:val="20"/>
              </w:rPr>
              <w:t>16 (84)</w:t>
            </w:r>
          </w:p>
        </w:tc>
        <w:tc>
          <w:tcPr>
            <w:tcW w:w="1104" w:type="dxa"/>
          </w:tcPr>
          <w:p w14:paraId="13E551B3" w14:textId="77777777" w:rsidR="0005575D" w:rsidRDefault="0005575D" w:rsidP="00676D57">
            <w:pPr>
              <w:rPr>
                <w:rFonts w:eastAsia="Times New Roman" w:cs="Times New Roman"/>
                <w:color w:val="000000" w:themeColor="text1"/>
                <w:sz w:val="20"/>
                <w:szCs w:val="20"/>
              </w:rPr>
            </w:pPr>
            <w:r w:rsidRPr="55D96100"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>82±7</w:t>
            </w:r>
          </w:p>
        </w:tc>
        <w:tc>
          <w:tcPr>
            <w:tcW w:w="784" w:type="dxa"/>
          </w:tcPr>
          <w:p w14:paraId="5F7C0329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55D96100">
              <w:rPr>
                <w:rFonts w:eastAsia="Times New Roman" w:cs="Times New Roman"/>
                <w:sz w:val="20"/>
                <w:szCs w:val="20"/>
              </w:rPr>
              <w:t>N/A</w:t>
            </w:r>
          </w:p>
        </w:tc>
        <w:tc>
          <w:tcPr>
            <w:tcW w:w="1121" w:type="dxa"/>
          </w:tcPr>
          <w:p w14:paraId="33923282" w14:textId="77777777" w:rsidR="0005575D" w:rsidRDefault="0005575D" w:rsidP="00676D57">
            <w:pPr>
              <w:rPr>
                <w:rFonts w:eastAsia="Times New Roman" w:cs="Times New Roman"/>
                <w:color w:val="000000" w:themeColor="text1"/>
                <w:sz w:val="20"/>
                <w:szCs w:val="20"/>
              </w:rPr>
            </w:pPr>
            <w:r w:rsidRPr="55D96100"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>59±9</w:t>
            </w:r>
          </w:p>
        </w:tc>
        <w:tc>
          <w:tcPr>
            <w:tcW w:w="1104" w:type="dxa"/>
          </w:tcPr>
          <w:p w14:paraId="0AA86D50" w14:textId="77777777" w:rsidR="0005575D" w:rsidRDefault="0005575D" w:rsidP="00676D57">
            <w:pPr>
              <w:rPr>
                <w:rFonts w:eastAsia="Times New Roman" w:cs="Times New Roman"/>
                <w:color w:val="000000" w:themeColor="text1"/>
                <w:sz w:val="20"/>
                <w:szCs w:val="20"/>
              </w:rPr>
            </w:pPr>
            <w:r w:rsidRPr="55D96100"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>16 (14–20)</w:t>
            </w:r>
          </w:p>
        </w:tc>
        <w:tc>
          <w:tcPr>
            <w:tcW w:w="709" w:type="dxa"/>
          </w:tcPr>
          <w:p w14:paraId="7A763F7F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55D96100">
              <w:rPr>
                <w:rFonts w:eastAsia="Times New Roman" w:cs="Times New Roman"/>
                <w:sz w:val="20"/>
                <w:szCs w:val="20"/>
              </w:rPr>
              <w:t>N/A</w:t>
            </w:r>
          </w:p>
        </w:tc>
        <w:tc>
          <w:tcPr>
            <w:tcW w:w="913" w:type="dxa"/>
          </w:tcPr>
          <w:p w14:paraId="256ED623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55D96100">
              <w:rPr>
                <w:rFonts w:eastAsia="Times New Roman" w:cs="Times New Roman"/>
                <w:sz w:val="20"/>
                <w:szCs w:val="20"/>
              </w:rPr>
              <w:t>HFpEF 19 (100)</w:t>
            </w:r>
          </w:p>
        </w:tc>
        <w:tc>
          <w:tcPr>
            <w:tcW w:w="1041" w:type="dxa"/>
          </w:tcPr>
          <w:p w14:paraId="2819BEE1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55D96100">
              <w:rPr>
                <w:rFonts w:eastAsia="Times New Roman" w:cs="Times New Roman"/>
                <w:sz w:val="20"/>
                <w:szCs w:val="20"/>
              </w:rPr>
              <w:t>ATTRwt (19)</w:t>
            </w:r>
          </w:p>
        </w:tc>
      </w:tr>
      <w:tr w:rsidR="0005575D" w14:paraId="43AB2C97" w14:textId="77777777" w:rsidTr="00676D57">
        <w:trPr>
          <w:trHeight w:val="300"/>
        </w:trPr>
        <w:tc>
          <w:tcPr>
            <w:tcW w:w="895" w:type="dxa"/>
          </w:tcPr>
          <w:p w14:paraId="208C22EB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55D96100">
              <w:rPr>
                <w:rFonts w:eastAsia="Times New Roman" w:cs="Times New Roman"/>
                <w:color w:val="000000" w:themeColor="text1"/>
                <w:sz w:val="20"/>
                <w:szCs w:val="20"/>
              </w:rPr>
              <w:lastRenderedPageBreak/>
              <w:t>Madhani et al.</w:t>
            </w:r>
            <w:r>
              <w:rPr>
                <w:rFonts w:eastAsia="Times New Roman" w:cs="Times New Roman"/>
                <w:sz w:val="20"/>
                <w:szCs w:val="20"/>
                <w:vertAlign w:val="superscript"/>
              </w:rPr>
              <w:t>34</w:t>
            </w:r>
          </w:p>
        </w:tc>
        <w:tc>
          <w:tcPr>
            <w:tcW w:w="912" w:type="dxa"/>
          </w:tcPr>
          <w:p w14:paraId="3B245C60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55D96100">
              <w:rPr>
                <w:rFonts w:eastAsia="Times New Roman" w:cs="Times New Roman"/>
                <w:sz w:val="20"/>
                <w:szCs w:val="20"/>
              </w:rPr>
              <w:t>USA</w:t>
            </w:r>
          </w:p>
        </w:tc>
        <w:tc>
          <w:tcPr>
            <w:tcW w:w="709" w:type="dxa"/>
          </w:tcPr>
          <w:p w14:paraId="7CF8A1E4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55D96100">
              <w:rPr>
                <w:rFonts w:eastAsia="Times New Roman" w:cs="Times New Roman"/>
                <w:sz w:val="20"/>
                <w:szCs w:val="20"/>
              </w:rPr>
              <w:t>278</w:t>
            </w:r>
          </w:p>
        </w:tc>
        <w:tc>
          <w:tcPr>
            <w:tcW w:w="709" w:type="dxa"/>
          </w:tcPr>
          <w:p w14:paraId="6967B1EB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55D96100">
              <w:rPr>
                <w:rFonts w:eastAsia="Times New Roman" w:cs="Times New Roman"/>
                <w:sz w:val="20"/>
                <w:szCs w:val="20"/>
              </w:rPr>
              <w:t>19</w:t>
            </w:r>
          </w:p>
        </w:tc>
        <w:tc>
          <w:tcPr>
            <w:tcW w:w="548" w:type="dxa"/>
          </w:tcPr>
          <w:p w14:paraId="4A217B95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55D96100">
              <w:rPr>
                <w:rFonts w:eastAsia="Times New Roman" w:cs="Times New Roman"/>
                <w:sz w:val="20"/>
                <w:szCs w:val="20"/>
              </w:rPr>
              <w:t>13 (68)</w:t>
            </w:r>
          </w:p>
        </w:tc>
        <w:tc>
          <w:tcPr>
            <w:tcW w:w="1104" w:type="dxa"/>
          </w:tcPr>
          <w:p w14:paraId="018EDC99" w14:textId="77777777" w:rsidR="0005575D" w:rsidRDefault="0005575D" w:rsidP="00676D57">
            <w:pPr>
              <w:rPr>
                <w:rFonts w:eastAsia="Times New Roman" w:cs="Times New Roman"/>
                <w:color w:val="000000" w:themeColor="text1"/>
                <w:sz w:val="20"/>
                <w:szCs w:val="20"/>
              </w:rPr>
            </w:pPr>
            <w:r w:rsidRPr="55D96100"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>82 (77-86)</w:t>
            </w:r>
          </w:p>
        </w:tc>
        <w:tc>
          <w:tcPr>
            <w:tcW w:w="784" w:type="dxa"/>
          </w:tcPr>
          <w:p w14:paraId="60B18869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55D96100">
              <w:rPr>
                <w:rFonts w:eastAsia="Times New Roman" w:cs="Times New Roman"/>
                <w:sz w:val="20"/>
                <w:szCs w:val="20"/>
              </w:rPr>
              <w:t>Black (19)</w:t>
            </w:r>
          </w:p>
        </w:tc>
        <w:tc>
          <w:tcPr>
            <w:tcW w:w="1121" w:type="dxa"/>
          </w:tcPr>
          <w:p w14:paraId="15CB1225" w14:textId="77777777" w:rsidR="0005575D" w:rsidRDefault="0005575D" w:rsidP="00676D57">
            <w:pPr>
              <w:rPr>
                <w:rFonts w:eastAsia="Times New Roman" w:cs="Times New Roman"/>
                <w:color w:val="000000" w:themeColor="text1"/>
                <w:sz w:val="20"/>
                <w:szCs w:val="20"/>
              </w:rPr>
            </w:pPr>
            <w:r w:rsidRPr="55D96100"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>53 (48-63)</w:t>
            </w:r>
          </w:p>
        </w:tc>
        <w:tc>
          <w:tcPr>
            <w:tcW w:w="1104" w:type="dxa"/>
          </w:tcPr>
          <w:p w14:paraId="2A83C6E5" w14:textId="77777777" w:rsidR="0005575D" w:rsidRDefault="0005575D" w:rsidP="00676D57">
            <w:pPr>
              <w:rPr>
                <w:rFonts w:eastAsia="Times New Roman" w:cs="Times New Roman"/>
                <w:color w:val="000000" w:themeColor="text1"/>
                <w:sz w:val="20"/>
                <w:szCs w:val="20"/>
              </w:rPr>
            </w:pPr>
            <w:r w:rsidRPr="55D96100"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>15 (13-17)</w:t>
            </w:r>
          </w:p>
        </w:tc>
        <w:tc>
          <w:tcPr>
            <w:tcW w:w="709" w:type="dxa"/>
          </w:tcPr>
          <w:p w14:paraId="1C72148A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55D96100">
              <w:rPr>
                <w:rFonts w:eastAsia="Times New Roman" w:cs="Times New Roman"/>
                <w:sz w:val="20"/>
                <w:szCs w:val="20"/>
              </w:rPr>
              <w:t>N/A</w:t>
            </w:r>
          </w:p>
        </w:tc>
        <w:tc>
          <w:tcPr>
            <w:tcW w:w="913" w:type="dxa"/>
          </w:tcPr>
          <w:p w14:paraId="5F8AA156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55D96100">
              <w:rPr>
                <w:rFonts w:eastAsia="Times New Roman" w:cs="Times New Roman"/>
                <w:sz w:val="20"/>
                <w:szCs w:val="20"/>
              </w:rPr>
              <w:t>N/A</w:t>
            </w:r>
          </w:p>
        </w:tc>
        <w:tc>
          <w:tcPr>
            <w:tcW w:w="1041" w:type="dxa"/>
          </w:tcPr>
          <w:p w14:paraId="645C4AB7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55D96100">
              <w:rPr>
                <w:rFonts w:eastAsia="Times New Roman" w:cs="Times New Roman"/>
                <w:sz w:val="20"/>
                <w:szCs w:val="20"/>
              </w:rPr>
              <w:t>ATTRwt (12),</w:t>
            </w:r>
            <w:r>
              <w:br/>
            </w:r>
            <w:r w:rsidRPr="55D96100">
              <w:rPr>
                <w:rFonts w:eastAsia="Times New Roman" w:cs="Times New Roman"/>
                <w:sz w:val="20"/>
                <w:szCs w:val="20"/>
              </w:rPr>
              <w:t>ATTRv (7)</w:t>
            </w:r>
          </w:p>
        </w:tc>
      </w:tr>
      <w:tr w:rsidR="0005575D" w14:paraId="2BAEFDB0" w14:textId="77777777" w:rsidTr="00676D57">
        <w:trPr>
          <w:trHeight w:val="300"/>
        </w:trPr>
        <w:tc>
          <w:tcPr>
            <w:tcW w:w="895" w:type="dxa"/>
          </w:tcPr>
          <w:p w14:paraId="18DA7C18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55D96100"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>Naito et al.</w:t>
            </w:r>
            <w:r>
              <w:rPr>
                <w:rFonts w:eastAsia="Times New Roman" w:cs="Times New Roman"/>
                <w:sz w:val="20"/>
                <w:szCs w:val="20"/>
                <w:vertAlign w:val="superscript"/>
              </w:rPr>
              <w:t>35</w:t>
            </w:r>
          </w:p>
        </w:tc>
        <w:tc>
          <w:tcPr>
            <w:tcW w:w="912" w:type="dxa"/>
          </w:tcPr>
          <w:p w14:paraId="10D75307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55D96100">
              <w:rPr>
                <w:rFonts w:eastAsia="Times New Roman" w:cs="Times New Roman"/>
                <w:sz w:val="20"/>
                <w:szCs w:val="20"/>
              </w:rPr>
              <w:t>Japan</w:t>
            </w:r>
          </w:p>
        </w:tc>
        <w:tc>
          <w:tcPr>
            <w:tcW w:w="709" w:type="dxa"/>
          </w:tcPr>
          <w:p w14:paraId="2F98F0C3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55D96100">
              <w:rPr>
                <w:rFonts w:eastAsia="Times New Roman" w:cs="Times New Roman"/>
                <w:sz w:val="20"/>
                <w:szCs w:val="20"/>
              </w:rPr>
              <w:t>373</w:t>
            </w:r>
          </w:p>
        </w:tc>
        <w:tc>
          <w:tcPr>
            <w:tcW w:w="709" w:type="dxa"/>
          </w:tcPr>
          <w:p w14:paraId="19592BAE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55D96100">
              <w:rPr>
                <w:rFonts w:eastAsia="Times New Roman" w:cs="Times New Roman"/>
                <w:sz w:val="20"/>
                <w:szCs w:val="20"/>
              </w:rPr>
              <w:t>53</w:t>
            </w:r>
          </w:p>
        </w:tc>
        <w:tc>
          <w:tcPr>
            <w:tcW w:w="548" w:type="dxa"/>
          </w:tcPr>
          <w:p w14:paraId="0CED6697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55D96100">
              <w:rPr>
                <w:rFonts w:eastAsia="Times New Roman" w:cs="Times New Roman"/>
                <w:sz w:val="20"/>
                <w:szCs w:val="20"/>
              </w:rPr>
              <w:t>39 (74)</w:t>
            </w:r>
          </w:p>
        </w:tc>
        <w:tc>
          <w:tcPr>
            <w:tcW w:w="1104" w:type="dxa"/>
          </w:tcPr>
          <w:p w14:paraId="0A856110" w14:textId="77777777" w:rsidR="0005575D" w:rsidRDefault="0005575D" w:rsidP="00676D57">
            <w:pPr>
              <w:rPr>
                <w:rFonts w:eastAsia="Times New Roman" w:cs="Times New Roman"/>
                <w:color w:val="000000" w:themeColor="text1"/>
                <w:sz w:val="20"/>
                <w:szCs w:val="20"/>
              </w:rPr>
            </w:pPr>
            <w:r w:rsidRPr="55D96100"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>80±6</w:t>
            </w:r>
          </w:p>
        </w:tc>
        <w:tc>
          <w:tcPr>
            <w:tcW w:w="784" w:type="dxa"/>
          </w:tcPr>
          <w:p w14:paraId="39E94AC0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55D96100">
              <w:rPr>
                <w:rFonts w:eastAsia="Times New Roman" w:cs="Times New Roman"/>
                <w:sz w:val="20"/>
                <w:szCs w:val="20"/>
              </w:rPr>
              <w:t>N/A</w:t>
            </w:r>
          </w:p>
        </w:tc>
        <w:tc>
          <w:tcPr>
            <w:tcW w:w="1121" w:type="dxa"/>
          </w:tcPr>
          <w:p w14:paraId="45E57A79" w14:textId="77777777" w:rsidR="0005575D" w:rsidRDefault="0005575D" w:rsidP="00676D57">
            <w:pPr>
              <w:rPr>
                <w:rFonts w:eastAsia="Times New Roman" w:cs="Times New Roman"/>
                <w:color w:val="000000" w:themeColor="text1"/>
                <w:sz w:val="20"/>
                <w:szCs w:val="20"/>
              </w:rPr>
            </w:pPr>
            <w:r w:rsidRPr="55D96100"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>69.6±5.4</w:t>
            </w:r>
          </w:p>
        </w:tc>
        <w:tc>
          <w:tcPr>
            <w:tcW w:w="1104" w:type="dxa"/>
          </w:tcPr>
          <w:p w14:paraId="0F983BD1" w14:textId="77777777" w:rsidR="0005575D" w:rsidRDefault="0005575D" w:rsidP="00676D57">
            <w:pPr>
              <w:rPr>
                <w:rFonts w:eastAsia="Times New Roman" w:cs="Times New Roman"/>
                <w:color w:val="000000" w:themeColor="text1"/>
                <w:sz w:val="20"/>
                <w:szCs w:val="20"/>
              </w:rPr>
            </w:pPr>
            <w:r w:rsidRPr="55D96100"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>13 (11–14)</w:t>
            </w:r>
          </w:p>
        </w:tc>
        <w:tc>
          <w:tcPr>
            <w:tcW w:w="709" w:type="dxa"/>
          </w:tcPr>
          <w:p w14:paraId="5E3B7BD1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55D96100">
              <w:rPr>
                <w:rFonts w:eastAsia="Times New Roman" w:cs="Times New Roman"/>
                <w:sz w:val="20"/>
                <w:szCs w:val="20"/>
              </w:rPr>
              <w:t>N/A</w:t>
            </w:r>
          </w:p>
        </w:tc>
        <w:tc>
          <w:tcPr>
            <w:tcW w:w="913" w:type="dxa"/>
          </w:tcPr>
          <w:p w14:paraId="2B09F84A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55D96100">
              <w:rPr>
                <w:rFonts w:eastAsia="Times New Roman" w:cs="Times New Roman"/>
                <w:sz w:val="20"/>
                <w:szCs w:val="20"/>
              </w:rPr>
              <w:t>HFpEF 53 (100)</w:t>
            </w:r>
          </w:p>
        </w:tc>
        <w:tc>
          <w:tcPr>
            <w:tcW w:w="1041" w:type="dxa"/>
          </w:tcPr>
          <w:p w14:paraId="3886EFEC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55D96100">
              <w:rPr>
                <w:rFonts w:eastAsia="Times New Roman" w:cs="Times New Roman"/>
                <w:sz w:val="20"/>
                <w:szCs w:val="20"/>
              </w:rPr>
              <w:t>N/A</w:t>
            </w:r>
          </w:p>
        </w:tc>
      </w:tr>
      <w:tr w:rsidR="0005575D" w14:paraId="723AE7EF" w14:textId="77777777" w:rsidTr="00676D57">
        <w:trPr>
          <w:trHeight w:val="300"/>
        </w:trPr>
        <w:tc>
          <w:tcPr>
            <w:tcW w:w="895" w:type="dxa"/>
          </w:tcPr>
          <w:p w14:paraId="73471151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55D96100"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>Ruberg et al.</w:t>
            </w:r>
            <w:r>
              <w:rPr>
                <w:rFonts w:eastAsia="Times New Roman" w:cs="Times New Roman"/>
                <w:sz w:val="20"/>
                <w:szCs w:val="20"/>
                <w:vertAlign w:val="superscript"/>
              </w:rPr>
              <w:t>36</w:t>
            </w:r>
          </w:p>
        </w:tc>
        <w:tc>
          <w:tcPr>
            <w:tcW w:w="912" w:type="dxa"/>
          </w:tcPr>
          <w:p w14:paraId="08703C1A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55D96100">
              <w:rPr>
                <w:rFonts w:eastAsia="Times New Roman" w:cs="Times New Roman"/>
                <w:sz w:val="20"/>
                <w:szCs w:val="20"/>
              </w:rPr>
              <w:t>USA</w:t>
            </w:r>
          </w:p>
        </w:tc>
        <w:tc>
          <w:tcPr>
            <w:tcW w:w="709" w:type="dxa"/>
          </w:tcPr>
          <w:p w14:paraId="54BE65AB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55D96100">
              <w:rPr>
                <w:rFonts w:eastAsia="Times New Roman" w:cs="Times New Roman"/>
                <w:sz w:val="20"/>
                <w:szCs w:val="20"/>
              </w:rPr>
              <w:t>646</w:t>
            </w:r>
          </w:p>
        </w:tc>
        <w:tc>
          <w:tcPr>
            <w:tcW w:w="709" w:type="dxa"/>
          </w:tcPr>
          <w:p w14:paraId="274F421D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55D96100">
              <w:rPr>
                <w:rFonts w:eastAsia="Times New Roman" w:cs="Times New Roman"/>
                <w:sz w:val="20"/>
                <w:szCs w:val="20"/>
              </w:rPr>
              <w:t>43</w:t>
            </w:r>
          </w:p>
        </w:tc>
        <w:tc>
          <w:tcPr>
            <w:tcW w:w="548" w:type="dxa"/>
          </w:tcPr>
          <w:p w14:paraId="26A82914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55D96100">
              <w:rPr>
                <w:rFonts w:eastAsia="Times New Roman" w:cs="Times New Roman"/>
                <w:sz w:val="20"/>
                <w:szCs w:val="20"/>
              </w:rPr>
              <w:t>26 (60)</w:t>
            </w:r>
          </w:p>
        </w:tc>
        <w:tc>
          <w:tcPr>
            <w:tcW w:w="1104" w:type="dxa"/>
          </w:tcPr>
          <w:p w14:paraId="1C3CB63D" w14:textId="77777777" w:rsidR="0005575D" w:rsidRDefault="0005575D" w:rsidP="00676D57">
            <w:pPr>
              <w:rPr>
                <w:rFonts w:eastAsia="Times New Roman" w:cs="Times New Roman"/>
                <w:color w:val="000000" w:themeColor="text1"/>
                <w:sz w:val="20"/>
                <w:szCs w:val="20"/>
              </w:rPr>
            </w:pPr>
            <w:r w:rsidRPr="55D96100"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>80 (75-86)</w:t>
            </w:r>
          </w:p>
        </w:tc>
        <w:tc>
          <w:tcPr>
            <w:tcW w:w="784" w:type="dxa"/>
          </w:tcPr>
          <w:p w14:paraId="6028110F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55D96100">
              <w:rPr>
                <w:rFonts w:eastAsia="Times New Roman" w:cs="Times New Roman"/>
                <w:sz w:val="20"/>
                <w:szCs w:val="20"/>
              </w:rPr>
              <w:t>Black (43)</w:t>
            </w:r>
          </w:p>
        </w:tc>
        <w:tc>
          <w:tcPr>
            <w:tcW w:w="1121" w:type="dxa"/>
          </w:tcPr>
          <w:p w14:paraId="7C23508D" w14:textId="77777777" w:rsidR="0005575D" w:rsidRDefault="0005575D" w:rsidP="00676D57">
            <w:pPr>
              <w:rPr>
                <w:rFonts w:eastAsia="Times New Roman" w:cs="Times New Roman"/>
                <w:color w:val="000000" w:themeColor="text1"/>
                <w:sz w:val="20"/>
                <w:szCs w:val="20"/>
              </w:rPr>
            </w:pPr>
            <w:r w:rsidRPr="55D96100"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>60 (50-65)</w:t>
            </w:r>
          </w:p>
        </w:tc>
        <w:tc>
          <w:tcPr>
            <w:tcW w:w="1104" w:type="dxa"/>
          </w:tcPr>
          <w:p w14:paraId="71D624D6" w14:textId="77777777" w:rsidR="0005575D" w:rsidRDefault="0005575D" w:rsidP="00676D57">
            <w:pPr>
              <w:rPr>
                <w:rFonts w:eastAsia="Times New Roman" w:cs="Times New Roman"/>
                <w:color w:val="000000" w:themeColor="text1"/>
                <w:sz w:val="20"/>
                <w:szCs w:val="20"/>
              </w:rPr>
            </w:pPr>
            <w:r w:rsidRPr="55D96100"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>13 (12-14)</w:t>
            </w:r>
          </w:p>
        </w:tc>
        <w:tc>
          <w:tcPr>
            <w:tcW w:w="709" w:type="dxa"/>
          </w:tcPr>
          <w:p w14:paraId="3F500A12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55D96100">
              <w:rPr>
                <w:rFonts w:eastAsia="Times New Roman" w:cs="Times New Roman"/>
                <w:sz w:val="20"/>
                <w:szCs w:val="20"/>
              </w:rPr>
              <w:t>12</w:t>
            </w:r>
          </w:p>
        </w:tc>
        <w:tc>
          <w:tcPr>
            <w:tcW w:w="913" w:type="dxa"/>
          </w:tcPr>
          <w:p w14:paraId="7C9F36C4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55D96100">
              <w:rPr>
                <w:rFonts w:eastAsia="Times New Roman" w:cs="Times New Roman"/>
                <w:sz w:val="20"/>
                <w:szCs w:val="20"/>
              </w:rPr>
              <w:t>HFpEF 29 (67),</w:t>
            </w:r>
            <w:r>
              <w:br/>
            </w:r>
            <w:r w:rsidRPr="55D96100">
              <w:rPr>
                <w:rFonts w:eastAsia="Times New Roman" w:cs="Times New Roman"/>
                <w:sz w:val="20"/>
                <w:szCs w:val="20"/>
              </w:rPr>
              <w:t>Unspecified 14 (33)</w:t>
            </w:r>
          </w:p>
        </w:tc>
        <w:tc>
          <w:tcPr>
            <w:tcW w:w="1041" w:type="dxa"/>
          </w:tcPr>
          <w:p w14:paraId="0305026E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55D96100">
              <w:rPr>
                <w:rFonts w:eastAsia="Times New Roman" w:cs="Times New Roman"/>
                <w:sz w:val="20"/>
                <w:szCs w:val="20"/>
              </w:rPr>
              <w:t>ATTRwt (24),</w:t>
            </w:r>
            <w:r>
              <w:br/>
            </w:r>
            <w:r w:rsidRPr="55D96100">
              <w:rPr>
                <w:rFonts w:eastAsia="Times New Roman" w:cs="Times New Roman"/>
                <w:sz w:val="20"/>
                <w:szCs w:val="20"/>
              </w:rPr>
              <w:t>ATTRv (19)</w:t>
            </w:r>
          </w:p>
        </w:tc>
      </w:tr>
      <w:tr w:rsidR="0005575D" w14:paraId="41EEC064" w14:textId="77777777" w:rsidTr="00676D57">
        <w:trPr>
          <w:trHeight w:val="300"/>
        </w:trPr>
        <w:tc>
          <w:tcPr>
            <w:tcW w:w="895" w:type="dxa"/>
          </w:tcPr>
          <w:p w14:paraId="58E0C1F2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55D96100"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>Dungu et al.</w:t>
            </w:r>
            <w:r>
              <w:rPr>
                <w:rFonts w:eastAsia="Times New Roman" w:cs="Times New Roman"/>
                <w:sz w:val="20"/>
                <w:szCs w:val="20"/>
                <w:vertAlign w:val="superscript"/>
              </w:rPr>
              <w:t>37</w:t>
            </w:r>
          </w:p>
        </w:tc>
        <w:tc>
          <w:tcPr>
            <w:tcW w:w="912" w:type="dxa"/>
          </w:tcPr>
          <w:p w14:paraId="417D5714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55D96100">
              <w:rPr>
                <w:rFonts w:eastAsia="Times New Roman" w:cs="Times New Roman"/>
                <w:sz w:val="20"/>
                <w:szCs w:val="20"/>
              </w:rPr>
              <w:t>UK</w:t>
            </w:r>
          </w:p>
        </w:tc>
        <w:tc>
          <w:tcPr>
            <w:tcW w:w="709" w:type="dxa"/>
          </w:tcPr>
          <w:p w14:paraId="00825EE7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55D96100">
              <w:rPr>
                <w:rFonts w:eastAsia="Times New Roman" w:cs="Times New Roman"/>
                <w:sz w:val="20"/>
                <w:szCs w:val="20"/>
              </w:rPr>
              <w:t>1392</w:t>
            </w:r>
          </w:p>
        </w:tc>
        <w:tc>
          <w:tcPr>
            <w:tcW w:w="709" w:type="dxa"/>
          </w:tcPr>
          <w:p w14:paraId="247F8615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55D96100">
              <w:rPr>
                <w:rFonts w:eastAsia="Times New Roman" w:cs="Times New Roman"/>
                <w:sz w:val="20"/>
                <w:szCs w:val="20"/>
              </w:rPr>
              <w:t>40</w:t>
            </w:r>
          </w:p>
        </w:tc>
        <w:tc>
          <w:tcPr>
            <w:tcW w:w="548" w:type="dxa"/>
          </w:tcPr>
          <w:p w14:paraId="4B479604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55D96100">
              <w:rPr>
                <w:rFonts w:eastAsia="Times New Roman" w:cs="Times New Roman"/>
                <w:sz w:val="20"/>
                <w:szCs w:val="20"/>
              </w:rPr>
              <w:t>N/A</w:t>
            </w:r>
          </w:p>
        </w:tc>
        <w:tc>
          <w:tcPr>
            <w:tcW w:w="1104" w:type="dxa"/>
          </w:tcPr>
          <w:p w14:paraId="1452FA40" w14:textId="77777777" w:rsidR="0005575D" w:rsidRDefault="0005575D" w:rsidP="00676D57">
            <w:pPr>
              <w:rPr>
                <w:rFonts w:eastAsia="Times New Roman" w:cs="Times New Roman"/>
                <w:color w:val="000000" w:themeColor="text1"/>
                <w:sz w:val="20"/>
                <w:szCs w:val="20"/>
              </w:rPr>
            </w:pPr>
            <w:r w:rsidRPr="55D96100"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784" w:type="dxa"/>
          </w:tcPr>
          <w:p w14:paraId="4E571C80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55D96100">
              <w:rPr>
                <w:rFonts w:eastAsia="Times New Roman" w:cs="Times New Roman"/>
                <w:sz w:val="20"/>
                <w:szCs w:val="20"/>
              </w:rPr>
              <w:t>White (16),</w:t>
            </w:r>
            <w:r>
              <w:br/>
            </w:r>
            <w:r w:rsidRPr="55D96100">
              <w:rPr>
                <w:rFonts w:eastAsia="Times New Roman" w:cs="Times New Roman"/>
                <w:sz w:val="20"/>
                <w:szCs w:val="20"/>
              </w:rPr>
              <w:t>Black (24)</w:t>
            </w:r>
          </w:p>
        </w:tc>
        <w:tc>
          <w:tcPr>
            <w:tcW w:w="1121" w:type="dxa"/>
          </w:tcPr>
          <w:p w14:paraId="7EED3DA0" w14:textId="77777777" w:rsidR="0005575D" w:rsidRDefault="0005575D" w:rsidP="00676D57">
            <w:pPr>
              <w:rPr>
                <w:rFonts w:eastAsia="Times New Roman" w:cs="Times New Roman"/>
                <w:color w:val="000000" w:themeColor="text1"/>
                <w:sz w:val="20"/>
                <w:szCs w:val="20"/>
              </w:rPr>
            </w:pPr>
            <w:r w:rsidRPr="55D96100"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1104" w:type="dxa"/>
          </w:tcPr>
          <w:p w14:paraId="6E622F3D" w14:textId="77777777" w:rsidR="0005575D" w:rsidRDefault="0005575D" w:rsidP="00676D57">
            <w:pPr>
              <w:rPr>
                <w:rFonts w:eastAsia="Times New Roman" w:cs="Times New Roman"/>
                <w:color w:val="000000" w:themeColor="text1"/>
                <w:sz w:val="20"/>
                <w:szCs w:val="20"/>
              </w:rPr>
            </w:pPr>
            <w:r w:rsidRPr="55D96100"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709" w:type="dxa"/>
          </w:tcPr>
          <w:p w14:paraId="47BB2AC6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55D96100">
              <w:rPr>
                <w:rFonts w:eastAsia="Times New Roman" w:cs="Times New Roman"/>
                <w:sz w:val="20"/>
                <w:szCs w:val="20"/>
              </w:rPr>
              <w:t>N/A</w:t>
            </w:r>
          </w:p>
        </w:tc>
        <w:tc>
          <w:tcPr>
            <w:tcW w:w="913" w:type="dxa"/>
          </w:tcPr>
          <w:p w14:paraId="7264D242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55D96100">
              <w:rPr>
                <w:rFonts w:eastAsia="Times New Roman" w:cs="Times New Roman"/>
                <w:sz w:val="20"/>
                <w:szCs w:val="20"/>
              </w:rPr>
              <w:t>N/A</w:t>
            </w:r>
          </w:p>
        </w:tc>
        <w:tc>
          <w:tcPr>
            <w:tcW w:w="1041" w:type="dxa"/>
          </w:tcPr>
          <w:p w14:paraId="20E31023" w14:textId="77777777" w:rsidR="0005575D" w:rsidRDefault="0005575D" w:rsidP="00676D57">
            <w:pPr>
              <w:rPr>
                <w:rFonts w:eastAsia="Times New Roman" w:cs="Times New Roman"/>
                <w:sz w:val="20"/>
                <w:szCs w:val="20"/>
              </w:rPr>
            </w:pPr>
            <w:r w:rsidRPr="55D96100">
              <w:rPr>
                <w:rFonts w:eastAsia="Times New Roman" w:cs="Times New Roman"/>
                <w:sz w:val="20"/>
                <w:szCs w:val="20"/>
              </w:rPr>
              <w:t>ATTRv (21),</w:t>
            </w:r>
            <w:r>
              <w:br/>
            </w:r>
            <w:r w:rsidRPr="55D96100">
              <w:rPr>
                <w:rFonts w:eastAsia="Times New Roman" w:cs="Times New Roman"/>
                <w:sz w:val="20"/>
                <w:szCs w:val="20"/>
              </w:rPr>
              <w:t>Unspecified (19)</w:t>
            </w:r>
          </w:p>
        </w:tc>
      </w:tr>
    </w:tbl>
    <w:p w14:paraId="7F57A693" w14:textId="77777777" w:rsidR="0005575D" w:rsidRPr="00312394" w:rsidRDefault="0005575D" w:rsidP="0005575D">
      <w:pPr>
        <w:rPr>
          <w:rFonts w:cs="Times New Roman"/>
        </w:rPr>
      </w:pPr>
    </w:p>
    <w:p w14:paraId="4AB58A05" w14:textId="77777777" w:rsidR="00E023F9" w:rsidRDefault="00E023F9"/>
    <w:sectPr w:rsidR="00E023F9" w:rsidSect="0005575D">
      <w:footerReference w:type="default" r:id="rId5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764226316"/>
    </w:sdtPr>
    <w:sdtContent>
      <w:p w14:paraId="609E44F8" w14:textId="77777777" w:rsidR="0005575D" w:rsidRDefault="0005575D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32C8C9C4" w14:textId="77777777" w:rsidR="0005575D" w:rsidRDefault="0005575D">
    <w:pPr>
      <w:pStyle w:val="Footer"/>
    </w:pP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C057FF6F"/>
    <w:multiLevelType w:val="singleLevel"/>
    <w:tmpl w:val="C057FF6F"/>
    <w:lvl w:ilvl="0">
      <w:start w:val="1"/>
      <w:numFmt w:val="decimal"/>
      <w:suff w:val="space"/>
      <w:lvlText w:val="%1."/>
      <w:lvlJc w:val="left"/>
    </w:lvl>
  </w:abstractNum>
  <w:abstractNum w:abstractNumId="1" w15:restartNumberingAfterBreak="0">
    <w:nsid w:val="204E09F4"/>
    <w:multiLevelType w:val="hybridMultilevel"/>
    <w:tmpl w:val="FA6454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9424C98"/>
    <w:multiLevelType w:val="multilevel"/>
    <w:tmpl w:val="70D078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679456877">
    <w:abstractNumId w:val="0"/>
  </w:num>
  <w:num w:numId="2" w16cid:durableId="1641499671">
    <w:abstractNumId w:val="2"/>
  </w:num>
  <w:num w:numId="3" w16cid:durableId="137110627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3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575D"/>
    <w:rsid w:val="0005575D"/>
    <w:rsid w:val="000C4033"/>
    <w:rsid w:val="004B42CB"/>
    <w:rsid w:val="005A2B2B"/>
    <w:rsid w:val="006D11ED"/>
    <w:rsid w:val="00B85331"/>
    <w:rsid w:val="00E023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CBCA5D"/>
  <w15:chartTrackingRefBased/>
  <w15:docId w15:val="{F8B930D4-A9B5-4B1D-A9A8-600894F509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5575D"/>
    <w:rPr>
      <w:rFonts w:ascii="Times New Roman" w:eastAsia="Aptos" w:hAnsi="Times New Roman" w:cs="Arial"/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05575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5575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5575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5575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5575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5575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5575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5575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5575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qFormat/>
    <w:rsid w:val="0005575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qFormat/>
    <w:rsid w:val="0005575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qFormat/>
    <w:rsid w:val="0005575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qFormat/>
    <w:rsid w:val="0005575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qFormat/>
    <w:rsid w:val="0005575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qFormat/>
    <w:rsid w:val="0005575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qFormat/>
    <w:rsid w:val="0005575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qFormat/>
    <w:rsid w:val="0005575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qFormat/>
    <w:rsid w:val="0005575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5575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qFormat/>
    <w:rsid w:val="0005575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5575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qFormat/>
    <w:rsid w:val="0005575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5575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qFormat/>
    <w:rsid w:val="0005575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5575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5575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5575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qFormat/>
    <w:rsid w:val="0005575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5575D"/>
    <w:rPr>
      <w:b/>
      <w:bCs/>
      <w:smallCaps/>
      <w:color w:val="0F4761" w:themeColor="accent1" w:themeShade="BF"/>
      <w:spacing w:val="5"/>
    </w:rPr>
  </w:style>
  <w:style w:type="character" w:styleId="CommentReference">
    <w:name w:val="annotation reference"/>
    <w:basedOn w:val="DefaultParagraphFont"/>
    <w:uiPriority w:val="99"/>
    <w:unhideWhenUsed/>
    <w:qFormat/>
    <w:rsid w:val="0005575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qFormat/>
    <w:rsid w:val="0005575D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qFormat/>
    <w:rsid w:val="0005575D"/>
    <w:rPr>
      <w:rFonts w:ascii="Times New Roman" w:eastAsia="Aptos" w:hAnsi="Times New Roman" w:cs="Arial"/>
      <w:sz w:val="20"/>
      <w:szCs w:val="20"/>
      <w:lang w:val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qFormat/>
    <w:rsid w:val="0005575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qFormat/>
    <w:rsid w:val="0005575D"/>
    <w:rPr>
      <w:rFonts w:ascii="Times New Roman" w:eastAsia="Aptos" w:hAnsi="Times New Roman" w:cs="Arial"/>
      <w:b/>
      <w:bCs/>
      <w:sz w:val="20"/>
      <w:szCs w:val="20"/>
      <w:lang w:val="en-US"/>
    </w:rPr>
  </w:style>
  <w:style w:type="paragraph" w:styleId="Footer">
    <w:name w:val="footer"/>
    <w:basedOn w:val="Normal"/>
    <w:link w:val="FooterChar"/>
    <w:uiPriority w:val="99"/>
    <w:unhideWhenUsed/>
    <w:qFormat/>
    <w:rsid w:val="0005575D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qFormat/>
    <w:rsid w:val="0005575D"/>
    <w:rPr>
      <w:rFonts w:ascii="Times New Roman" w:eastAsia="Aptos" w:hAnsi="Times New Roman" w:cs="Arial"/>
      <w:sz w:val="18"/>
      <w:szCs w:val="18"/>
      <w:lang w:val="en-US"/>
    </w:rPr>
  </w:style>
  <w:style w:type="paragraph" w:styleId="Header">
    <w:name w:val="header"/>
    <w:basedOn w:val="Normal"/>
    <w:link w:val="HeaderChar"/>
    <w:uiPriority w:val="99"/>
    <w:unhideWhenUsed/>
    <w:qFormat/>
    <w:rsid w:val="0005575D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05575D"/>
    <w:rPr>
      <w:rFonts w:ascii="Times New Roman" w:eastAsia="Aptos" w:hAnsi="Times New Roman" w:cs="Arial"/>
      <w:sz w:val="18"/>
      <w:szCs w:val="18"/>
      <w:lang w:val="en-US"/>
    </w:rPr>
  </w:style>
  <w:style w:type="character" w:styleId="Hyperlink">
    <w:name w:val="Hyperlink"/>
    <w:basedOn w:val="DefaultParagraphFont"/>
    <w:uiPriority w:val="99"/>
    <w:semiHidden/>
    <w:unhideWhenUsed/>
    <w:rsid w:val="0005575D"/>
    <w:rPr>
      <w:color w:val="0000FF"/>
      <w:u w:val="single"/>
    </w:rPr>
  </w:style>
  <w:style w:type="character" w:customStyle="1" w:styleId="IntenseEmphasis1">
    <w:name w:val="Intense Emphasis1"/>
    <w:basedOn w:val="DefaultParagraphFont"/>
    <w:uiPriority w:val="21"/>
    <w:qFormat/>
    <w:rsid w:val="0005575D"/>
    <w:rPr>
      <w:i/>
      <w:iCs/>
      <w:color w:val="0F4761" w:themeColor="accent1" w:themeShade="BF"/>
    </w:rPr>
  </w:style>
  <w:style w:type="character" w:customStyle="1" w:styleId="IntenseReference1">
    <w:name w:val="Intense Reference1"/>
    <w:basedOn w:val="DefaultParagraphFont"/>
    <w:uiPriority w:val="32"/>
    <w:qFormat/>
    <w:rsid w:val="0005575D"/>
    <w:rPr>
      <w:b/>
      <w:bCs/>
      <w:smallCaps/>
      <w:color w:val="0F4761" w:themeColor="accent1" w:themeShade="BF"/>
      <w:spacing w:val="5"/>
    </w:rPr>
  </w:style>
  <w:style w:type="paragraph" w:customStyle="1" w:styleId="EndNoteBibliographyTitle">
    <w:name w:val="EndNote Bibliography Title"/>
    <w:basedOn w:val="Normal"/>
    <w:link w:val="EndNoteBibliographyTitleChar"/>
    <w:qFormat/>
    <w:rsid w:val="0005575D"/>
    <w:pPr>
      <w:spacing w:after="0"/>
      <w:jc w:val="center"/>
    </w:pPr>
    <w:rPr>
      <w:rFonts w:ascii="Aptos" w:hAnsi="Aptos"/>
    </w:rPr>
  </w:style>
  <w:style w:type="character" w:customStyle="1" w:styleId="EndNoteBibliographyTitleChar">
    <w:name w:val="EndNote Bibliography Title Char"/>
    <w:basedOn w:val="DefaultParagraphFont"/>
    <w:link w:val="EndNoteBibliographyTitle"/>
    <w:qFormat/>
    <w:rsid w:val="0005575D"/>
    <w:rPr>
      <w:rFonts w:ascii="Aptos" w:eastAsia="Aptos" w:hAnsi="Aptos" w:cs="Arial"/>
      <w:lang w:val="en-US"/>
    </w:rPr>
  </w:style>
  <w:style w:type="paragraph" w:customStyle="1" w:styleId="EndNoteBibliography">
    <w:name w:val="EndNote Bibliography"/>
    <w:basedOn w:val="Normal"/>
    <w:link w:val="EndNoteBibliographyChar"/>
    <w:qFormat/>
    <w:rsid w:val="0005575D"/>
    <w:pPr>
      <w:spacing w:line="240" w:lineRule="auto"/>
    </w:pPr>
    <w:rPr>
      <w:rFonts w:ascii="Aptos" w:hAnsi="Aptos"/>
    </w:rPr>
  </w:style>
  <w:style w:type="character" w:customStyle="1" w:styleId="EndNoteBibliographyChar">
    <w:name w:val="EndNote Bibliography Char"/>
    <w:basedOn w:val="DefaultParagraphFont"/>
    <w:link w:val="EndNoteBibliography"/>
    <w:qFormat/>
    <w:rsid w:val="0005575D"/>
    <w:rPr>
      <w:rFonts w:ascii="Aptos" w:eastAsia="Aptos" w:hAnsi="Aptos" w:cs="Arial"/>
      <w:lang w:val="en-US"/>
    </w:rPr>
  </w:style>
  <w:style w:type="paragraph" w:customStyle="1" w:styleId="Revision1">
    <w:name w:val="Revision1"/>
    <w:hidden/>
    <w:uiPriority w:val="99"/>
    <w:unhideWhenUsed/>
    <w:qFormat/>
    <w:rsid w:val="0005575D"/>
    <w:pPr>
      <w:spacing w:after="0" w:line="240" w:lineRule="auto"/>
    </w:pPr>
    <w:rPr>
      <w:lang w:val="en-US"/>
    </w:rPr>
  </w:style>
  <w:style w:type="paragraph" w:styleId="Revision">
    <w:name w:val="Revision"/>
    <w:hidden/>
    <w:uiPriority w:val="99"/>
    <w:unhideWhenUsed/>
    <w:rsid w:val="0005575D"/>
    <w:pPr>
      <w:spacing w:after="0" w:line="240" w:lineRule="auto"/>
    </w:pPr>
    <w:rPr>
      <w:rFonts w:ascii="Times New Roman" w:eastAsia="Aptos" w:hAnsi="Times New Roman" w:cs="Arial"/>
      <w:lang w:val="en-US"/>
    </w:rPr>
  </w:style>
  <w:style w:type="table" w:styleId="TableGrid">
    <w:name w:val="Table Grid"/>
    <w:basedOn w:val="TableNormal"/>
    <w:uiPriority w:val="59"/>
    <w:rsid w:val="0005575D"/>
    <w:pPr>
      <w:spacing w:after="0" w:line="240" w:lineRule="auto"/>
    </w:pPr>
    <w:rPr>
      <w:rFonts w:eastAsiaTheme="minorEastAsia"/>
      <w:kern w:val="0"/>
      <w:sz w:val="22"/>
      <w:szCs w:val="22"/>
      <w:lang w:val="en-U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10</Pages>
  <Words>3067</Words>
  <Characters>17502</Characters>
  <Application>Microsoft Office Word</Application>
  <DocSecurity>0</DocSecurity>
  <Lines>2317</Lines>
  <Paragraphs>671</Paragraphs>
  <ScaleCrop>false</ScaleCrop>
  <Company/>
  <LinksUpToDate>false</LinksUpToDate>
  <CharactersWithSpaces>19882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2</cp:revision>
  <dcterms:created xsi:type="dcterms:W3CDTF">2026-01-23T07:43:00Z</dcterms:created>
  <dcterms:modified xsi:type="dcterms:W3CDTF">2026-01-23T07:44:00Z</dcterms:modified>
</cp:coreProperties>
</file>