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50EC0" w14:textId="77777777" w:rsidR="00FF1669" w:rsidRPr="00A012B7" w:rsidRDefault="00FF1669" w:rsidP="00FF1669">
      <w:pPr>
        <w:spacing w:line="360" w:lineRule="auto"/>
        <w:rPr>
          <w:rFonts w:ascii="Arial" w:hAnsi="Arial" w:cs="Arial"/>
        </w:rPr>
      </w:pPr>
      <w:r w:rsidRPr="00A012B7">
        <w:rPr>
          <w:rFonts w:ascii="Arial" w:hAnsi="Arial" w:cs="Arial"/>
        </w:rPr>
        <w:t>Appendix 1</w:t>
      </w:r>
    </w:p>
    <w:p w14:paraId="29F3CEC4" w14:textId="77777777" w:rsidR="00FF1669" w:rsidRPr="006A2B70" w:rsidRDefault="00FF1669" w:rsidP="00FF166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THORACIC EPIDURAL PLACEMENT AND MANAGEMENT</w:t>
      </w:r>
    </w:p>
    <w:p w14:paraId="09500827" w14:textId="77777777" w:rsidR="00FF1669" w:rsidRDefault="00FF1669" w:rsidP="00FF1669">
      <w:pPr>
        <w:spacing w:line="360" w:lineRule="auto"/>
        <w:rPr>
          <w:rFonts w:ascii="Arial" w:hAnsi="Arial" w:cs="Arial"/>
          <w:sz w:val="24"/>
          <w:szCs w:val="24"/>
        </w:rPr>
      </w:pPr>
      <w:r w:rsidRPr="000B5F52">
        <w:rPr>
          <w:rFonts w:ascii="Arial" w:hAnsi="Arial" w:cs="Arial"/>
          <w:sz w:val="24"/>
          <w:szCs w:val="24"/>
        </w:rPr>
        <w:t xml:space="preserve">Thoracic epidural catheters placements at BIDMC are routinely performed in the pre-operative holding area using a </w:t>
      </w:r>
      <w:proofErr w:type="spellStart"/>
      <w:r>
        <w:rPr>
          <w:rFonts w:ascii="Arial" w:eastAsia="Arial" w:hAnsi="Arial" w:cs="Arial"/>
          <w:sz w:val="24"/>
          <w:szCs w:val="24"/>
        </w:rPr>
        <w:t>FlexTip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Plus® epidural catheterization kit with a </w:t>
      </w:r>
      <w:r w:rsidRPr="00511BAE">
        <w:rPr>
          <w:rFonts w:ascii="Arial" w:eastAsia="Arial" w:hAnsi="Arial" w:cs="Arial"/>
          <w:sz w:val="24"/>
          <w:szCs w:val="24"/>
        </w:rPr>
        <w:t>17g Touhy needle (Teleflex, Chelmsford, USA)</w:t>
      </w:r>
      <w:r>
        <w:rPr>
          <w:rFonts w:ascii="Arial" w:eastAsia="Arial" w:hAnsi="Arial" w:cs="Arial"/>
          <w:sz w:val="24"/>
          <w:szCs w:val="24"/>
        </w:rPr>
        <w:t>.</w:t>
      </w:r>
      <w:r w:rsidRPr="00B965F5">
        <w:rPr>
          <w:rFonts w:ascii="Arial" w:hAnsi="Arial" w:cs="Arial"/>
          <w:sz w:val="24"/>
          <w:szCs w:val="24"/>
        </w:rPr>
        <w:t xml:space="preserve"> The po</w:t>
      </w:r>
      <w:r w:rsidRPr="000B5F52">
        <w:rPr>
          <w:rFonts w:ascii="Arial" w:hAnsi="Arial" w:cs="Arial"/>
          <w:sz w:val="24"/>
          <w:szCs w:val="24"/>
        </w:rPr>
        <w:t>sition (sitting or lateral decubitus), approach (midline/ para</w:t>
      </w:r>
      <w:r>
        <w:rPr>
          <w:rFonts w:ascii="Arial" w:hAnsi="Arial" w:cs="Arial"/>
          <w:sz w:val="24"/>
          <w:szCs w:val="24"/>
        </w:rPr>
        <w:t>-</w:t>
      </w:r>
      <w:r w:rsidRPr="000B5F52">
        <w:rPr>
          <w:rFonts w:ascii="Arial" w:hAnsi="Arial" w:cs="Arial"/>
          <w:sz w:val="24"/>
          <w:szCs w:val="24"/>
        </w:rPr>
        <w:t xml:space="preserve">median) and the loss of resistance technique (saline/ air) </w:t>
      </w:r>
      <w:r>
        <w:rPr>
          <w:rFonts w:ascii="Arial" w:hAnsi="Arial" w:cs="Arial"/>
          <w:sz w:val="24"/>
          <w:szCs w:val="24"/>
        </w:rPr>
        <w:t>are</w:t>
      </w:r>
      <w:r w:rsidRPr="000B5F52">
        <w:rPr>
          <w:rFonts w:ascii="Arial" w:hAnsi="Arial" w:cs="Arial"/>
          <w:sz w:val="24"/>
          <w:szCs w:val="24"/>
        </w:rPr>
        <w:t xml:space="preserve"> at the discretion of the provider. </w:t>
      </w:r>
      <w:r>
        <w:rPr>
          <w:rFonts w:ascii="Arial" w:hAnsi="Arial" w:cs="Arial"/>
          <w:sz w:val="24"/>
          <w:szCs w:val="24"/>
        </w:rPr>
        <w:t>A</w:t>
      </w:r>
      <w:r w:rsidRPr="000B5F52">
        <w:rPr>
          <w:rFonts w:ascii="Arial" w:hAnsi="Arial" w:cs="Arial"/>
          <w:sz w:val="24"/>
          <w:szCs w:val="24"/>
        </w:rPr>
        <w:t xml:space="preserve"> test dose of </w:t>
      </w:r>
      <w:r>
        <w:rPr>
          <w:rFonts w:ascii="Arial" w:hAnsi="Arial" w:cs="Arial"/>
          <w:sz w:val="24"/>
          <w:szCs w:val="24"/>
        </w:rPr>
        <w:t>l</w:t>
      </w:r>
      <w:r w:rsidRPr="000B5F52">
        <w:rPr>
          <w:rFonts w:ascii="Arial" w:hAnsi="Arial" w:cs="Arial"/>
          <w:sz w:val="24"/>
          <w:szCs w:val="24"/>
        </w:rPr>
        <w:t xml:space="preserve">idocaine </w:t>
      </w:r>
      <w:r>
        <w:rPr>
          <w:rFonts w:ascii="Arial" w:hAnsi="Arial" w:cs="Arial"/>
          <w:sz w:val="24"/>
          <w:szCs w:val="24"/>
        </w:rPr>
        <w:t>(</w:t>
      </w:r>
      <w:r w:rsidRPr="000B5F52">
        <w:rPr>
          <w:rFonts w:ascii="Arial" w:hAnsi="Arial" w:cs="Arial"/>
          <w:sz w:val="24"/>
          <w:szCs w:val="24"/>
        </w:rPr>
        <w:t>1%</w:t>
      </w:r>
      <w:r>
        <w:rPr>
          <w:rFonts w:ascii="Arial" w:hAnsi="Arial" w:cs="Arial"/>
          <w:sz w:val="24"/>
          <w:szCs w:val="24"/>
        </w:rPr>
        <w:t>) with</w:t>
      </w:r>
      <w:r w:rsidRPr="000B5F52">
        <w:rPr>
          <w:rFonts w:ascii="Arial" w:hAnsi="Arial" w:cs="Arial"/>
          <w:sz w:val="24"/>
          <w:szCs w:val="24"/>
        </w:rPr>
        <w:t xml:space="preserve"> epinephrine</w:t>
      </w:r>
      <w:r>
        <w:rPr>
          <w:rFonts w:ascii="Arial" w:hAnsi="Arial" w:cs="Arial"/>
          <w:sz w:val="24"/>
          <w:szCs w:val="24"/>
        </w:rPr>
        <w:t xml:space="preserve"> (</w:t>
      </w:r>
      <w:r w:rsidRPr="00511BAE">
        <w:rPr>
          <w:rFonts w:ascii="Arial" w:hAnsi="Arial" w:cs="Arial"/>
          <w:sz w:val="24"/>
          <w:szCs w:val="24"/>
        </w:rPr>
        <w:t>1:100,000</w:t>
      </w:r>
      <w:r>
        <w:rPr>
          <w:rFonts w:ascii="Arial" w:hAnsi="Arial" w:cs="Arial"/>
          <w:sz w:val="24"/>
          <w:szCs w:val="24"/>
        </w:rPr>
        <w:t>) in approximately 3mL i</w:t>
      </w:r>
      <w:r w:rsidRPr="000B5F52"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z w:val="24"/>
          <w:szCs w:val="24"/>
        </w:rPr>
        <w:t xml:space="preserve">routinely administered into the catheter </w:t>
      </w:r>
      <w:r w:rsidRPr="000B5F52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>charted</w:t>
      </w:r>
      <w:r w:rsidRPr="000B5F52">
        <w:rPr>
          <w:rFonts w:ascii="Arial" w:hAnsi="Arial" w:cs="Arial"/>
          <w:sz w:val="24"/>
          <w:szCs w:val="24"/>
        </w:rPr>
        <w:t xml:space="preserve">. The patient is then taken to the operating room where general anesthesia in induced. </w:t>
      </w:r>
      <w:r>
        <w:rPr>
          <w:rFonts w:ascii="Arial" w:hAnsi="Arial" w:cs="Arial"/>
          <w:sz w:val="24"/>
          <w:szCs w:val="24"/>
        </w:rPr>
        <w:t>A pre-prepared epidural infusion solution (</w:t>
      </w:r>
      <w:r w:rsidRPr="000B5F52">
        <w:rPr>
          <w:rFonts w:ascii="Arial" w:hAnsi="Arial" w:cs="Arial"/>
          <w:sz w:val="24"/>
          <w:szCs w:val="24"/>
        </w:rPr>
        <w:t>0.1% Bupivacaine with 10 mcg/ml of Hydromorphone</w:t>
      </w:r>
      <w:r>
        <w:rPr>
          <w:rFonts w:ascii="Arial" w:hAnsi="Arial" w:cs="Arial"/>
          <w:sz w:val="24"/>
          <w:szCs w:val="24"/>
        </w:rPr>
        <w:t>)</w:t>
      </w:r>
      <w:r w:rsidRPr="000B5F5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is</w:t>
      </w:r>
      <w:r w:rsidRPr="000B5F52">
        <w:rPr>
          <w:rFonts w:ascii="Arial" w:hAnsi="Arial" w:cs="Arial"/>
          <w:sz w:val="24"/>
          <w:szCs w:val="24"/>
        </w:rPr>
        <w:t xml:space="preserve"> available </w:t>
      </w:r>
      <w:r>
        <w:rPr>
          <w:rFonts w:ascii="Arial" w:hAnsi="Arial" w:cs="Arial"/>
          <w:sz w:val="24"/>
          <w:szCs w:val="24"/>
        </w:rPr>
        <w:t>during the</w:t>
      </w:r>
      <w:r w:rsidRPr="000657A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intra-operative period and is administered via a designated epidural pump and extension set (CADD</w:t>
      </w:r>
      <w:r>
        <w:rPr>
          <w:rFonts w:ascii="Arial" w:eastAsia="Arial" w:hAnsi="Arial" w:cs="Arial"/>
          <w:sz w:val="24"/>
          <w:szCs w:val="24"/>
        </w:rPr>
        <w:t>®-</w:t>
      </w:r>
      <w:r>
        <w:rPr>
          <w:rFonts w:ascii="Arial" w:hAnsi="Arial" w:cs="Arial"/>
          <w:sz w:val="24"/>
          <w:szCs w:val="24"/>
        </w:rPr>
        <w:t xml:space="preserve"> Solis, Smiths Medical, Dublin, USA)</w:t>
      </w:r>
      <w:r w:rsidRPr="000B5F52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The</w:t>
      </w:r>
      <w:r w:rsidRPr="000B5F5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start time, epidural </w:t>
      </w:r>
      <w:r w:rsidRPr="000B5F52">
        <w:rPr>
          <w:rFonts w:ascii="Arial" w:hAnsi="Arial" w:cs="Arial"/>
          <w:sz w:val="24"/>
          <w:szCs w:val="24"/>
        </w:rPr>
        <w:t xml:space="preserve">infusion </w:t>
      </w:r>
      <w:r>
        <w:rPr>
          <w:rFonts w:ascii="Arial" w:hAnsi="Arial" w:cs="Arial"/>
          <w:sz w:val="24"/>
          <w:szCs w:val="24"/>
        </w:rPr>
        <w:t xml:space="preserve">rate, </w:t>
      </w:r>
      <w:r w:rsidRPr="000B5F52">
        <w:rPr>
          <w:rFonts w:ascii="Arial" w:hAnsi="Arial" w:cs="Arial"/>
          <w:sz w:val="24"/>
          <w:szCs w:val="24"/>
        </w:rPr>
        <w:t>bolus</w:t>
      </w:r>
      <w:r>
        <w:rPr>
          <w:rFonts w:ascii="Arial" w:hAnsi="Arial" w:cs="Arial"/>
          <w:sz w:val="24"/>
          <w:szCs w:val="24"/>
        </w:rPr>
        <w:t xml:space="preserve"> volume and bolus frequency</w:t>
      </w:r>
      <w:r w:rsidRPr="000B5F52">
        <w:rPr>
          <w:rFonts w:ascii="Arial" w:hAnsi="Arial" w:cs="Arial"/>
          <w:sz w:val="24"/>
          <w:szCs w:val="24"/>
        </w:rPr>
        <w:t xml:space="preserve"> are at the discretion of the </w:t>
      </w:r>
      <w:r>
        <w:rPr>
          <w:rFonts w:ascii="Arial" w:hAnsi="Arial" w:cs="Arial"/>
          <w:sz w:val="24"/>
          <w:szCs w:val="24"/>
        </w:rPr>
        <w:t xml:space="preserve">anesthesiologist assigned for the case. Upon arrival to the PACU, post-operative analgesic care is managed by trained nursing stuff, who consult the APS team if any issues regarding TEA arise. </w:t>
      </w:r>
    </w:p>
    <w:p w14:paraId="7C2B3546" w14:textId="77777777" w:rsidR="00FF1669" w:rsidRDefault="00FF1669">
      <w:bookmarkStart w:id="0" w:name="_GoBack"/>
      <w:bookmarkEnd w:id="0"/>
    </w:p>
    <w:sectPr w:rsidR="00FF16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revisionView w:comments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669"/>
    <w:rsid w:val="00FF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E7CD7"/>
  <w15:chartTrackingRefBased/>
  <w15:docId w15:val="{6CCAF674-47AE-44B9-A609-01B29711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6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Nadav Levy</dc:creator>
  <cp:keywords/>
  <dc:description/>
  <cp:lastModifiedBy>Nadav Levy</cp:lastModifiedBy>
  <cp:revision>1</cp:revision>
  <dcterms:created xsi:type="dcterms:W3CDTF">2020-02-18T22:47:00Z</dcterms:created>
  <dcterms:modified xsi:type="dcterms:W3CDTF">2020-02-18T22:47:00Z</dcterms:modified>
</cp:coreProperties>
</file>