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356" w:type="pct"/>
        <w:tblInd w:w="-4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7" w:type="dxa"/>
          <w:left w:w="57" w:type="dxa"/>
          <w:bottom w:w="28" w:type="dxa"/>
          <w:right w:w="57" w:type="dxa"/>
        </w:tblCellMar>
      </w:tblPr>
      <w:tblGrid>
        <w:gridCol w:w="2518"/>
        <w:gridCol w:w="465"/>
        <w:gridCol w:w="11413"/>
        <w:gridCol w:w="1151"/>
      </w:tblGrid>
      <w:tr w14:paraId="4F8F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6666CC"/>
            <w:vAlign w:val="center"/>
          </w:tcPr>
          <w:p w14:paraId="08ADBA74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0" w:edGrp="everyone"/>
            <w:permEnd w:id="0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Section and Topic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6666CC"/>
            <w:vAlign w:val="center"/>
          </w:tcPr>
          <w:p w14:paraId="0BD6B7E1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#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6666CC"/>
            <w:vAlign w:val="center"/>
          </w:tcPr>
          <w:p w14:paraId="4758EE02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>Checklist item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vertAlign w:val="superscript"/>
                <w:lang w:val="en-US"/>
                <w14:textFill>
                  <w14:solidFill>
                    <w14:schemeClr w14:val="bg1"/>
                  </w14:solidFill>
                </w14:textFill>
              </w:rPr>
              <w:t>a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666CC"/>
            <w:vAlign w:val="center"/>
          </w:tcPr>
          <w:p w14:paraId="39AF9034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clear" w:color="auto" w:fill="6666CC"/>
                <w:lang w:val="en-US"/>
              </w:rPr>
              <w:t>Location</w:t>
            </w:r>
          </w:p>
        </w:tc>
      </w:tr>
      <w:tr w14:paraId="4D79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009AC8"/>
            <w:vAlign w:val="center"/>
          </w:tcPr>
          <w:p w14:paraId="36895472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TITLE </w:t>
            </w:r>
          </w:p>
        </w:tc>
      </w:tr>
      <w:tr w14:paraId="6B34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auto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435C236C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Title 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40C7AC11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711" w:type="pct"/>
            <w:tcBorders>
              <w:top w:val="single" w:color="auto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4355AA40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Identify the report as a systematic review and include as applicable the following (in any order): outcome domain of interest, population</w:t>
            </w:r>
          </w:p>
          <w:p w14:paraId="4720ED1B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of interest, name/type of OMIs of interest, and measurement properties of interest.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5534F1FC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Page1</w:t>
            </w:r>
          </w:p>
        </w:tc>
      </w:tr>
      <w:permEnd w:id="1"/>
      <w:tr w14:paraId="6498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009AC8"/>
            <w:vAlign w:val="center"/>
          </w:tcPr>
          <w:p w14:paraId="4BCF23B0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ABSTRACT </w:t>
            </w:r>
          </w:p>
        </w:tc>
      </w:tr>
      <w:tr w14:paraId="19BF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9F2FF"/>
            <w:vAlign w:val="center"/>
          </w:tcPr>
          <w:p w14:paraId="5A9ED0DC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OPEN SCIENCE </w:t>
            </w:r>
          </w:p>
        </w:tc>
      </w:tr>
      <w:tr w14:paraId="7E48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71EC5A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permStart w:id="2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Funding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51" w:type="pc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852306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2.2</w:t>
            </w:r>
          </w:p>
        </w:tc>
        <w:tc>
          <w:tcPr>
            <w:tcW w:w="3711" w:type="pc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9D46FD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primary source of funding for the review.</w:t>
            </w:r>
          </w:p>
        </w:tc>
        <w:tc>
          <w:tcPr>
            <w:tcW w:w="307" w:type="pc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B93F62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Page34</w:t>
            </w:r>
          </w:p>
        </w:tc>
      </w:tr>
      <w:permEnd w:id="2"/>
      <w:tr w14:paraId="65EA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FFFFCC" w:sz="2" w:space="0"/>
              <w:right w:val="single" w:color="000000" w:themeColor="text1" w:sz="4" w:space="0"/>
            </w:tcBorders>
          </w:tcPr>
          <w:p w14:paraId="5446A4B9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Registration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FFFFCC" w:sz="2" w:space="0"/>
              <w:right w:val="single" w:color="000000" w:themeColor="text1" w:sz="4" w:space="0"/>
            </w:tcBorders>
          </w:tcPr>
          <w:p w14:paraId="352A3941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2.3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2FE3499B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Provide the register name and registration number.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3D8B94BA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Page3</w:t>
            </w:r>
          </w:p>
        </w:tc>
      </w:tr>
      <w:permEnd w:id="3"/>
      <w:tr w14:paraId="5948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9F2FF"/>
            <w:vAlign w:val="center"/>
          </w:tcPr>
          <w:p w14:paraId="4FA07229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BACKGROUND </w:t>
            </w:r>
          </w:p>
        </w:tc>
      </w:tr>
      <w:tr w14:paraId="7646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6" w:space="0"/>
              <w:right w:val="single" w:color="000000" w:themeColor="text1" w:sz="4" w:space="0"/>
            </w:tcBorders>
          </w:tcPr>
          <w:p w14:paraId="4A98FDF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Objectives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6" w:space="0"/>
              <w:right w:val="single" w:color="000000" w:themeColor="text1" w:sz="4" w:space="0"/>
            </w:tcBorders>
          </w:tcPr>
          <w:p w14:paraId="6A5339B4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2.4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6" w:space="0"/>
              <w:right w:val="single" w:color="000000" w:themeColor="text1" w:sz="4" w:space="0"/>
            </w:tcBorders>
          </w:tcPr>
          <w:p w14:paraId="15D993D9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Provide an explicit statement of the main objective(s) or question(s) the review addresses.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6" w:space="0"/>
              <w:right w:val="single" w:color="000000" w:themeColor="text1" w:sz="4" w:space="0"/>
            </w:tcBorders>
          </w:tcPr>
          <w:p w14:paraId="57099D0F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Page2-3</w:t>
            </w:r>
          </w:p>
        </w:tc>
      </w:tr>
      <w:permEnd w:id="4"/>
      <w:tr w14:paraId="2CFE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doub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9F2FF"/>
            <w:vAlign w:val="center"/>
          </w:tcPr>
          <w:p w14:paraId="41B08C2E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METHODS </w:t>
            </w:r>
          </w:p>
        </w:tc>
      </w:tr>
      <w:tr w14:paraId="5A7B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CEEA20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5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Eligibility criteria </w:t>
            </w:r>
          </w:p>
        </w:tc>
        <w:tc>
          <w:tcPr>
            <w:tcW w:w="151" w:type="pc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F89DF2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2.5</w:t>
            </w:r>
          </w:p>
        </w:tc>
        <w:tc>
          <w:tcPr>
            <w:tcW w:w="3711" w:type="pc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D04254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inclusion and exclusion criteria for the review.</w:t>
            </w:r>
          </w:p>
        </w:tc>
        <w:tc>
          <w:tcPr>
            <w:tcW w:w="307" w:type="pc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8D5C31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5"/>
      <w:tr w14:paraId="56DA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4B101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6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Information sources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410ED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2.6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FA292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information sources (e.g., databases, registers) used to identify studies and the date when each was last searched.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92A23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Page3</w:t>
            </w:r>
          </w:p>
        </w:tc>
      </w:tr>
      <w:permEnd w:id="6"/>
      <w:tr w14:paraId="4D9C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B5540C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7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Risk of bias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665BCC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2.7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DCA2A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methods used to assess risk of bias in the included studies.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590967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Page5</w:t>
            </w:r>
          </w:p>
        </w:tc>
      </w:tr>
      <w:permEnd w:id="7"/>
      <w:tr w14:paraId="379F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D085E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8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Measurement properties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D3586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2.8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EB2A47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methods used to rate the results of a measurement property.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C19C0A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Page5</w:t>
            </w:r>
          </w:p>
        </w:tc>
      </w:tr>
      <w:permEnd w:id="8"/>
      <w:tr w14:paraId="24CE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FFFFCC" w:sz="2" w:space="0"/>
              <w:right w:val="single" w:color="000000" w:themeColor="text1" w:sz="4" w:space="0"/>
            </w:tcBorders>
          </w:tcPr>
          <w:p w14:paraId="37A62314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9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Synthesis methods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FFFFCC" w:sz="2" w:space="0"/>
              <w:right w:val="single" w:color="000000" w:themeColor="text1" w:sz="4" w:space="0"/>
            </w:tcBorders>
          </w:tcPr>
          <w:p w14:paraId="7B9C9951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2.9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41B2BD9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methods used to present and synthesize results.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011F81B4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Page5</w:t>
            </w:r>
          </w:p>
        </w:tc>
      </w:tr>
      <w:permEnd w:id="9"/>
      <w:tr w14:paraId="60E9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9F2FF"/>
            <w:vAlign w:val="center"/>
          </w:tcPr>
          <w:p w14:paraId="3F8EB605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RESULTS </w:t>
            </w:r>
          </w:p>
        </w:tc>
      </w:tr>
      <w:tr w14:paraId="5020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8C715D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0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Included studies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5BB5A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2.10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5138DF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Give the total number of included OMIs and study reports.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FFABCE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Page6</w:t>
            </w:r>
          </w:p>
        </w:tc>
      </w:tr>
      <w:permEnd w:id="10"/>
      <w:tr w14:paraId="22AF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FFFFCC" w:sz="2" w:space="0"/>
              <w:right w:val="single" w:color="000000" w:themeColor="text1" w:sz="4" w:space="0"/>
            </w:tcBorders>
          </w:tcPr>
          <w:p w14:paraId="31DA9B29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1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Synthesis of results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FFFFCC" w:sz="2" w:space="0"/>
              <w:right w:val="single" w:color="000000" w:themeColor="text1" w:sz="4" w:space="0"/>
            </w:tcBorders>
          </w:tcPr>
          <w:p w14:paraId="2A7F5142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2.11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715D10E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Present the syntheses of results of OMIs, indicating the certainty of the evidence.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1A5DD259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Page12</w:t>
            </w:r>
          </w:p>
        </w:tc>
      </w:tr>
      <w:permEnd w:id="11"/>
      <w:tr w14:paraId="0EDB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9F2FF"/>
            <w:vAlign w:val="center"/>
          </w:tcPr>
          <w:p w14:paraId="7790F386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bookmarkStart w:id="0" w:name="_Hlk139398891"/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DISCUSSION</w:t>
            </w:r>
          </w:p>
        </w:tc>
      </w:tr>
      <w:tr w14:paraId="6651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0CE5A6F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2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Limitations of evidence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61423115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2.12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61E20C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Provide a brief summary of the limitations of the evidence included in the review (e.g., study risk of bias, inconsistency, and imprecision).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29C406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Page23</w:t>
            </w:r>
          </w:p>
        </w:tc>
      </w:tr>
      <w:permEnd w:id="12"/>
      <w:tr w14:paraId="62FA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6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6B963457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3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Interpretation</w:t>
            </w:r>
          </w:p>
        </w:tc>
        <w:tc>
          <w:tcPr>
            <w:tcW w:w="151" w:type="pct"/>
            <w:tcBorders>
              <w:top w:val="single" w:color="000000" w:themeColor="text1" w:sz="6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7C62CEEF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2.13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75A9A53A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Provide a general interpretation of the results and important implications.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08348C66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Page19</w:t>
            </w:r>
          </w:p>
        </w:tc>
      </w:tr>
      <w:bookmarkEnd w:id="0"/>
      <w:permEnd w:id="13"/>
      <w:tr w14:paraId="341A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5000" w:type="pct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4" w:space="0"/>
            </w:tcBorders>
            <w:shd w:val="clear" w:color="auto" w:fill="009AC8"/>
            <w:vAlign w:val="center"/>
          </w:tcPr>
          <w:p w14:paraId="73FC60D0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>PLAIN LANGUAGE SUMMARY</w:t>
            </w:r>
          </w:p>
        </w:tc>
      </w:tr>
      <w:tr w14:paraId="157B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6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01FA86CF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4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Plain language summary</w:t>
            </w:r>
          </w:p>
        </w:tc>
        <w:tc>
          <w:tcPr>
            <w:tcW w:w="151" w:type="pct"/>
            <w:tcBorders>
              <w:top w:val="single" w:color="000000" w:themeColor="text1" w:sz="6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031272AB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75C5B7D4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allowed by the journal, provide a plain language summary with background information and key findings.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3D2A2936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Page7</w:t>
            </w:r>
          </w:p>
        </w:tc>
      </w:tr>
      <w:permEnd w:id="14"/>
      <w:tr w14:paraId="50E8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9AC8"/>
            <w:vAlign w:val="center"/>
          </w:tcPr>
          <w:p w14:paraId="4AE1BBA2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>OPEN SCIENCE</w:t>
            </w:r>
          </w:p>
        </w:tc>
      </w:tr>
      <w:tr w14:paraId="4FA7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vMerge w:val="restart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14:paraId="702D9C4D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5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Registration and protocol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D21E80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4a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8D6F6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Provide registration information for the review, including register name and registration number, or state that the review was not registered.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8B79A0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Page3</w:t>
            </w:r>
          </w:p>
        </w:tc>
      </w:tr>
      <w:permEnd w:id="15"/>
      <w:tr w14:paraId="6846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vMerge w:val="continue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14:paraId="68A11C1C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6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C04979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4b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CF5EA0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Indicate where the review protocol can be accessed, or state that a protocol was not prepared.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6E1EC2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16"/>
      <w:tr w14:paraId="1B54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vMerge w:val="continue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14:paraId="1D1502DE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7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1BBCEA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4c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2B34AD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Describe and explain any amendments to information provided at registration or in the protocol.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909842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17"/>
      <w:tr w14:paraId="066B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14BFF5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8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Support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14FF28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8D839D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Describe sources of financial or non-financial support for the review, and the role of the funders in the review.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FEEEF5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Page24</w:t>
            </w:r>
          </w:p>
        </w:tc>
      </w:tr>
      <w:permEnd w:id="18"/>
      <w:tr w14:paraId="79BF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6A52C2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9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Competing interests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F5CAD9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73AFA9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Declare any competing interests of review authors.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6D583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Page24</w:t>
            </w:r>
          </w:p>
        </w:tc>
      </w:tr>
      <w:permEnd w:id="19"/>
      <w:tr w14:paraId="6D26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0F4116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0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Availability of data, code, and other materials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409619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A4E384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Report which of the following are publicly available and where they can be found: template data collection forms; data extracted from</w:t>
            </w:r>
          </w:p>
          <w:p w14:paraId="07CB244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included studies; data used for all analyses; analytic code; any other materials used in the review.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3AD664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Page24</w:t>
            </w:r>
          </w:p>
        </w:tc>
      </w:tr>
      <w:permEnd w:id="20"/>
      <w:tr w14:paraId="570D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  <w:tblHeader/>
        </w:trPr>
        <w:tc>
          <w:tcPr>
            <w:tcW w:w="5000" w:type="pct"/>
            <w:gridSpan w:val="4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9AC8"/>
            <w:vAlign w:val="center"/>
          </w:tcPr>
          <w:p w14:paraId="60AC8F95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INTRODUCTION </w:t>
            </w:r>
          </w:p>
        </w:tc>
      </w:tr>
      <w:tr w14:paraId="04E1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D07A9A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1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Rationale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FC409C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477245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Describe the rationale for the review in the context of existing knowledge.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F7937E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Page2</w:t>
            </w:r>
          </w:p>
        </w:tc>
      </w:tr>
      <w:permEnd w:id="21"/>
      <w:tr w14:paraId="3549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FFFFCC" w:sz="2" w:space="0"/>
              <w:right w:val="single" w:color="000000" w:themeColor="text1" w:sz="4" w:space="0"/>
            </w:tcBorders>
          </w:tcPr>
          <w:p w14:paraId="6B7781DA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2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Objectives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FFFFCC" w:sz="2" w:space="0"/>
              <w:right w:val="single" w:color="000000" w:themeColor="text1" w:sz="4" w:space="0"/>
            </w:tcBorders>
          </w:tcPr>
          <w:p w14:paraId="62BD7E0E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48DC5D69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Provide an explicit statement of the objective(s) or question(s) the review addresses and include as applicable the following (in any</w:t>
            </w:r>
          </w:p>
          <w:p w14:paraId="1A99D4A7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order): outcome domain of interest, population of interest, name/type of OMIs of interest, and measurement properties of interest.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1A7FBDEC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Page3</w:t>
            </w:r>
          </w:p>
        </w:tc>
      </w:tr>
      <w:permEnd w:id="22"/>
      <w:tr w14:paraId="11D2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  <w:tblHeader/>
        </w:trPr>
        <w:tc>
          <w:tcPr>
            <w:tcW w:w="5000" w:type="pct"/>
            <w:gridSpan w:val="4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9AC8"/>
            <w:vAlign w:val="center"/>
          </w:tcPr>
          <w:p w14:paraId="3F49EB41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METHODS </w:t>
            </w:r>
          </w:p>
        </w:tc>
      </w:tr>
      <w:tr w14:paraId="2D9C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5CE7CC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3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Followed guidelines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356089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C56965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Specify, with references, the methodology and/or guidelines used to conduct the systematic review.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692AD3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Page3</w:t>
            </w:r>
          </w:p>
        </w:tc>
      </w:tr>
      <w:permEnd w:id="23"/>
      <w:tr w14:paraId="1B0A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B4931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4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Eligibility criteria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7BFC66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8EB87C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inclusion and exclusion criteria for the review.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484850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24"/>
      <w:tr w14:paraId="15F3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191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80A80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5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Information sources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BAE9E2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F1E977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all databases, registers, preprint servers, websites, organizations, reference lists and other sources searched or consulted to</w:t>
            </w:r>
          </w:p>
          <w:p w14:paraId="5AAB7F0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identify studies. Specify the date when each source was last searched or consulted.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354062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25"/>
      <w:tr w14:paraId="1A04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7E09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6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Search strategy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1EFDB7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F815C5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Present the full search strategies for all databases, registers, and websites, including any filters and limits used.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67FA8F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 ＆appendixA</w:t>
            </w:r>
          </w:p>
        </w:tc>
      </w:tr>
      <w:permEnd w:id="26"/>
      <w:tr w14:paraId="6E05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D630F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7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Selection process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E0DD2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FC2914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methods used to decide whether a study met the inclusion criteria of the review, e.g., including how many reviewers</w:t>
            </w:r>
          </w:p>
          <w:p w14:paraId="26C0B69D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screened each record and each report retrieved, whether they worked independently, and if applicable, details of automation tools/AI</w:t>
            </w:r>
          </w:p>
          <w:p w14:paraId="5B64DCD2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used in the process.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785295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27"/>
      <w:tr w14:paraId="33F0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152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D19DEF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8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Data collection process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A4C1BF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1A47BD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methods used to collect data from reports, e.g., including how many reviewers collected data from each report, whether</w:t>
            </w:r>
          </w:p>
          <w:p w14:paraId="303F0B82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they worked independently, any processes for obtaining or confirming data from study investigators, and if applicable, details of</w:t>
            </w:r>
          </w:p>
          <w:p w14:paraId="58A9BA1D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automation tools/AI used in the process.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55E2F3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28"/>
      <w:tr w14:paraId="3937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FF5FA5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29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Data items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4FB36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02AB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List and define which data were extracted (e.g., characteristics of study populations and OMIs, measurement properties’ results, and</w:t>
            </w:r>
          </w:p>
          <w:p w14:paraId="5A25F7EB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aspects of feasibility and interpretability). Describe methods used to deal with any missing or unclear information.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A4E024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29"/>
      <w:tr w14:paraId="32FB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849057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0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Study risk of bias assessment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A2243D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E5BF37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methods used to assess risk of bias in the included studies, e.g., including details of the tool(s) used, how many reviewers</w:t>
            </w:r>
          </w:p>
          <w:p w14:paraId="6754E856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assessed each study and whether they worked independently, and if applicable, details of automation tools/AI used in the process.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22394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30"/>
      <w:tr w14:paraId="538D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7EE03112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1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Measurement properties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C788CE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D05D3B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Specify the methods used to rate the results of a measurement property for each individual study and for the summarized or pooled</w:t>
            </w:r>
          </w:p>
          <w:p w14:paraId="76D83E0B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results, e.g., including how many reviewers rated each study and whether they worked independently.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D12BE6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31"/>
      <w:tr w14:paraId="0ABC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vMerge w:val="restart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14:paraId="07A8203B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2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Synthesis methods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E919AD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19a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8ADC10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Describe the processes used to decide which studies were eligible for each synthesis.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291FF6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32"/>
      <w:tr w14:paraId="1C3C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vMerge w:val="continue"/>
            <w:tcBorders>
              <w:left w:val="single" w:color="auto" w:sz="4" w:space="0"/>
              <w:bottom w:val="single" w:color="000000" w:themeColor="text1" w:sz="6" w:space="0"/>
            </w:tcBorders>
          </w:tcPr>
          <w:p w14:paraId="6B12973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3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3F6DF9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19b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6AB967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Describe any methods used to synthesize results.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579D5A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33"/>
      <w:tr w14:paraId="72AE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vMerge w:val="continue"/>
            <w:tcBorders>
              <w:left w:val="single" w:color="auto" w:sz="4" w:space="0"/>
              <w:bottom w:val="single" w:color="000000" w:themeColor="text1" w:sz="6" w:space="0"/>
            </w:tcBorders>
          </w:tcPr>
          <w:p w14:paraId="5426D10F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4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2F1AD1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19c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24B31E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applicable, describe any methods used to explore possible causes of inconsistency among study results (e.g.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subgroup analysis).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F87504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Page4</w:t>
            </w:r>
          </w:p>
        </w:tc>
      </w:tr>
      <w:permEnd w:id="34"/>
      <w:tr w14:paraId="6560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50" w:hRule="atLeast"/>
          <w:tblHeader/>
        </w:trPr>
        <w:tc>
          <w:tcPr>
            <w:tcW w:w="831" w:type="pct"/>
            <w:vMerge w:val="continue"/>
            <w:tcBorders>
              <w:left w:val="single" w:color="auto" w:sz="4" w:space="0"/>
              <w:bottom w:val="single" w:color="000000" w:themeColor="text1" w:sz="6" w:space="0"/>
            </w:tcBorders>
          </w:tcPr>
          <w:p w14:paraId="18A6BA3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5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42BBF4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19d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314FAA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applicable, describe any sensitivity analyses conducted to assess robustness of the synthesized results.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A064C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35"/>
      <w:tr w14:paraId="0613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0087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6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Certainty assessment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30A3C7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07E32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Describe any methods used to assess certainty (or confidence) in the body of evidence.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A16105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36"/>
      <w:tr w14:paraId="4F1A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  <w:tblHeader/>
        </w:trPr>
        <w:tc>
          <w:tcPr>
            <w:tcW w:w="831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47D2FB15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7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Formulating recommendations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F71F1D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713DC7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appropriate, describe any methods used to formulate recommendations regarding the suitability of OMIs for a particular use.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5BD582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Page16</w:t>
            </w:r>
          </w:p>
        </w:tc>
      </w:tr>
      <w:permEnd w:id="37"/>
      <w:tr w14:paraId="6229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9AC8"/>
            <w:vAlign w:val="center"/>
          </w:tcPr>
          <w:p w14:paraId="320AC4BA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RESULTS </w:t>
            </w:r>
          </w:p>
        </w:tc>
      </w:tr>
      <w:tr w14:paraId="763C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655" w:hRule="atLeast"/>
        </w:trPr>
        <w:tc>
          <w:tcPr>
            <w:tcW w:w="831" w:type="pct"/>
            <w:vMerge w:val="restart"/>
            <w:tcBorders>
              <w:top w:val="single" w:color="000000" w:themeColor="text1" w:sz="6" w:space="0"/>
              <w:left w:val="single" w:color="auto" w:sz="4" w:space="0"/>
              <w:bottom w:val="single" w:color="auto" w:sz="4" w:space="0"/>
              <w:right w:val="single" w:color="000000" w:themeColor="text1" w:sz="6" w:space="0"/>
            </w:tcBorders>
          </w:tcPr>
          <w:p w14:paraId="7B2CF8D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8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Study selection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537E78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22a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E941B0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Describe the results of the search and selection process, from the number of records identified in the search to the number of study</w:t>
            </w:r>
          </w:p>
          <w:p w14:paraId="0489F38E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reports included in the review, ideally using a flow diagram. If applicable, also report the final number of OMIs included and the number</w:t>
            </w:r>
          </w:p>
          <w:p w14:paraId="292768C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of study reports relevant to each OMI. [T]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EB9A6B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Table1</w:t>
            </w:r>
          </w:p>
        </w:tc>
      </w:tr>
      <w:permEnd w:id="38"/>
      <w:tr w14:paraId="603A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305B33B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39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DB27E1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22b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95B20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Cite </w:t>
            </w:r>
            <w:r>
              <w:rPr>
                <w:rFonts w:ascii="Arial" w:hAnsi="Arial" w:cs="Arial"/>
                <w:sz w:val="18"/>
                <w:szCs w:val="18"/>
              </w:rPr>
              <w:t xml:space="preserve">study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reports that might appear to meet the inclusion criteria, but which were excluded, and explain why they were excluded.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10DAFDAD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39"/>
      <w:tr w14:paraId="5D1C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9FEB6FE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" w:type="pct"/>
            <w:tcBorders>
              <w:top w:val="single" w:color="000000" w:themeColor="text1" w:sz="4" w:space="0"/>
              <w:left w:val="nil"/>
              <w:bottom w:val="nil"/>
              <w:right w:val="nil"/>
            </w:tcBorders>
          </w:tcPr>
          <w:p w14:paraId="4BBF099C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1" w:type="pct"/>
            <w:tcBorders>
              <w:top w:val="single" w:color="000000" w:themeColor="text1" w:sz="4" w:space="0"/>
              <w:left w:val="nil"/>
              <w:bottom w:val="nil"/>
              <w:right w:val="nil"/>
            </w:tcBorders>
          </w:tcPr>
          <w:p w14:paraId="7AE08F9E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tcBorders>
              <w:top w:val="single" w:color="000000" w:themeColor="text1" w:sz="6" w:space="0"/>
              <w:left w:val="nil"/>
              <w:bottom w:val="nil"/>
              <w:right w:val="nil"/>
            </w:tcBorders>
          </w:tcPr>
          <w:p w14:paraId="13F29A76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</w:tr>
      <w:tr w14:paraId="4C62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103" w:hRule="atLeast"/>
        </w:trPr>
        <w:tc>
          <w:tcPr>
            <w:tcW w:w="831" w:type="pct"/>
            <w:vMerge w:val="restart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60615DE6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0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OMI characteristics</w:t>
            </w:r>
          </w:p>
        </w:tc>
        <w:tc>
          <w:tcPr>
            <w:tcW w:w="151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5C3080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23a</w:t>
            </w:r>
          </w:p>
        </w:tc>
        <w:tc>
          <w:tcPr>
            <w:tcW w:w="3711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BD6036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Present characteristics of each included OMI, with appropriate references. [T]</w:t>
            </w:r>
          </w:p>
        </w:tc>
        <w:tc>
          <w:tcPr>
            <w:tcW w:w="307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20DCEB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Table1</w:t>
            </w:r>
          </w:p>
        </w:tc>
      </w:tr>
      <w:permEnd w:id="40"/>
      <w:tr w14:paraId="1D8E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0" w:hRule="atLeast"/>
        </w:trPr>
        <w:tc>
          <w:tcPr>
            <w:tcW w:w="831" w:type="pct"/>
            <w:vMerge w:val="continue"/>
            <w:tcBorders>
              <w:left w:val="single" w:color="auto" w:sz="4" w:space="0"/>
              <w:bottom w:val="single" w:color="000000" w:themeColor="text1" w:sz="6" w:space="0"/>
            </w:tcBorders>
          </w:tcPr>
          <w:p w14:paraId="7430850E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1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6D5CF4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23b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93C1A6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applicable, present interpretability aspects for each included OMI. [T]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78E24F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41"/>
      <w:tr w14:paraId="1546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146" w:hRule="atLeast"/>
        </w:trPr>
        <w:tc>
          <w:tcPr>
            <w:tcW w:w="831" w:type="pct"/>
            <w:vMerge w:val="continue"/>
            <w:tcBorders>
              <w:left w:val="single" w:color="auto" w:sz="4" w:space="0"/>
              <w:bottom w:val="single" w:color="000000" w:themeColor="text1" w:sz="6" w:space="0"/>
            </w:tcBorders>
          </w:tcPr>
          <w:p w14:paraId="4CBAF1DF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2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DDE3FC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23c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800A9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applicable, present feasibility aspects for each included OMI. [T]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225C94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42"/>
      <w:tr w14:paraId="7ED5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103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469CAC15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3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Study characteristics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8289DC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EF636F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Cite each included </w:t>
            </w:r>
            <w:r>
              <w:rPr>
                <w:rFonts w:ascii="Arial" w:hAnsi="Arial" w:cs="Arial"/>
                <w:sz w:val="18"/>
                <w:szCs w:val="18"/>
              </w:rPr>
              <w:t xml:space="preserve">study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report evaluating one or more measurement properties and present its characteristics. [T]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6811A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Table2</w:t>
            </w:r>
          </w:p>
        </w:tc>
      </w:tr>
      <w:permEnd w:id="43"/>
      <w:tr w14:paraId="6E0B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6129EA8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4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Risk of bias in studies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169123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CAB49F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Present assessments of risk of bias for each included study. [T]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80077D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Table2</w:t>
            </w:r>
          </w:p>
        </w:tc>
      </w:tr>
      <w:permEnd w:id="44"/>
      <w:tr w14:paraId="12AE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6325398C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5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Results of individual studies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1D9863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5CF28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 all measurement properties, present for each study: (a) the reported result and (b) the rating against quality criteria, ideally using</w:t>
            </w:r>
          </w:p>
          <w:p w14:paraId="586BD05A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structured tables or plots. [T]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24E3FD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Table2</w:t>
            </w:r>
          </w:p>
        </w:tc>
      </w:tr>
      <w:permEnd w:id="45"/>
      <w:tr w14:paraId="16E8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03" w:hRule="atLeast"/>
        </w:trPr>
        <w:tc>
          <w:tcPr>
            <w:tcW w:w="831" w:type="pct"/>
            <w:vMerge w:val="restart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</w:tcPr>
          <w:p w14:paraId="0BDDA329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6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Results of syntheses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C91D62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27a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3C69AE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Present results of all syntheses conducted. For each measurement property of an OMI, present: (a) the summarized or pooled result and</w:t>
            </w:r>
          </w:p>
          <w:p w14:paraId="4E790900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(b) the overall rating against quality criteria. [T]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5B1B05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Table2</w:t>
            </w:r>
          </w:p>
        </w:tc>
      </w:tr>
      <w:permEnd w:id="46"/>
      <w:tr w14:paraId="7A9E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vMerge w:val="continue"/>
            <w:tcBorders>
              <w:left w:val="single" w:color="auto" w:sz="4" w:space="0"/>
              <w:bottom w:val="single" w:color="000000" w:themeColor="text1" w:sz="6" w:space="0"/>
            </w:tcBorders>
          </w:tcPr>
          <w:p w14:paraId="54866642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7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0DD375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27b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761569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applicable, present results of all investigations of possible causes of inconsistency among study results.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2011D2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47"/>
      <w:tr w14:paraId="27F2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vMerge w:val="continue"/>
            <w:tcBorders>
              <w:left w:val="single" w:color="auto" w:sz="4" w:space="0"/>
              <w:bottom w:val="single" w:color="000000" w:themeColor="text1" w:sz="6" w:space="0"/>
            </w:tcBorders>
          </w:tcPr>
          <w:p w14:paraId="0A4E9AF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8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9BC9F4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27c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9F4F69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applicable, present results of all sensitivity analyses conducted to assess the robustness of the synthesized results.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B64AB4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48"/>
      <w:tr w14:paraId="5436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0E2D6A39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9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Certainty of evidence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7F50BD2F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5776A1EB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Present assessments of certainty (or confidence) in the body of evidence for each measurement property of an OMI assessed. [T]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14:paraId="7D2E994C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Table3</w:t>
            </w:r>
          </w:p>
        </w:tc>
      </w:tr>
      <w:permEnd w:id="49"/>
      <w:tr w14:paraId="4429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tcBorders>
              <w:top w:val="single" w:color="auto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3A21D7A3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50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>Recommendations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000000" w:themeColor="text1" w:sz="4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3F5A61AE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</w:p>
        </w:tc>
        <w:tc>
          <w:tcPr>
            <w:tcW w:w="3711" w:type="pct"/>
            <w:tcBorders>
              <w:top w:val="single" w:color="auto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0962256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appropriate, make recommendations for suitable OMIs for a particular use.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1541CE6A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NA</w:t>
            </w:r>
          </w:p>
        </w:tc>
      </w:tr>
      <w:permEnd w:id="50"/>
      <w:tr w14:paraId="2D8F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4" w:hRule="atLeast"/>
        </w:trPr>
        <w:tc>
          <w:tcPr>
            <w:tcW w:w="5000" w:type="pct"/>
            <w:gridSpan w:val="4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9AC8"/>
            <w:vAlign w:val="center"/>
          </w:tcPr>
          <w:p w14:paraId="2E2DC949">
            <w:pPr>
              <w:pStyle w:val="32"/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DISCUSSION </w:t>
            </w:r>
          </w:p>
        </w:tc>
      </w:tr>
      <w:tr w14:paraId="085E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vMerge w:val="restart"/>
            <w:tcBorders>
              <w:top w:val="single" w:color="000000" w:themeColor="text1" w:sz="6" w:space="0"/>
              <w:left w:val="single" w:color="auto" w:sz="4" w:space="0"/>
              <w:bottom w:val="double" w:color="auto" w:sz="4" w:space="0"/>
              <w:right w:val="single" w:color="000000" w:themeColor="text1" w:sz="6" w:space="0"/>
            </w:tcBorders>
          </w:tcPr>
          <w:p w14:paraId="7D303AD6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51" w:edGrp="everyone" w:colFirst="3" w:colLast="3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Discussion </w:t>
            </w:r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4E29F0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30a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</w:tcPr>
          <w:p w14:paraId="57ABC250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Provide a general interpretation of the results in the context of other evidence.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D33DF4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Page19</w:t>
            </w:r>
          </w:p>
        </w:tc>
      </w:tr>
      <w:permEnd w:id="51"/>
      <w:tr w14:paraId="4760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vMerge w:val="continue"/>
            <w:tcBorders>
              <w:top w:val="nil"/>
              <w:left w:val="single" w:color="auto" w:sz="4" w:space="0"/>
              <w:bottom w:val="double" w:color="auto" w:sz="4" w:space="0"/>
            </w:tcBorders>
          </w:tcPr>
          <w:p w14:paraId="2B65A31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52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2D93CC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30b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</w:tcPr>
          <w:p w14:paraId="708BE408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Discuss any limitations of the evidence included in the review.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B7E88A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Page23</w:t>
            </w:r>
          </w:p>
        </w:tc>
      </w:tr>
      <w:permEnd w:id="52"/>
      <w:tr w14:paraId="3D72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26" w:hRule="atLeast"/>
        </w:trPr>
        <w:tc>
          <w:tcPr>
            <w:tcW w:w="831" w:type="pct"/>
            <w:vMerge w:val="continue"/>
            <w:tcBorders>
              <w:top w:val="nil"/>
              <w:left w:val="single" w:color="auto" w:sz="4" w:space="0"/>
              <w:bottom w:val="double" w:color="auto" w:sz="4" w:space="0"/>
            </w:tcBorders>
          </w:tcPr>
          <w:p w14:paraId="663FEA56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53" w:edGrp="everyone" w:colFirst="3" w:colLast="3"/>
          </w:p>
        </w:tc>
        <w:tc>
          <w:tcPr>
            <w:tcW w:w="151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auto" w:sz="4" w:space="0"/>
              <w:right w:val="single" w:color="000000" w:themeColor="text1" w:sz="4" w:space="0"/>
            </w:tcBorders>
          </w:tcPr>
          <w:p w14:paraId="3D0DD64F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30c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</w:tcPr>
          <w:p w14:paraId="56E37235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Discuss any limitations of the review processes used.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A14F77">
            <w:pPr>
              <w:pStyle w:val="32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Page23</w:t>
            </w:r>
          </w:p>
        </w:tc>
      </w:tr>
      <w:permEnd w:id="53"/>
      <w:tr w14:paraId="5083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28" w:type="dxa"/>
            <w:right w:w="57" w:type="dxa"/>
          </w:tblCellMar>
        </w:tblPrEx>
        <w:trPr>
          <w:trHeight w:val="48" w:hRule="atLeast"/>
        </w:trPr>
        <w:tc>
          <w:tcPr>
            <w:tcW w:w="831" w:type="pct"/>
            <w:vMerge w:val="continue"/>
            <w:tcBorders>
              <w:top w:val="nil"/>
              <w:left w:val="single" w:color="auto" w:sz="4" w:space="0"/>
              <w:bottom w:val="double" w:color="auto" w:sz="4" w:space="0"/>
            </w:tcBorders>
          </w:tcPr>
          <w:p w14:paraId="6C538E61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54" w:edGrp="everyone" w:colFirst="3" w:colLast="3"/>
          </w:p>
        </w:tc>
        <w:tc>
          <w:tcPr>
            <w:tcW w:w="151" w:type="pct"/>
            <w:tcBorders>
              <w:top w:val="single" w:color="auto" w:sz="4" w:space="0"/>
              <w:left w:val="single" w:color="000000" w:themeColor="text1" w:sz="6" w:space="0"/>
              <w:bottom w:val="double" w:color="000000" w:themeColor="text1" w:sz="4" w:space="0"/>
              <w:right w:val="single" w:color="auto" w:sz="4" w:space="0"/>
            </w:tcBorders>
          </w:tcPr>
          <w:p w14:paraId="5C8A0C2F">
            <w:pPr>
              <w:pStyle w:val="32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30d</w:t>
            </w:r>
          </w:p>
        </w:tc>
        <w:tc>
          <w:tcPr>
            <w:tcW w:w="3711" w:type="pct"/>
            <w:tcBorders>
              <w:top w:val="single" w:color="000000" w:themeColor="text1" w:sz="4" w:space="0"/>
              <w:left w:val="single" w:color="auto" w:sz="4" w:space="0"/>
              <w:bottom w:val="double" w:color="000000" w:themeColor="text1" w:sz="4" w:space="0"/>
              <w:right w:val="single" w:color="000000" w:themeColor="text1" w:sz="6" w:space="0"/>
            </w:tcBorders>
          </w:tcPr>
          <w:p w14:paraId="3702451C">
            <w:pPr>
              <w:pStyle w:val="32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Discuss implications of the results for practice, policy, and future research.</w:t>
            </w:r>
          </w:p>
        </w:tc>
        <w:tc>
          <w:tcPr>
            <w:tcW w:w="307" w:type="pct"/>
            <w:tcBorders>
              <w:top w:val="single" w:color="000000" w:themeColor="text1" w:sz="4" w:space="0"/>
              <w:left w:val="single" w:color="000000" w:themeColor="text1" w:sz="6" w:space="0"/>
              <w:bottom w:val="double" w:color="000000" w:themeColor="text1" w:sz="4" w:space="0"/>
              <w:right w:val="single" w:color="000000" w:themeColor="text1" w:sz="4" w:space="0"/>
            </w:tcBorders>
          </w:tcPr>
          <w:p w14:paraId="6D221B6F">
            <w:pPr>
              <w:pStyle w:val="32"/>
              <w:spacing w:line="276" w:lineRule="auto"/>
              <w:rPr>
                <w:rFonts w:hint="eastAsia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Page24</w:t>
            </w:r>
            <w:bookmarkStart w:id="1" w:name="_GoBack"/>
            <w:bookmarkEnd w:id="1"/>
          </w:p>
        </w:tc>
      </w:tr>
      <w:permEnd w:id="54"/>
    </w:tbl>
    <w:p w14:paraId="03872527">
      <w:pPr>
        <w:pStyle w:val="3"/>
        <w:rPr>
          <w:rFonts w:ascii="Arial" w:hAnsi="Arial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It is strongly recommended that this checklist is used in conjunction with the PRISMA-COSMIN for OMIs 2024 Explanation and Elaboration (E&amp;E) document for important clarification on the checklist items. The PRISMA-COSMIN for OMIs 2024 statement checklist is distributed under the terms of the Creative Commons license.</w:t>
      </w:r>
    </w:p>
    <w:p w14:paraId="22C92D9C">
      <w:pPr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a</w:t>
      </w:r>
      <w:r>
        <w:rPr>
          <w:rFonts w:ascii="Arial" w:hAnsi="Arial" w:cs="Arial"/>
          <w:sz w:val="18"/>
          <w:szCs w:val="18"/>
        </w:rPr>
        <w:t xml:space="preserve"> If an item is marked with [T], a template for data visualization is available. These templates can be downloaded from </w:t>
      </w:r>
      <w:r>
        <w:fldChar w:fldCharType="begin"/>
      </w:r>
      <w:r>
        <w:instrText xml:space="preserve"> HYPERLINK "http://www.prisma-cosmin.ca" </w:instrText>
      </w:r>
      <w:r>
        <w:fldChar w:fldCharType="separate"/>
      </w:r>
      <w:r>
        <w:rPr>
          <w:rStyle w:val="14"/>
          <w:rFonts w:ascii="Arial" w:hAnsi="Arial" w:cs="Arial"/>
          <w:sz w:val="18"/>
          <w:szCs w:val="18"/>
        </w:rPr>
        <w:t>www.prisma-cosmin.ca</w:t>
      </w:r>
      <w:r>
        <w:rPr>
          <w:rStyle w:val="14"/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br w:type="textWrapping"/>
      </w:r>
      <w:r>
        <w:rPr>
          <w:rFonts w:ascii="Arial" w:hAnsi="Arial" w:cs="Arial"/>
          <w:sz w:val="18"/>
          <w:szCs w:val="18"/>
          <w:vertAlign w:val="superscript"/>
        </w:rPr>
        <w:t xml:space="preserve">b </w:t>
      </w:r>
      <w:r>
        <w:rPr>
          <w:rFonts w:ascii="Arial" w:hAnsi="Arial" w:cs="Arial"/>
          <w:sz w:val="18"/>
          <w:szCs w:val="18"/>
        </w:rPr>
        <w:t>Item #2.1 in the PRISMA-COSMIN for OMIs 2024 Abstracts checklist refers to the title. Item #2.1 in the Abstracts checklist is identical to item #1 in the Full Report checklist.</w:t>
      </w:r>
    </w:p>
    <w:p w14:paraId="2966ECE5">
      <w:pPr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i/>
          <w:iCs/>
          <w:sz w:val="18"/>
          <w:szCs w:val="18"/>
        </w:rPr>
        <w:t xml:space="preserve">From: </w:t>
      </w:r>
      <w:r>
        <w:rPr>
          <w:rFonts w:ascii="Arial" w:hAnsi="Arial" w:cs="Arial"/>
          <w:sz w:val="18"/>
          <w:szCs w:val="18"/>
        </w:rPr>
        <w:t xml:space="preserve">Elsman EBM, Mokkink LB, Terwee CB, Beaton D, Gagnier JJ, Tricco AC, et al. Guideline for reporting systematic reviews of outcome measurement instruments (OMIs): PRISMA-COSMIN for OMIs 2024. </w:t>
      </w:r>
      <w:r>
        <w:rPr>
          <w:rFonts w:ascii="Arial" w:hAnsi="Arial" w:cs="Arial"/>
          <w:i/>
          <w:iCs/>
          <w:sz w:val="18"/>
          <w:szCs w:val="18"/>
        </w:rPr>
        <w:t xml:space="preserve">Quality of Life Research </w:t>
      </w:r>
      <w:r>
        <w:rPr>
          <w:rFonts w:ascii="Arial" w:hAnsi="Arial" w:cs="Arial"/>
          <w:sz w:val="18"/>
          <w:szCs w:val="18"/>
        </w:rPr>
        <w:t xml:space="preserve">(2024), doi: </w:t>
      </w:r>
      <w:r>
        <w:fldChar w:fldCharType="begin"/>
      </w:r>
      <w:r>
        <w:instrText xml:space="preserve"> HYPERLINK "https://doi.org/10.1007/s11136-024-03634-y" </w:instrText>
      </w:r>
      <w:r>
        <w:fldChar w:fldCharType="separate"/>
      </w:r>
      <w:r>
        <w:rPr>
          <w:rStyle w:val="14"/>
          <w:rFonts w:ascii="Arial" w:hAnsi="Arial" w:cs="Arial"/>
          <w:sz w:val="18"/>
          <w:szCs w:val="18"/>
        </w:rPr>
        <w:t>https://doi.org/10.1007/s11136-024-03634-y</w:t>
      </w:r>
      <w:r>
        <w:rPr>
          <w:rStyle w:val="14"/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>.</w:t>
      </w:r>
    </w:p>
    <w:p w14:paraId="079A00A0"/>
    <w:p w14:paraId="1F6B43DE"/>
    <w:sectPr>
      <w:headerReference r:id="rId5" w:type="default"/>
      <w:footerReference r:id="rId6" w:type="default"/>
      <w:pgSz w:w="15840" w:h="12240" w:orient="landscape"/>
      <w:pgMar w:top="993" w:right="720" w:bottom="-57" w:left="720" w:header="91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50DF7">
    <w:pPr>
      <w:pStyle w:val="6"/>
      <w:jc w:val="center"/>
    </w:pPr>
  </w:p>
  <w:p w14:paraId="34998451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9E206">
    <w:pPr>
      <w:pStyle w:val="7"/>
    </w:pPr>
    <w:r>
      <w:rPr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7658100</wp:posOffset>
              </wp:positionH>
              <wp:positionV relativeFrom="paragraph">
                <wp:posOffset>123825</wp:posOffset>
              </wp:positionV>
              <wp:extent cx="1390650" cy="390525"/>
              <wp:effectExtent l="0" t="0" r="19050" b="2857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0650" cy="390525"/>
                      </a:xfrm>
                      <a:prstGeom prst="rect">
                        <a:avLst/>
                      </a:prstGeom>
                      <a:solidFill>
                        <a:srgbClr val="005EA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FDB91F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Full reports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hthoek 1" o:spid="_x0000_s1026" o:spt="1" style="position:absolute;left:0pt;margin-left:603pt;margin-top:9.75pt;height:30.75pt;width:109.5pt;z-index:251659264;v-text-anchor:middle;mso-width-relative:page;mso-height-relative:page;" fillcolor="#005EAB" filled="t" stroked="t" coordsize="21600,21600" o:gfxdata="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zMrth2gAAAAsBAAAPAAAAAAAAAAEA&#10;IAAAACIAAABkcnMvZG93bnJldi54bWxQSwECFAAUAAAACACHTuJA8mwKeH8CAAAjBQAADgAAAAAA&#10;AAABACAAAAApAQAAZHJzL2Uyb0RvYy54bWxQSwUGAAAAAAYABgBZAQAAGgYAAAAA&#10;">
              <v:fill on="t" focussize="0,0"/>
              <v:stroke weight="1pt" color="#2F528F [3204]" miterlimit="8" joinstyle="miter"/>
              <v:imagedata o:title=""/>
              <o:lock v:ext="edit" aspectratio="f"/>
              <v:textbox>
                <w:txbxContent>
                  <w:p w14:paraId="58FDB91F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6"/>
                        <w:szCs w:val="36"/>
                      </w:rPr>
                      <w:t>Full reports</w:t>
                    </w:r>
                  </w:p>
                </w:txbxContent>
              </v:textbox>
            </v:rect>
          </w:pict>
        </mc:Fallback>
      </mc:AlternateContent>
    </w:r>
    <w:r>
      <w:rPr>
        <w:lang w:val="nl-NL" w:eastAsia="nl-NL"/>
      </w:rPr>
      <w:drawing>
        <wp:inline distT="0" distB="0" distL="0" distR="0">
          <wp:extent cx="2514600" cy="697865"/>
          <wp:effectExtent l="0" t="0" r="0" b="0"/>
          <wp:docPr id="8" name="Afbeelding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828" cy="717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formatting="1" w:enforcement="1"/>
  <w:defaultTabStop w:val="45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02"/>
    <w:rsid w:val="00005064"/>
    <w:rsid w:val="000143BE"/>
    <w:rsid w:val="00021AAA"/>
    <w:rsid w:val="000256D4"/>
    <w:rsid w:val="0002636D"/>
    <w:rsid w:val="00033C0D"/>
    <w:rsid w:val="000435F8"/>
    <w:rsid w:val="00064EBA"/>
    <w:rsid w:val="000702F0"/>
    <w:rsid w:val="000708AE"/>
    <w:rsid w:val="00073ACD"/>
    <w:rsid w:val="0007566A"/>
    <w:rsid w:val="0007777B"/>
    <w:rsid w:val="000822F2"/>
    <w:rsid w:val="00095B58"/>
    <w:rsid w:val="000A409A"/>
    <w:rsid w:val="000E1580"/>
    <w:rsid w:val="000E2073"/>
    <w:rsid w:val="000E238B"/>
    <w:rsid w:val="000F27AF"/>
    <w:rsid w:val="00102260"/>
    <w:rsid w:val="001064FD"/>
    <w:rsid w:val="00116200"/>
    <w:rsid w:val="00132768"/>
    <w:rsid w:val="00134C22"/>
    <w:rsid w:val="001525FF"/>
    <w:rsid w:val="001607E5"/>
    <w:rsid w:val="00170B55"/>
    <w:rsid w:val="00181A08"/>
    <w:rsid w:val="00182F0B"/>
    <w:rsid w:val="001943D9"/>
    <w:rsid w:val="001A2806"/>
    <w:rsid w:val="001A48F9"/>
    <w:rsid w:val="001A7095"/>
    <w:rsid w:val="001A79FB"/>
    <w:rsid w:val="001C5D72"/>
    <w:rsid w:val="001D33F9"/>
    <w:rsid w:val="001D54E8"/>
    <w:rsid w:val="001D5CC7"/>
    <w:rsid w:val="001F1E25"/>
    <w:rsid w:val="001F65F4"/>
    <w:rsid w:val="001F6CCD"/>
    <w:rsid w:val="00203421"/>
    <w:rsid w:val="00203BF4"/>
    <w:rsid w:val="00214584"/>
    <w:rsid w:val="00224E7C"/>
    <w:rsid w:val="002269EB"/>
    <w:rsid w:val="002338D9"/>
    <w:rsid w:val="00236B10"/>
    <w:rsid w:val="00243DE0"/>
    <w:rsid w:val="00253EA0"/>
    <w:rsid w:val="00262175"/>
    <w:rsid w:val="0029685F"/>
    <w:rsid w:val="002A3D44"/>
    <w:rsid w:val="002A745C"/>
    <w:rsid w:val="002A766A"/>
    <w:rsid w:val="002B4A32"/>
    <w:rsid w:val="002B4EEA"/>
    <w:rsid w:val="002B5ED1"/>
    <w:rsid w:val="002C3ABF"/>
    <w:rsid w:val="002C7FA6"/>
    <w:rsid w:val="002D1756"/>
    <w:rsid w:val="002D34B5"/>
    <w:rsid w:val="002D4ED2"/>
    <w:rsid w:val="002E66B7"/>
    <w:rsid w:val="002E785B"/>
    <w:rsid w:val="002E7F3B"/>
    <w:rsid w:val="002F21E7"/>
    <w:rsid w:val="002F2678"/>
    <w:rsid w:val="002F79F9"/>
    <w:rsid w:val="00305EE0"/>
    <w:rsid w:val="00335249"/>
    <w:rsid w:val="00363A7C"/>
    <w:rsid w:val="003669D0"/>
    <w:rsid w:val="0037790E"/>
    <w:rsid w:val="00382F28"/>
    <w:rsid w:val="00384385"/>
    <w:rsid w:val="003867D3"/>
    <w:rsid w:val="0039404D"/>
    <w:rsid w:val="003A3CDC"/>
    <w:rsid w:val="003C0A01"/>
    <w:rsid w:val="003F09DF"/>
    <w:rsid w:val="003F26A3"/>
    <w:rsid w:val="0040749C"/>
    <w:rsid w:val="0043288F"/>
    <w:rsid w:val="00434836"/>
    <w:rsid w:val="00437D86"/>
    <w:rsid w:val="004502D4"/>
    <w:rsid w:val="00465810"/>
    <w:rsid w:val="00466F0F"/>
    <w:rsid w:val="004677A4"/>
    <w:rsid w:val="00472EC6"/>
    <w:rsid w:val="00473AD7"/>
    <w:rsid w:val="00485E02"/>
    <w:rsid w:val="00487D47"/>
    <w:rsid w:val="00492899"/>
    <w:rsid w:val="004B3D8F"/>
    <w:rsid w:val="004D63DD"/>
    <w:rsid w:val="004E010B"/>
    <w:rsid w:val="004E5346"/>
    <w:rsid w:val="004E79A0"/>
    <w:rsid w:val="00502C9F"/>
    <w:rsid w:val="00505441"/>
    <w:rsid w:val="0050784F"/>
    <w:rsid w:val="005103F4"/>
    <w:rsid w:val="00510477"/>
    <w:rsid w:val="0052675E"/>
    <w:rsid w:val="005303E6"/>
    <w:rsid w:val="00531BDC"/>
    <w:rsid w:val="00532BF7"/>
    <w:rsid w:val="00537862"/>
    <w:rsid w:val="00546A97"/>
    <w:rsid w:val="00551BFC"/>
    <w:rsid w:val="00561800"/>
    <w:rsid w:val="0056358B"/>
    <w:rsid w:val="00565224"/>
    <w:rsid w:val="00567485"/>
    <w:rsid w:val="00583A8C"/>
    <w:rsid w:val="00592B88"/>
    <w:rsid w:val="005948BA"/>
    <w:rsid w:val="00595C1C"/>
    <w:rsid w:val="0059792D"/>
    <w:rsid w:val="005A09D3"/>
    <w:rsid w:val="005B08D6"/>
    <w:rsid w:val="005C01F7"/>
    <w:rsid w:val="005D340D"/>
    <w:rsid w:val="005D6CB0"/>
    <w:rsid w:val="005E5A69"/>
    <w:rsid w:val="005E5C65"/>
    <w:rsid w:val="005F1D18"/>
    <w:rsid w:val="005F5990"/>
    <w:rsid w:val="005F69DC"/>
    <w:rsid w:val="006053DC"/>
    <w:rsid w:val="006103C7"/>
    <w:rsid w:val="006114A2"/>
    <w:rsid w:val="00613A76"/>
    <w:rsid w:val="00623F86"/>
    <w:rsid w:val="00624643"/>
    <w:rsid w:val="00626057"/>
    <w:rsid w:val="0063190B"/>
    <w:rsid w:val="0064043B"/>
    <w:rsid w:val="00644304"/>
    <w:rsid w:val="00644CF3"/>
    <w:rsid w:val="006506A5"/>
    <w:rsid w:val="006606F7"/>
    <w:rsid w:val="00677E80"/>
    <w:rsid w:val="006A6B4C"/>
    <w:rsid w:val="006A704B"/>
    <w:rsid w:val="006C0ECD"/>
    <w:rsid w:val="006C3B3D"/>
    <w:rsid w:val="006C52E1"/>
    <w:rsid w:val="006C5867"/>
    <w:rsid w:val="006C7CD0"/>
    <w:rsid w:val="006D08BB"/>
    <w:rsid w:val="006D19B3"/>
    <w:rsid w:val="006D485F"/>
    <w:rsid w:val="006E353A"/>
    <w:rsid w:val="006E556E"/>
    <w:rsid w:val="006F3D71"/>
    <w:rsid w:val="006F4558"/>
    <w:rsid w:val="00703ED7"/>
    <w:rsid w:val="0070412D"/>
    <w:rsid w:val="00741CA5"/>
    <w:rsid w:val="007427C2"/>
    <w:rsid w:val="007510B5"/>
    <w:rsid w:val="00756804"/>
    <w:rsid w:val="007616A5"/>
    <w:rsid w:val="007623D9"/>
    <w:rsid w:val="00764DF0"/>
    <w:rsid w:val="007665F1"/>
    <w:rsid w:val="00775556"/>
    <w:rsid w:val="007A79E1"/>
    <w:rsid w:val="007B1575"/>
    <w:rsid w:val="007B4777"/>
    <w:rsid w:val="007B4B8A"/>
    <w:rsid w:val="007C13BE"/>
    <w:rsid w:val="007C272F"/>
    <w:rsid w:val="007C4B5E"/>
    <w:rsid w:val="007C66A2"/>
    <w:rsid w:val="007D6029"/>
    <w:rsid w:val="007E13FC"/>
    <w:rsid w:val="007F12A9"/>
    <w:rsid w:val="007F3C49"/>
    <w:rsid w:val="007F4C0D"/>
    <w:rsid w:val="00800661"/>
    <w:rsid w:val="00805615"/>
    <w:rsid w:val="00807DF9"/>
    <w:rsid w:val="008279FA"/>
    <w:rsid w:val="00827F9A"/>
    <w:rsid w:val="00833FA1"/>
    <w:rsid w:val="0083668E"/>
    <w:rsid w:val="00842A8E"/>
    <w:rsid w:val="00851A23"/>
    <w:rsid w:val="00851C24"/>
    <w:rsid w:val="00853926"/>
    <w:rsid w:val="008563C7"/>
    <w:rsid w:val="00865B6A"/>
    <w:rsid w:val="008771CB"/>
    <w:rsid w:val="008771CF"/>
    <w:rsid w:val="00887F7D"/>
    <w:rsid w:val="00897051"/>
    <w:rsid w:val="00897D5F"/>
    <w:rsid w:val="008A3913"/>
    <w:rsid w:val="008A4BFD"/>
    <w:rsid w:val="008C2402"/>
    <w:rsid w:val="008C689A"/>
    <w:rsid w:val="008E2C72"/>
    <w:rsid w:val="008E536D"/>
    <w:rsid w:val="008F19D1"/>
    <w:rsid w:val="008F4AEC"/>
    <w:rsid w:val="00910C3C"/>
    <w:rsid w:val="0091146C"/>
    <w:rsid w:val="00911B5C"/>
    <w:rsid w:val="009153B4"/>
    <w:rsid w:val="0093249D"/>
    <w:rsid w:val="009373E0"/>
    <w:rsid w:val="00940B9E"/>
    <w:rsid w:val="00952413"/>
    <w:rsid w:val="00960444"/>
    <w:rsid w:val="00964872"/>
    <w:rsid w:val="00967C19"/>
    <w:rsid w:val="00994453"/>
    <w:rsid w:val="00995B14"/>
    <w:rsid w:val="00997F5F"/>
    <w:rsid w:val="009B0260"/>
    <w:rsid w:val="009B36BE"/>
    <w:rsid w:val="009B3A12"/>
    <w:rsid w:val="009C765C"/>
    <w:rsid w:val="009D003F"/>
    <w:rsid w:val="009D5D16"/>
    <w:rsid w:val="009D696F"/>
    <w:rsid w:val="009E6AB7"/>
    <w:rsid w:val="009F3A22"/>
    <w:rsid w:val="00A01D70"/>
    <w:rsid w:val="00A06B14"/>
    <w:rsid w:val="00A136A5"/>
    <w:rsid w:val="00A13ACD"/>
    <w:rsid w:val="00A21DF3"/>
    <w:rsid w:val="00A3219B"/>
    <w:rsid w:val="00A36FBD"/>
    <w:rsid w:val="00A40C01"/>
    <w:rsid w:val="00A63B5E"/>
    <w:rsid w:val="00A74252"/>
    <w:rsid w:val="00A77B46"/>
    <w:rsid w:val="00A80F32"/>
    <w:rsid w:val="00A83B4E"/>
    <w:rsid w:val="00A8479B"/>
    <w:rsid w:val="00A8503E"/>
    <w:rsid w:val="00A8730A"/>
    <w:rsid w:val="00A96F29"/>
    <w:rsid w:val="00AA440A"/>
    <w:rsid w:val="00AC4589"/>
    <w:rsid w:val="00AC7D4B"/>
    <w:rsid w:val="00AE3661"/>
    <w:rsid w:val="00B0313C"/>
    <w:rsid w:val="00B03674"/>
    <w:rsid w:val="00B07FD6"/>
    <w:rsid w:val="00B10E95"/>
    <w:rsid w:val="00B34648"/>
    <w:rsid w:val="00B35767"/>
    <w:rsid w:val="00B42646"/>
    <w:rsid w:val="00B47AF4"/>
    <w:rsid w:val="00B53243"/>
    <w:rsid w:val="00B55051"/>
    <w:rsid w:val="00B57A51"/>
    <w:rsid w:val="00B61905"/>
    <w:rsid w:val="00B62ABB"/>
    <w:rsid w:val="00B6758D"/>
    <w:rsid w:val="00B7698C"/>
    <w:rsid w:val="00B77D89"/>
    <w:rsid w:val="00B835F8"/>
    <w:rsid w:val="00B85009"/>
    <w:rsid w:val="00B920C0"/>
    <w:rsid w:val="00B92416"/>
    <w:rsid w:val="00B92DB3"/>
    <w:rsid w:val="00BA0769"/>
    <w:rsid w:val="00BA1E56"/>
    <w:rsid w:val="00BA5E31"/>
    <w:rsid w:val="00BA69E5"/>
    <w:rsid w:val="00BB01AF"/>
    <w:rsid w:val="00BB075C"/>
    <w:rsid w:val="00BB17AB"/>
    <w:rsid w:val="00BB5B5B"/>
    <w:rsid w:val="00BB6859"/>
    <w:rsid w:val="00BD11BD"/>
    <w:rsid w:val="00BD1CB9"/>
    <w:rsid w:val="00BE070D"/>
    <w:rsid w:val="00BE0D64"/>
    <w:rsid w:val="00BE59B4"/>
    <w:rsid w:val="00BE7170"/>
    <w:rsid w:val="00BE7649"/>
    <w:rsid w:val="00C03621"/>
    <w:rsid w:val="00C104D2"/>
    <w:rsid w:val="00C21666"/>
    <w:rsid w:val="00C23573"/>
    <w:rsid w:val="00C27CC2"/>
    <w:rsid w:val="00C332AC"/>
    <w:rsid w:val="00C536AC"/>
    <w:rsid w:val="00C62E82"/>
    <w:rsid w:val="00C755FB"/>
    <w:rsid w:val="00C8087E"/>
    <w:rsid w:val="00C80A68"/>
    <w:rsid w:val="00C86200"/>
    <w:rsid w:val="00C9200E"/>
    <w:rsid w:val="00C952D0"/>
    <w:rsid w:val="00CB16B5"/>
    <w:rsid w:val="00CD7078"/>
    <w:rsid w:val="00CD763C"/>
    <w:rsid w:val="00CE6671"/>
    <w:rsid w:val="00CF3945"/>
    <w:rsid w:val="00D000D2"/>
    <w:rsid w:val="00D055BF"/>
    <w:rsid w:val="00D13C1F"/>
    <w:rsid w:val="00D212FD"/>
    <w:rsid w:val="00D2676A"/>
    <w:rsid w:val="00D26863"/>
    <w:rsid w:val="00D30CE1"/>
    <w:rsid w:val="00D3513C"/>
    <w:rsid w:val="00D52AAE"/>
    <w:rsid w:val="00D56AA5"/>
    <w:rsid w:val="00D62D7D"/>
    <w:rsid w:val="00D837C3"/>
    <w:rsid w:val="00D83F9D"/>
    <w:rsid w:val="00D85F31"/>
    <w:rsid w:val="00D92234"/>
    <w:rsid w:val="00D95517"/>
    <w:rsid w:val="00DB19C9"/>
    <w:rsid w:val="00DB1CC5"/>
    <w:rsid w:val="00DB2400"/>
    <w:rsid w:val="00DC484E"/>
    <w:rsid w:val="00DE0369"/>
    <w:rsid w:val="00DE0D60"/>
    <w:rsid w:val="00DE6635"/>
    <w:rsid w:val="00DF4336"/>
    <w:rsid w:val="00DF6610"/>
    <w:rsid w:val="00E03252"/>
    <w:rsid w:val="00E10DCC"/>
    <w:rsid w:val="00E2019A"/>
    <w:rsid w:val="00E47EFE"/>
    <w:rsid w:val="00E555AA"/>
    <w:rsid w:val="00E95DD4"/>
    <w:rsid w:val="00EA4766"/>
    <w:rsid w:val="00EB0AAA"/>
    <w:rsid w:val="00EC0439"/>
    <w:rsid w:val="00EC7419"/>
    <w:rsid w:val="00ED7F0C"/>
    <w:rsid w:val="00EE1012"/>
    <w:rsid w:val="00EE4C64"/>
    <w:rsid w:val="00EE7455"/>
    <w:rsid w:val="00F0625D"/>
    <w:rsid w:val="00F06D1A"/>
    <w:rsid w:val="00F11389"/>
    <w:rsid w:val="00F12B0D"/>
    <w:rsid w:val="00F30B55"/>
    <w:rsid w:val="00F7280C"/>
    <w:rsid w:val="00F744CA"/>
    <w:rsid w:val="00F768C6"/>
    <w:rsid w:val="00F81DB4"/>
    <w:rsid w:val="00F866E7"/>
    <w:rsid w:val="00F904DE"/>
    <w:rsid w:val="00F90729"/>
    <w:rsid w:val="00F94755"/>
    <w:rsid w:val="00FB6B18"/>
    <w:rsid w:val="00FE1DDB"/>
    <w:rsid w:val="00FF13BD"/>
    <w:rsid w:val="00FF1CC3"/>
    <w:rsid w:val="0177BD00"/>
    <w:rsid w:val="031FC97F"/>
    <w:rsid w:val="04366012"/>
    <w:rsid w:val="05AAFD9B"/>
    <w:rsid w:val="06EC95AF"/>
    <w:rsid w:val="07628EB7"/>
    <w:rsid w:val="076B5D11"/>
    <w:rsid w:val="07B0688B"/>
    <w:rsid w:val="0A26FD6E"/>
    <w:rsid w:val="0BDDCB16"/>
    <w:rsid w:val="0C2D7B2B"/>
    <w:rsid w:val="0CAF1F67"/>
    <w:rsid w:val="0E4AEFC8"/>
    <w:rsid w:val="103BEF39"/>
    <w:rsid w:val="10CD348C"/>
    <w:rsid w:val="10F2C45B"/>
    <w:rsid w:val="11A92443"/>
    <w:rsid w:val="1210C0A8"/>
    <w:rsid w:val="12D7B0AD"/>
    <w:rsid w:val="142B7806"/>
    <w:rsid w:val="14F8462B"/>
    <w:rsid w:val="15D03FEF"/>
    <w:rsid w:val="172DB22E"/>
    <w:rsid w:val="19740981"/>
    <w:rsid w:val="20D0E2EA"/>
    <w:rsid w:val="24C051B2"/>
    <w:rsid w:val="24E3ED79"/>
    <w:rsid w:val="258B2BB0"/>
    <w:rsid w:val="26CA2F1C"/>
    <w:rsid w:val="285DF5F2"/>
    <w:rsid w:val="2A653872"/>
    <w:rsid w:val="2AAAC6F2"/>
    <w:rsid w:val="2C281221"/>
    <w:rsid w:val="2D194463"/>
    <w:rsid w:val="2D963D95"/>
    <w:rsid w:val="2F320DF6"/>
    <w:rsid w:val="3100E019"/>
    <w:rsid w:val="317AC1F3"/>
    <w:rsid w:val="34C037A7"/>
    <w:rsid w:val="3503FFA6"/>
    <w:rsid w:val="38E0DDC2"/>
    <w:rsid w:val="3B96287D"/>
    <w:rsid w:val="3F353471"/>
    <w:rsid w:val="4585B632"/>
    <w:rsid w:val="474208CE"/>
    <w:rsid w:val="475B312B"/>
    <w:rsid w:val="4A15D8BB"/>
    <w:rsid w:val="4A5D488F"/>
    <w:rsid w:val="4BB1A91C"/>
    <w:rsid w:val="4DE44C14"/>
    <w:rsid w:val="4E479D08"/>
    <w:rsid w:val="4E8F03FD"/>
    <w:rsid w:val="4F1C0420"/>
    <w:rsid w:val="4F2D11DD"/>
    <w:rsid w:val="4F4AA3EC"/>
    <w:rsid w:val="50F3A8AE"/>
    <w:rsid w:val="524F5F21"/>
    <w:rsid w:val="528F790F"/>
    <w:rsid w:val="533F7403"/>
    <w:rsid w:val="549C134B"/>
    <w:rsid w:val="5703CAFB"/>
    <w:rsid w:val="576641D3"/>
    <w:rsid w:val="5856AD25"/>
    <w:rsid w:val="59EE5B8B"/>
    <w:rsid w:val="5ADA30F8"/>
    <w:rsid w:val="5B8A2BEC"/>
    <w:rsid w:val="5D0CD999"/>
    <w:rsid w:val="5EBB310F"/>
    <w:rsid w:val="5F67E407"/>
    <w:rsid w:val="5FB51BB7"/>
    <w:rsid w:val="60830808"/>
    <w:rsid w:val="60AF0146"/>
    <w:rsid w:val="61D9A974"/>
    <w:rsid w:val="6289A468"/>
    <w:rsid w:val="62B0302F"/>
    <w:rsid w:val="63FF53CF"/>
    <w:rsid w:val="644538C5"/>
    <w:rsid w:val="64495AC0"/>
    <w:rsid w:val="6635A7F7"/>
    <w:rsid w:val="684F1606"/>
    <w:rsid w:val="69919AEF"/>
    <w:rsid w:val="6A45D425"/>
    <w:rsid w:val="6B01977F"/>
    <w:rsid w:val="6B8DBAFA"/>
    <w:rsid w:val="6BF6C806"/>
    <w:rsid w:val="6CEB3F3C"/>
    <w:rsid w:val="6D0D8314"/>
    <w:rsid w:val="6D2078BB"/>
    <w:rsid w:val="6F8F6508"/>
    <w:rsid w:val="7258DAFD"/>
    <w:rsid w:val="74AA1E1E"/>
    <w:rsid w:val="751470B1"/>
    <w:rsid w:val="759EB30F"/>
    <w:rsid w:val="76522B44"/>
    <w:rsid w:val="7866FC48"/>
    <w:rsid w:val="79065706"/>
    <w:rsid w:val="793C7325"/>
    <w:rsid w:val="7985D377"/>
    <w:rsid w:val="79D4E5FE"/>
    <w:rsid w:val="7B901535"/>
    <w:rsid w:val="7BEB3991"/>
    <w:rsid w:val="7C41723D"/>
    <w:rsid w:val="7DF525F9"/>
    <w:rsid w:val="7E59449A"/>
    <w:rsid w:val="7F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unhideWhenUsed/>
    <w:uiPriority w:val="0"/>
    <w:pPr>
      <w:spacing w:line="240" w:lineRule="auto"/>
    </w:pPr>
    <w:rPr>
      <w:sz w:val="20"/>
      <w:szCs w:val="20"/>
    </w:rPr>
  </w:style>
  <w:style w:type="paragraph" w:styleId="6">
    <w:name w:val="footer"/>
    <w:basedOn w:val="1"/>
    <w:link w:val="1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9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styleId="10">
    <w:name w:val="annotation subject"/>
    <w:basedOn w:val="5"/>
    <w:next w:val="5"/>
    <w:link w:val="23"/>
    <w:semiHidden/>
    <w:unhideWhenUsed/>
    <w:qFormat/>
    <w:uiPriority w:val="99"/>
    <w:pPr>
      <w:spacing w:after="200"/>
    </w:pPr>
    <w:rPr>
      <w:b/>
      <w:bCs/>
      <w:lang w:val="nl-NL"/>
    </w:rPr>
  </w:style>
  <w:style w:type="table" w:styleId="12">
    <w:name w:val="Table Grid"/>
    <w:basedOn w:val="11"/>
    <w:qFormat/>
    <w:uiPriority w:val="59"/>
    <w:pPr>
      <w:spacing w:after="0" w:line="240" w:lineRule="auto"/>
    </w:pPr>
    <w:rPr>
      <w:lang w:val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nhideWhenUsed/>
    <w:qFormat/>
    <w:uiPriority w:val="0"/>
    <w:rPr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13"/>
    <w:link w:val="7"/>
    <w:qFormat/>
    <w:uiPriority w:val="99"/>
  </w:style>
  <w:style w:type="character" w:customStyle="1" w:styleId="19">
    <w:name w:val="Footer Char"/>
    <w:basedOn w:val="13"/>
    <w:link w:val="6"/>
    <w:qFormat/>
    <w:uiPriority w:val="99"/>
  </w:style>
  <w:style w:type="character" w:customStyle="1" w:styleId="20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1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2">
    <w:name w:val="Comment Text Char"/>
    <w:basedOn w:val="13"/>
    <w:link w:val="5"/>
    <w:qFormat/>
    <w:uiPriority w:val="0"/>
    <w:rPr>
      <w:sz w:val="20"/>
      <w:szCs w:val="20"/>
    </w:rPr>
  </w:style>
  <w:style w:type="character" w:customStyle="1" w:styleId="23">
    <w:name w:val="Comment Subject Char"/>
    <w:basedOn w:val="22"/>
    <w:link w:val="10"/>
    <w:semiHidden/>
    <w:qFormat/>
    <w:uiPriority w:val="99"/>
    <w:rPr>
      <w:b/>
      <w:bCs/>
      <w:sz w:val="20"/>
      <w:szCs w:val="20"/>
      <w:lang w:val="nl-NL"/>
    </w:rPr>
  </w:style>
  <w:style w:type="character" w:customStyle="1" w:styleId="24">
    <w:name w:val="normaltextrun"/>
    <w:basedOn w:val="13"/>
    <w:qFormat/>
    <w:uiPriority w:val="0"/>
  </w:style>
  <w:style w:type="character" w:customStyle="1" w:styleId="25">
    <w:name w:val="spellingerror"/>
    <w:basedOn w:val="13"/>
    <w:qFormat/>
    <w:uiPriority w:val="0"/>
  </w:style>
  <w:style w:type="character" w:customStyle="1" w:styleId="26">
    <w:name w:val="eop"/>
    <w:basedOn w:val="13"/>
    <w:qFormat/>
    <w:uiPriority w:val="0"/>
  </w:style>
  <w:style w:type="character" w:customStyle="1" w:styleId="27">
    <w:name w:val="contextualspellingandgrammarerror"/>
    <w:basedOn w:val="13"/>
    <w:qFormat/>
    <w:uiPriority w:val="0"/>
  </w:style>
  <w:style w:type="character" w:customStyle="1" w:styleId="28">
    <w:name w:val="scxw1816574"/>
    <w:basedOn w:val="13"/>
    <w:qFormat/>
    <w:uiPriority w:val="0"/>
  </w:style>
  <w:style w:type="paragraph" w:customStyle="1" w:styleId="29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0">
    <w:name w:val="scxw6116202"/>
    <w:basedOn w:val="13"/>
    <w:qFormat/>
    <w:uiPriority w:val="0"/>
  </w:style>
  <w:style w:type="character" w:customStyle="1" w:styleId="31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en-CA" w:eastAsia="en-CA" w:bidi="ar-SA"/>
    </w:rPr>
  </w:style>
  <w:style w:type="character" w:customStyle="1" w:styleId="33">
    <w:name w:val="scxw181857274"/>
    <w:basedOn w:val="13"/>
    <w:qFormat/>
    <w:uiPriority w:val="0"/>
  </w:style>
  <w:style w:type="paragraph" w:customStyle="1" w:styleId="34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35">
    <w:name w:val="scxw167129712"/>
    <w:basedOn w:val="13"/>
    <w:qFormat/>
    <w:uiPriority w:val="0"/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37">
    <w:name w:val="Onopgeloste melding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c3735d2-e064-47ee-9bcd-41d7384328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9513A3EAE5148A1EDD20C07ADBCDC" ma:contentTypeVersion="18" ma:contentTypeDescription="Create a new document." ma:contentTypeScope="" ma:versionID="b360895ab2cf815f2e8fcd559a58318e">
  <xsd:schema xmlns:xsd="http://www.w3.org/2001/XMLSchema" xmlns:xs="http://www.w3.org/2001/XMLSchema" xmlns:p="http://schemas.microsoft.com/office/2006/metadata/properties" xmlns:ns1="http://schemas.microsoft.com/sharepoint/v3" xmlns:ns3="33b6f221-48b2-408e-81b5-dc9f8dff52be" xmlns:ns4="ac3735d2-e064-47ee-9bcd-41d738432802" targetNamespace="http://schemas.microsoft.com/office/2006/metadata/properties" ma:root="true" ma:fieldsID="d5223b3d871445663c2101dad71a3e30" ns1:_="" ns3:_="" ns4:_="">
    <xsd:import namespace="http://schemas.microsoft.com/sharepoint/v3"/>
    <xsd:import namespace="33b6f221-48b2-408e-81b5-dc9f8dff52be"/>
    <xsd:import namespace="ac3735d2-e064-47ee-9bcd-41d7384328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_ip_UnifiedCompliancePolicyProperties" minOccurs="0"/>
                <xsd:element ref="ns1:_ip_UnifiedCompliancePolicyUIAction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6f221-48b2-408e-81b5-dc9f8dff5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35d2-e064-47ee-9bcd-41d738432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A6E18-86D7-4AC7-9CFA-7CA0C602EB3D}">
  <ds:schemaRefs/>
</ds:datastoreItem>
</file>

<file path=customXml/itemProps3.xml><?xml version="1.0" encoding="utf-8"?>
<ds:datastoreItem xmlns:ds="http://schemas.openxmlformats.org/officeDocument/2006/customXml" ds:itemID="{A4550260-FAE2-4593-9857-C5D0D513E667}">
  <ds:schemaRefs/>
</ds:datastoreItem>
</file>

<file path=customXml/itemProps4.xml><?xml version="1.0" encoding="utf-8"?>
<ds:datastoreItem xmlns:ds="http://schemas.openxmlformats.org/officeDocument/2006/customXml" ds:itemID="{BADC13CB-38C0-402B-B692-24D1A4ECE34D}">
  <ds:schemaRefs/>
</ds:datastoreItem>
</file>

<file path=customXml/itemProps5.xml><?xml version="1.0" encoding="utf-8"?>
<ds:datastoreItem xmlns:ds="http://schemas.openxmlformats.org/officeDocument/2006/customXml" ds:itemID="{3E8BAB68-56E3-4FA7-B73A-FF217E9966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1328</Words>
  <Characters>7568</Characters>
  <Lines>180</Lines>
  <Paragraphs>110</Paragraphs>
  <TotalTime>0</TotalTime>
  <ScaleCrop>false</ScaleCrop>
  <LinksUpToDate>false</LinksUpToDate>
  <CharactersWithSpaces>8739</CharactersWithSpaces>
  <Application>WPS Office_12.1.0.24034_F1E327BC-269C-435d-A152-05C5408002CA</Application>
  <DocSecurity>12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2024-08-14T11:53:00Z</dcterms:created>
  <dc:creator>Ellen Elsman</dc:creator>
  <cp:lastModifiedBy>xuxinxin</cp:lastModifiedBy>
  <cp:lastPrinted>2023-07-07T16:35:00Z</cp:lastPrinted>
  <dcterms:modified xsi:type="dcterms:W3CDTF">2026-01-05T13:56:58Z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0x0101001AC9513A3EAE5148A1EDD20C07ADBCDC</vt:lpwstr>
  </property>
  <property fmtid="{D5CDD505-2E9C-101B-9397-08002B2CF9AE}" pid="3" name="KSOTemplateDocerSaveRecord">
    <vt:lpwstr>eyJoZGlkIjoiMTJkNGEzZGExYWQ0NWVjYWY2YmZiOTQwMzcyYmUzMjkiLCJ1c2VySWQiOiIyNzE3MjM2NDkifQ==</vt:lpwstr>
  </property>
  <property fmtid="{D5CDD505-2E9C-101B-9397-08002B2CF9AE}" pid="4" name="KSOProductBuildVer">
    <vt:lpwstr>2052-12.1.0.24034</vt:lpwstr>
  </property>
  <property fmtid="{D5CDD505-2E9C-101B-9397-08002B2CF9AE}" pid="5" name="ICV">
    <vt:lpwstr>4D632C5D834944A6BF26A3E49F95F4BD_12</vt:lpwstr>
  </property>
</Properties>
</file>