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4065" w14:textId="77777777" w:rsidR="00AD57DD" w:rsidRDefault="00000000">
      <w:pPr>
        <w:pStyle w:val="2"/>
        <w:spacing w:line="360" w:lineRule="auto"/>
        <w:rPr>
          <w:rFonts w:ascii="Times New Roman" w:hAnsi="Times New Roman" w:cs="Times New Roman"/>
          <w:b/>
          <w:bCs/>
          <w:color w:val="auto"/>
          <w:sz w:val="44"/>
          <w:szCs w:val="44"/>
        </w:rPr>
      </w:pPr>
      <w:r>
        <w:rPr>
          <w:rFonts w:ascii="Times New Roman" w:hAnsi="Times New Roman" w:cs="Times New Roman"/>
          <w:b/>
          <w:bCs/>
          <w:color w:val="auto"/>
          <w:sz w:val="44"/>
          <w:szCs w:val="44"/>
        </w:rPr>
        <w:t>Supplementary Materials</w:t>
      </w:r>
    </w:p>
    <w:p w14:paraId="7DD4381B" w14:textId="77777777" w:rsidR="00AD57DD" w:rsidRDefault="00AD57DD">
      <w:pPr>
        <w:spacing w:line="360" w:lineRule="auto"/>
        <w:rPr>
          <w:rFonts w:hint="eastAsia"/>
        </w:rPr>
      </w:pPr>
    </w:p>
    <w:p w14:paraId="517966B5" w14:textId="77777777" w:rsidR="00AD57DD" w:rsidRDefault="00000000">
      <w:pPr>
        <w:keepNext/>
        <w:spacing w:line="360" w:lineRule="auto"/>
        <w:rPr>
          <w:rFonts w:hint="eastAsia"/>
        </w:rPr>
      </w:pPr>
      <w:r>
        <w:rPr>
          <w:rFonts w:hint="eastAsia"/>
          <w:noProof/>
        </w:rPr>
        <w:drawing>
          <wp:inline distT="0" distB="0" distL="0" distR="0" wp14:anchorId="2D45A948" wp14:editId="647C0074">
            <wp:extent cx="5274310" cy="1732280"/>
            <wp:effectExtent l="0" t="0" r="2540" b="1270"/>
            <wp:docPr id="3035260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099"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80384" cy="1734275"/>
                    </a:xfrm>
                    <a:prstGeom prst="rect">
                      <a:avLst/>
                    </a:prstGeom>
                  </pic:spPr>
                </pic:pic>
              </a:graphicData>
            </a:graphic>
          </wp:inline>
        </w:drawing>
      </w:r>
    </w:p>
    <w:p w14:paraId="3966142E" w14:textId="77777777" w:rsidR="00AD57DD" w:rsidRDefault="00000000">
      <w:pPr>
        <w:pStyle w:val="a3"/>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Supplementary Figure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Supplementary_Figure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w:t>
      </w:r>
      <w:r>
        <w:rPr>
          <w:rFonts w:ascii="Times New Roman" w:hAnsi="Times New Roman" w:cs="Times New Roman"/>
          <w:b/>
          <w:bCs/>
          <w:sz w:val="24"/>
          <w:szCs w:val="24"/>
        </w:rPr>
        <w:fldChar w:fldCharType="end"/>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Comparison of validation </w:t>
      </w:r>
      <w:r>
        <w:rPr>
          <w:rFonts w:ascii="Times New Roman" w:hAnsi="Times New Roman" w:cs="Times New Roman" w:hint="eastAsia"/>
          <w:b/>
          <w:bCs/>
          <w:sz w:val="24"/>
          <w:szCs w:val="24"/>
        </w:rPr>
        <w:t>m</w:t>
      </w:r>
      <w:r>
        <w:rPr>
          <w:rFonts w:ascii="Times New Roman" w:hAnsi="Times New Roman" w:cs="Times New Roman"/>
          <w:b/>
          <w:bCs/>
          <w:sz w:val="24"/>
          <w:szCs w:val="24"/>
        </w:rPr>
        <w:t xml:space="preserve">ean </w:t>
      </w:r>
      <w:r>
        <w:rPr>
          <w:rFonts w:ascii="Times New Roman" w:hAnsi="Times New Roman" w:cs="Times New Roman" w:hint="eastAsia"/>
          <w:b/>
          <w:bCs/>
          <w:sz w:val="24"/>
          <w:szCs w:val="24"/>
        </w:rPr>
        <w:t>s</w:t>
      </w:r>
      <w:r>
        <w:rPr>
          <w:rFonts w:ascii="Times New Roman" w:hAnsi="Times New Roman" w:cs="Times New Roman"/>
          <w:b/>
          <w:bCs/>
          <w:sz w:val="24"/>
          <w:szCs w:val="24"/>
        </w:rPr>
        <w:t xml:space="preserve">quared </w:t>
      </w:r>
      <w:r>
        <w:rPr>
          <w:rFonts w:ascii="Times New Roman" w:hAnsi="Times New Roman" w:cs="Times New Roman" w:hint="eastAsia"/>
          <w:b/>
          <w:bCs/>
          <w:sz w:val="24"/>
          <w:szCs w:val="24"/>
        </w:rPr>
        <w:t>e</w:t>
      </w:r>
      <w:r>
        <w:rPr>
          <w:rFonts w:ascii="Times New Roman" w:hAnsi="Times New Roman" w:cs="Times New Roman"/>
          <w:b/>
          <w:bCs/>
          <w:sz w:val="24"/>
          <w:szCs w:val="24"/>
        </w:rPr>
        <w:t>rror (MSE</w:t>
      </w:r>
      <w:r>
        <w:rPr>
          <w:rFonts w:ascii="Times New Roman" w:hAnsi="Times New Roman" w:cs="Times New Roman" w:hint="eastAsia"/>
          <w:b/>
          <w:bCs/>
          <w:sz w:val="24"/>
          <w:szCs w:val="24"/>
        </w:rPr>
        <w:t>)</w:t>
      </w:r>
      <w:r>
        <w:rPr>
          <w:rFonts w:ascii="Times New Roman" w:hAnsi="Times New Roman" w:cs="Times New Roman"/>
          <w:b/>
          <w:bCs/>
          <w:sz w:val="24"/>
          <w:szCs w:val="24"/>
        </w:rPr>
        <w:t xml:space="preserve"> at the first epoch and the last epoch across five-fold cross-validation for LSTM, </w:t>
      </w:r>
      <w:proofErr w:type="spellStart"/>
      <w:r>
        <w:rPr>
          <w:rFonts w:ascii="Times New Roman" w:hAnsi="Times New Roman" w:cs="Times New Roman"/>
          <w:b/>
          <w:bCs/>
          <w:sz w:val="24"/>
          <w:szCs w:val="24"/>
        </w:rPr>
        <w:t>mHolmes</w:t>
      </w:r>
      <w:proofErr w:type="spellEnd"/>
      <w:r>
        <w:rPr>
          <w:rFonts w:ascii="Times New Roman" w:hAnsi="Times New Roman" w:cs="Times New Roman"/>
          <w:b/>
          <w:bCs/>
          <w:sz w:val="24"/>
          <w:szCs w:val="24"/>
        </w:rPr>
        <w:t>, and PINN.</w:t>
      </w:r>
      <w:r>
        <w:rPr>
          <w:rFonts w:ascii="Times New Roman" w:hAnsi="Times New Roman" w:cs="Times New Roman"/>
          <w:sz w:val="24"/>
          <w:szCs w:val="24"/>
        </w:rPr>
        <w:t xml:space="preserve"> The left panel shows the evolution of validation </w:t>
      </w:r>
      <w:r>
        <w:rPr>
          <w:rFonts w:ascii="Times New Roman" w:hAnsi="Times New Roman" w:cs="Times New Roman" w:hint="eastAsia"/>
          <w:sz w:val="24"/>
          <w:szCs w:val="24"/>
        </w:rPr>
        <w:t>loss</w:t>
      </w:r>
      <w:r>
        <w:rPr>
          <w:rFonts w:ascii="Times New Roman" w:hAnsi="Times New Roman" w:cs="Times New Roman"/>
          <w:sz w:val="24"/>
          <w:szCs w:val="24"/>
        </w:rPr>
        <w:t xml:space="preserve"> for the face-to-hip transfer model during training; the right panel shows the corresponding evolution for the hip-to-face transfer model. Results demonstrate that all models achieve stable convergence throughout training, with </w:t>
      </w:r>
      <w:proofErr w:type="spellStart"/>
      <w:r>
        <w:rPr>
          <w:rFonts w:ascii="Times New Roman" w:hAnsi="Times New Roman" w:cs="Times New Roman"/>
          <w:sz w:val="24"/>
          <w:szCs w:val="24"/>
        </w:rPr>
        <w:t>mHolmes</w:t>
      </w:r>
      <w:proofErr w:type="spellEnd"/>
      <w:r>
        <w:rPr>
          <w:rFonts w:ascii="Times New Roman" w:hAnsi="Times New Roman" w:cs="Times New Roman"/>
          <w:sz w:val="24"/>
          <w:szCs w:val="24"/>
        </w:rPr>
        <w:t xml:space="preserve"> exhibiting the lowest final validation MSE, indicating its superior and highly stable training convergence performance.</w:t>
      </w:r>
    </w:p>
    <w:p w14:paraId="1C210E2B" w14:textId="77777777" w:rsidR="00AD57DD" w:rsidRDefault="00AD57DD">
      <w:pPr>
        <w:spacing w:line="360" w:lineRule="auto"/>
        <w:rPr>
          <w:rFonts w:hint="eastAsia"/>
        </w:rPr>
      </w:pPr>
    </w:p>
    <w:p w14:paraId="3B2938D9" w14:textId="77777777" w:rsidR="00AD57DD" w:rsidRDefault="00000000">
      <w:pPr>
        <w:keepNext/>
        <w:spacing w:line="360" w:lineRule="auto"/>
        <w:jc w:val="center"/>
        <w:rPr>
          <w:rFonts w:hint="eastAsia"/>
        </w:rPr>
      </w:pPr>
      <w:r>
        <w:rPr>
          <w:rFonts w:hint="eastAsia"/>
          <w:noProof/>
        </w:rPr>
        <w:lastRenderedPageBreak/>
        <w:drawing>
          <wp:inline distT="0" distB="0" distL="0" distR="0" wp14:anchorId="042A3F0E" wp14:editId="63C1B88D">
            <wp:extent cx="4768850" cy="5706110"/>
            <wp:effectExtent l="0" t="0" r="0" b="8890"/>
            <wp:docPr id="10461336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33695"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73723" cy="5712259"/>
                    </a:xfrm>
                    <a:prstGeom prst="rect">
                      <a:avLst/>
                    </a:prstGeom>
                  </pic:spPr>
                </pic:pic>
              </a:graphicData>
            </a:graphic>
          </wp:inline>
        </w:drawing>
      </w:r>
    </w:p>
    <w:p w14:paraId="3776C3A2" w14:textId="77777777" w:rsidR="00AD57DD" w:rsidRDefault="00000000">
      <w:pPr>
        <w:pStyle w:val="a3"/>
        <w:spacing w:line="240" w:lineRule="auto"/>
        <w:jc w:val="both"/>
        <w:rPr>
          <w:rFonts w:ascii="Times New Roman" w:hAnsi="Times New Roman" w:cs="Times New Roman"/>
          <w:sz w:val="24"/>
          <w:szCs w:val="24"/>
        </w:rPr>
      </w:pPr>
      <w:r>
        <w:rPr>
          <w:rFonts w:ascii="Times New Roman" w:hAnsi="Times New Roman" w:cs="Times New Roman" w:hint="eastAsia"/>
          <w:b/>
          <w:bCs/>
          <w:sz w:val="24"/>
          <w:szCs w:val="24"/>
        </w:rPr>
        <w:t xml:space="preserve">Supplementary Figure </w:t>
      </w:r>
      <w:r>
        <w:rPr>
          <w:rFonts w:ascii="Times New Roman" w:hAnsi="Times New Roman" w:cs="Times New Roman" w:hint="eastAsia"/>
          <w:b/>
          <w:bCs/>
          <w:sz w:val="24"/>
          <w:szCs w:val="24"/>
        </w:rPr>
        <w:fldChar w:fldCharType="begin"/>
      </w:r>
      <w:r>
        <w:rPr>
          <w:rFonts w:ascii="Times New Roman" w:hAnsi="Times New Roman" w:cs="Times New Roman" w:hint="eastAsia"/>
          <w:b/>
          <w:bCs/>
          <w:sz w:val="24"/>
          <w:szCs w:val="24"/>
        </w:rPr>
        <w:instrText xml:space="preserve"> SEQ Supplementary_Figure \* ARABIC </w:instrText>
      </w:r>
      <w:r>
        <w:rPr>
          <w:rFonts w:ascii="Times New Roman" w:hAnsi="Times New Roman" w:cs="Times New Roman" w:hint="eastAsia"/>
          <w:b/>
          <w:bCs/>
          <w:sz w:val="24"/>
          <w:szCs w:val="24"/>
        </w:rPr>
        <w:fldChar w:fldCharType="separate"/>
      </w:r>
      <w:r>
        <w:rPr>
          <w:rFonts w:ascii="Times New Roman" w:hAnsi="Times New Roman" w:cs="Times New Roman"/>
          <w:b/>
          <w:bCs/>
          <w:sz w:val="24"/>
          <w:szCs w:val="24"/>
        </w:rPr>
        <w:t>2</w:t>
      </w:r>
      <w:r>
        <w:rPr>
          <w:rFonts w:ascii="Times New Roman" w:hAnsi="Times New Roman" w:cs="Times New Roman" w:hint="eastAsia"/>
          <w:b/>
          <w:bCs/>
          <w:sz w:val="24"/>
          <w:szCs w:val="24"/>
        </w:rPr>
        <w:fldChar w:fldCharType="end"/>
      </w:r>
      <w:r>
        <w:rPr>
          <w:rFonts w:ascii="Times New Roman" w:hAnsi="Times New Roman" w:cs="Times New Roman" w:hint="eastAsia"/>
          <w:b/>
          <w:bCs/>
          <w:sz w:val="24"/>
          <w:szCs w:val="24"/>
        </w:rPr>
        <w:t xml:space="preserve">. External validation performance on irregular and incomplete data. </w:t>
      </w:r>
      <w:r>
        <w:rPr>
          <w:rFonts w:ascii="Times New Roman" w:hAnsi="Times New Roman" w:cs="Times New Roman" w:hint="eastAsia"/>
          <w:sz w:val="24"/>
          <w:szCs w:val="24"/>
        </w:rPr>
        <w:t>The bar charts illustrate the generalization capability of four transfer learning models (</w:t>
      </w:r>
      <w:proofErr w:type="spellStart"/>
      <w:r>
        <w:rPr>
          <w:rFonts w:ascii="Times New Roman" w:hAnsi="Times New Roman" w:cs="Times New Roman" w:hint="eastAsia"/>
          <w:sz w:val="24"/>
          <w:szCs w:val="24"/>
        </w:rPr>
        <w:t>ElasticNet</w:t>
      </w:r>
      <w:proofErr w:type="spellEnd"/>
      <w:r>
        <w:rPr>
          <w:rFonts w:ascii="Times New Roman" w:hAnsi="Times New Roman" w:cs="Times New Roman" w:hint="eastAsia"/>
          <w:sz w:val="24"/>
          <w:szCs w:val="24"/>
        </w:rPr>
        <w:t xml:space="preserve">, LSTM, </w:t>
      </w:r>
      <w:proofErr w:type="spellStart"/>
      <w:r>
        <w:rPr>
          <w:rFonts w:ascii="Times New Roman" w:hAnsi="Times New Roman" w:cs="Times New Roman" w:hint="eastAsia"/>
          <w:sz w:val="24"/>
          <w:szCs w:val="24"/>
        </w:rPr>
        <w:t>mHolmes</w:t>
      </w:r>
      <w:proofErr w:type="spellEnd"/>
      <w:r>
        <w:rPr>
          <w:rFonts w:ascii="Times New Roman" w:hAnsi="Times New Roman" w:cs="Times New Roman" w:hint="eastAsia"/>
          <w:sz w:val="24"/>
          <w:szCs w:val="24"/>
        </w:rPr>
        <w:t>, and PINN) applied to independent Body (top row) and Head (bottom row) datasets. Performance is evaluated using Pearson correlation (Corr), MSE, and Coefficient of Determination (R</w:t>
      </w:r>
      <w:r>
        <w:rPr>
          <w:rFonts w:ascii="Times New Roman" w:hAnsi="Times New Roman" w:cs="Times New Roman" w:hint="eastAsia"/>
          <w:sz w:val="24"/>
          <w:szCs w:val="24"/>
          <w:vertAlign w:val="superscript"/>
        </w:rPr>
        <w:t>2</w:t>
      </w:r>
      <w:r>
        <w:rPr>
          <w:rFonts w:ascii="Times New Roman" w:hAnsi="Times New Roman" w:cs="Times New Roman" w:hint="eastAsia"/>
          <w:sz w:val="24"/>
          <w:szCs w:val="24"/>
        </w:rPr>
        <w:t xml:space="preserve">). Across both anatomical regions, </w:t>
      </w:r>
      <w:proofErr w:type="spellStart"/>
      <w:r>
        <w:rPr>
          <w:rFonts w:ascii="Times New Roman" w:hAnsi="Times New Roman" w:cs="Times New Roman" w:hint="eastAsia"/>
          <w:sz w:val="24"/>
          <w:szCs w:val="24"/>
        </w:rPr>
        <w:t>mHolmes</w:t>
      </w:r>
      <w:proofErr w:type="spellEnd"/>
      <w:r>
        <w:rPr>
          <w:rFonts w:ascii="Times New Roman" w:hAnsi="Times New Roman" w:cs="Times New Roman" w:hint="eastAsia"/>
          <w:sz w:val="24"/>
          <w:szCs w:val="24"/>
        </w:rPr>
        <w:t xml:space="preserve"> consistently outperforms baseline methods, exhibiting higher accuracy (Corr, R</w:t>
      </w:r>
      <w:r>
        <w:rPr>
          <w:rFonts w:ascii="Times New Roman" w:hAnsi="Times New Roman" w:cs="Times New Roman" w:hint="eastAsia"/>
          <w:sz w:val="24"/>
          <w:szCs w:val="24"/>
          <w:vertAlign w:val="superscript"/>
        </w:rPr>
        <w:t>2</w:t>
      </w:r>
      <w:r>
        <w:rPr>
          <w:rFonts w:ascii="Times New Roman" w:hAnsi="Times New Roman" w:cs="Times New Roman" w:hint="eastAsia"/>
          <w:sz w:val="24"/>
          <w:szCs w:val="24"/>
        </w:rPr>
        <w:t>) and lower error (MSE), thereby demonstrating superior robustness in handling irregular and sparse time-series data.</w:t>
      </w:r>
    </w:p>
    <w:p w14:paraId="623BFFC8" w14:textId="77777777" w:rsidR="00AD57DD" w:rsidRDefault="00AD57DD">
      <w:pPr>
        <w:spacing w:line="360" w:lineRule="auto"/>
        <w:rPr>
          <w:rFonts w:hint="eastAsia"/>
        </w:rPr>
      </w:pPr>
    </w:p>
    <w:p w14:paraId="32D08502" w14:textId="77777777" w:rsidR="00AD57DD" w:rsidRDefault="00000000">
      <w:pPr>
        <w:keepNext/>
        <w:spacing w:line="360" w:lineRule="auto"/>
        <w:jc w:val="center"/>
        <w:rPr>
          <w:rFonts w:hint="eastAsia"/>
        </w:rPr>
      </w:pPr>
      <w:r>
        <w:rPr>
          <w:rFonts w:hint="eastAsia"/>
          <w:noProof/>
        </w:rPr>
        <w:lastRenderedPageBreak/>
        <w:drawing>
          <wp:inline distT="0" distB="0" distL="0" distR="0" wp14:anchorId="19D1E978" wp14:editId="24F657D1">
            <wp:extent cx="4363085" cy="4723765"/>
            <wp:effectExtent l="0" t="0" r="0" b="635"/>
            <wp:docPr id="775903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0356" name="图片 2"/>
                    <pic:cNvPicPr>
                      <a:picLocks noChangeAspect="1"/>
                    </pic:cNvPicPr>
                  </pic:nvPicPr>
                  <pic:blipFill>
                    <a:blip r:embed="rId8" cstate="print">
                      <a:extLst>
                        <a:ext uri="{28A0092B-C50C-407E-A947-70E740481C1C}">
                          <a14:useLocalDpi xmlns:a14="http://schemas.microsoft.com/office/drawing/2010/main" val="0"/>
                        </a:ext>
                      </a:extLst>
                    </a:blip>
                    <a:srcRect l="27576" t="-292" r="20406" b="29457"/>
                    <a:stretch>
                      <a:fillRect/>
                    </a:stretch>
                  </pic:blipFill>
                  <pic:spPr>
                    <a:xfrm>
                      <a:off x="0" y="0"/>
                      <a:ext cx="4377218" cy="4739250"/>
                    </a:xfrm>
                    <a:prstGeom prst="rect">
                      <a:avLst/>
                    </a:prstGeom>
                    <a:ln>
                      <a:noFill/>
                    </a:ln>
                  </pic:spPr>
                </pic:pic>
              </a:graphicData>
            </a:graphic>
          </wp:inline>
        </w:drawing>
      </w:r>
    </w:p>
    <w:p w14:paraId="048B600B" w14:textId="77777777" w:rsidR="00AD57DD" w:rsidRDefault="00000000">
      <w:pPr>
        <w:pStyle w:val="a3"/>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Supplementary Figure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Supplementary_Figure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3</w:t>
      </w:r>
      <w:r>
        <w:rPr>
          <w:rFonts w:ascii="Times New Roman" w:hAnsi="Times New Roman" w:cs="Times New Roman"/>
          <w:b/>
          <w:bCs/>
          <w:sz w:val="24"/>
          <w:szCs w:val="24"/>
        </w:rPr>
        <w:fldChar w:fldCharType="end"/>
      </w:r>
      <w:r>
        <w:rPr>
          <w:rFonts w:ascii="Times New Roman" w:hAnsi="Times New Roman" w:cs="Times New Roman"/>
          <w:b/>
          <w:bCs/>
          <w:sz w:val="24"/>
          <w:szCs w:val="24"/>
        </w:rPr>
        <w:t>.</w:t>
      </w:r>
      <w:r>
        <w:rPr>
          <w:rFonts w:ascii="Times New Roman" w:hAnsi="Times New Roman" w:cs="Times New Roman" w:hint="eastAsia"/>
          <w:b/>
          <w:bCs/>
          <w:sz w:val="24"/>
          <w:szCs w:val="24"/>
        </w:rPr>
        <w:t xml:space="preserve"> Bray-Curtis (BC) dissimilarity was calculated between predicted and observed microbial community compositions within the hip validation cohort.</w:t>
      </w:r>
      <w:r>
        <w:rPr>
          <w:rFonts w:ascii="Times New Roman" w:hAnsi="Times New Roman" w:cs="Times New Roman" w:hint="eastAsia"/>
          <w:sz w:val="24"/>
          <w:szCs w:val="24"/>
        </w:rPr>
        <w:t xml:space="preserve"> Performance was assessed across four training strategies: Face-to-hip (trained on face data); Hip-to-hip (trained on hip data; baseline); Transfer (pre-trained on face data with subsequent fine-tuning on a hip subset); and Mix-to-Face (trained on a pooled dataset of face and hip fine-tuning cohorts). Lower BC values indicate higher similarity to the ground truth (greater ecological fidelity). Red stars denote </w:t>
      </w:r>
      <w:r>
        <w:rPr>
          <w:rFonts w:ascii="Times New Roman" w:hAnsi="Times New Roman" w:cs="Times New Roman"/>
          <w:sz w:val="24"/>
          <w:szCs w:val="24"/>
        </w:rPr>
        <w:t>important</w:t>
      </w:r>
      <w:r>
        <w:rPr>
          <w:rFonts w:ascii="Times New Roman" w:hAnsi="Times New Roman" w:cs="Times New Roman" w:hint="eastAsia"/>
          <w:sz w:val="24"/>
          <w:szCs w:val="24"/>
        </w:rPr>
        <w:t xml:space="preserve"> comparison with Hip-to-hip baseline (Wilcoxon rank-sum test; *P &lt; 0.05, **P &lt; 0.01, ***P &lt; 0.001). Source and target cohort assignments are schematically illustrated in the adjacent panel.</w:t>
      </w:r>
    </w:p>
    <w:p w14:paraId="71F02FF4" w14:textId="77777777" w:rsidR="00AD57DD" w:rsidRDefault="00AD57DD">
      <w:pPr>
        <w:spacing w:line="360" w:lineRule="auto"/>
        <w:jc w:val="center"/>
        <w:rPr>
          <w:rFonts w:hint="eastAsia"/>
        </w:rPr>
      </w:pPr>
    </w:p>
    <w:p w14:paraId="266C990E" w14:textId="77777777" w:rsidR="00AD57DD" w:rsidRDefault="00000000">
      <w:pPr>
        <w:keepNext/>
        <w:spacing w:line="360" w:lineRule="auto"/>
        <w:jc w:val="center"/>
        <w:rPr>
          <w:rFonts w:hint="eastAsia"/>
        </w:rPr>
      </w:pPr>
      <w:r>
        <w:rPr>
          <w:rFonts w:hint="eastAsia"/>
          <w:noProof/>
        </w:rPr>
        <w:lastRenderedPageBreak/>
        <w:drawing>
          <wp:inline distT="0" distB="0" distL="0" distR="0" wp14:anchorId="1993C1BF" wp14:editId="547C878A">
            <wp:extent cx="5274310" cy="4214495"/>
            <wp:effectExtent l="0" t="0" r="2540" b="0"/>
            <wp:docPr id="18439292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929220"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214495"/>
                    </a:xfrm>
                    <a:prstGeom prst="rect">
                      <a:avLst/>
                    </a:prstGeom>
                  </pic:spPr>
                </pic:pic>
              </a:graphicData>
            </a:graphic>
          </wp:inline>
        </w:drawing>
      </w:r>
    </w:p>
    <w:p w14:paraId="2F3879D7" w14:textId="77777777" w:rsidR="00AD57DD" w:rsidRDefault="00000000">
      <w:pPr>
        <w:pStyle w:val="a3"/>
        <w:spacing w:line="240" w:lineRule="auto"/>
        <w:jc w:val="both"/>
        <w:rPr>
          <w:rFonts w:ascii="Times New Roman" w:hAnsi="Times New Roman" w:cs="Times New Roman"/>
          <w:sz w:val="24"/>
          <w:szCs w:val="24"/>
        </w:rPr>
      </w:pPr>
      <w:r>
        <w:rPr>
          <w:rFonts w:ascii="Times New Roman" w:hAnsi="Times New Roman" w:cs="Times New Roman"/>
          <w:b/>
          <w:bCs/>
          <w:sz w:val="24"/>
          <w:szCs w:val="24"/>
        </w:rPr>
        <w:t>Supplementary Figure</w:t>
      </w:r>
      <w:r>
        <w:rPr>
          <w:rFonts w:ascii="Times New Roman" w:hAnsi="Times New Roman" w:cs="Times New Roman" w:hint="eastAsia"/>
          <w:b/>
          <w:bCs/>
          <w:sz w:val="24"/>
          <w:szCs w:val="24"/>
        </w:rPr>
        <w:t xml:space="preserv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Supplementary_Figure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4</w:t>
      </w:r>
      <w:r>
        <w:rPr>
          <w:rFonts w:ascii="Times New Roman" w:hAnsi="Times New Roman" w:cs="Times New Roman"/>
          <w:b/>
          <w:bCs/>
          <w:sz w:val="24"/>
          <w:szCs w:val="24"/>
        </w:rPr>
        <w:fldChar w:fldCharType="end"/>
      </w:r>
      <w:r>
        <w:rPr>
          <w:rFonts w:ascii="Times New Roman" w:hAnsi="Times New Roman" w:cs="Times New Roman"/>
          <w:b/>
          <w:bCs/>
          <w:sz w:val="24"/>
          <w:szCs w:val="24"/>
        </w:rPr>
        <w:t>. Heatmap showing predictive performance of the foundational and transfer models across source-to-target body site combinations (mean values from five-fold cross-validation).</w:t>
      </w:r>
      <w:r>
        <w:rPr>
          <w:rFonts w:ascii="Times New Roman" w:hAnsi="Times New Roman" w:cs="Times New Roman"/>
          <w:sz w:val="24"/>
          <w:szCs w:val="24"/>
        </w:rPr>
        <w:t xml:space="preserve"> Upper panel: validation MSE (lighter</w:t>
      </w:r>
      <w:r>
        <w:rPr>
          <w:rFonts w:ascii="Times New Roman" w:hAnsi="Times New Roman" w:cs="Times New Roman" w:hint="eastAsia"/>
          <w:sz w:val="24"/>
          <w:szCs w:val="24"/>
        </w:rPr>
        <w:t>:</w:t>
      </w:r>
      <w:r>
        <w:rPr>
          <w:rFonts w:ascii="Times New Roman" w:hAnsi="Times New Roman" w:cs="Times New Roman"/>
          <w:sz w:val="24"/>
          <w:szCs w:val="24"/>
        </w:rPr>
        <w:t xml:space="preserve"> lower error); lower panel: R² (darker</w:t>
      </w:r>
      <w:r>
        <w:rPr>
          <w:rFonts w:ascii="Times New Roman" w:hAnsi="Times New Roman" w:cs="Times New Roman" w:hint="eastAsia"/>
          <w:sz w:val="24"/>
          <w:szCs w:val="24"/>
        </w:rPr>
        <w:t>:</w:t>
      </w:r>
      <w:r>
        <w:rPr>
          <w:rFonts w:ascii="Times New Roman" w:hAnsi="Times New Roman" w:cs="Times New Roman"/>
          <w:sz w:val="24"/>
          <w:szCs w:val="24"/>
        </w:rPr>
        <w:t xml:space="preserve"> higher explanatory power). Rows indicate the source site (discovery cohort used for pre-training); columns indicate the target site (validation cohort). When source and target sites match (face</w:t>
      </w:r>
      <w:r>
        <w:rPr>
          <w:rFonts w:ascii="Times New Roman" w:hAnsi="Times New Roman" w:cs="Times New Roman" w:hint="eastAsia"/>
          <w:sz w:val="24"/>
          <w:szCs w:val="24"/>
        </w:rPr>
        <w:t>-to-</w:t>
      </w:r>
      <w:r>
        <w:rPr>
          <w:rFonts w:ascii="Times New Roman" w:hAnsi="Times New Roman" w:cs="Times New Roman"/>
          <w:sz w:val="24"/>
          <w:szCs w:val="24"/>
        </w:rPr>
        <w:t>face, hip</w:t>
      </w:r>
      <w:r>
        <w:rPr>
          <w:rFonts w:ascii="Times New Roman" w:hAnsi="Times New Roman" w:cs="Times New Roman" w:hint="eastAsia"/>
          <w:sz w:val="24"/>
          <w:szCs w:val="24"/>
        </w:rPr>
        <w:t>-to-</w:t>
      </w:r>
      <w:r>
        <w:rPr>
          <w:rFonts w:ascii="Times New Roman" w:hAnsi="Times New Roman" w:cs="Times New Roman"/>
          <w:sz w:val="24"/>
          <w:szCs w:val="24"/>
        </w:rPr>
        <w:t>hip), the foundational model is applied directly without transfer learning. The transfer model, when applied to cross-site tasks (face</w:t>
      </w:r>
      <w:r>
        <w:rPr>
          <w:rFonts w:ascii="Times New Roman" w:hAnsi="Times New Roman" w:cs="Times New Roman" w:hint="eastAsia"/>
          <w:sz w:val="24"/>
          <w:szCs w:val="24"/>
        </w:rPr>
        <w:t>-to-</w:t>
      </w:r>
      <w:r>
        <w:rPr>
          <w:rFonts w:ascii="Times New Roman" w:hAnsi="Times New Roman" w:cs="Times New Roman"/>
          <w:sz w:val="24"/>
          <w:szCs w:val="24"/>
        </w:rPr>
        <w:t>hip and hip</w:t>
      </w:r>
      <w:r>
        <w:rPr>
          <w:rFonts w:ascii="Times New Roman" w:hAnsi="Times New Roman" w:cs="Times New Roman" w:hint="eastAsia"/>
          <w:sz w:val="24"/>
          <w:szCs w:val="24"/>
        </w:rPr>
        <w:t>-to-</w:t>
      </w:r>
      <w:r>
        <w:rPr>
          <w:rFonts w:ascii="Times New Roman" w:hAnsi="Times New Roman" w:cs="Times New Roman"/>
          <w:sz w:val="24"/>
          <w:szCs w:val="24"/>
        </w:rPr>
        <w:t>face), achieves slightly lower MSE and higher R² than the corresponding foundational models trained from scratch on the target site, confirming effective knowledge transfer. Overall, both models perform better when the hip is the target site than when the face is the target site.</w:t>
      </w:r>
    </w:p>
    <w:p w14:paraId="24A6F916" w14:textId="77777777" w:rsidR="00AD57DD" w:rsidRDefault="00AD57DD">
      <w:pPr>
        <w:spacing w:line="360" w:lineRule="auto"/>
        <w:rPr>
          <w:rFonts w:hint="eastAsia"/>
        </w:rPr>
      </w:pPr>
    </w:p>
    <w:p w14:paraId="34AE7B83" w14:textId="77777777" w:rsidR="00AD57DD" w:rsidRDefault="00AD57DD">
      <w:pPr>
        <w:spacing w:line="360" w:lineRule="auto"/>
        <w:jc w:val="center"/>
        <w:rPr>
          <w:rFonts w:hint="eastAsia"/>
        </w:rPr>
      </w:pPr>
    </w:p>
    <w:p w14:paraId="24C5251C" w14:textId="77777777" w:rsidR="00AD57DD" w:rsidRDefault="00AD57DD">
      <w:pPr>
        <w:spacing w:line="360" w:lineRule="auto"/>
        <w:jc w:val="center"/>
        <w:rPr>
          <w:rFonts w:hint="eastAsia"/>
        </w:rPr>
      </w:pPr>
    </w:p>
    <w:p w14:paraId="3A2D78D1" w14:textId="77777777" w:rsidR="00AD57DD" w:rsidRDefault="00000000">
      <w:pPr>
        <w:keepNext/>
        <w:spacing w:line="360" w:lineRule="auto"/>
        <w:jc w:val="center"/>
        <w:rPr>
          <w:rFonts w:hint="eastAsia"/>
        </w:rPr>
      </w:pPr>
      <w:r>
        <w:rPr>
          <w:rFonts w:hint="eastAsia"/>
          <w:noProof/>
        </w:rPr>
        <w:lastRenderedPageBreak/>
        <w:drawing>
          <wp:inline distT="0" distB="0" distL="0" distR="0" wp14:anchorId="48689A17" wp14:editId="6FEC3FD7">
            <wp:extent cx="5274310" cy="4317365"/>
            <wp:effectExtent l="0" t="0" r="2540" b="6985"/>
            <wp:docPr id="2666240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24079"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4317365"/>
                    </a:xfrm>
                    <a:prstGeom prst="rect">
                      <a:avLst/>
                    </a:prstGeom>
                  </pic:spPr>
                </pic:pic>
              </a:graphicData>
            </a:graphic>
          </wp:inline>
        </w:drawing>
      </w:r>
    </w:p>
    <w:p w14:paraId="7D80B500" w14:textId="709BF8E7" w:rsidR="00AD57DD" w:rsidRDefault="00000000">
      <w:pPr>
        <w:pStyle w:val="a3"/>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Supplementary Figure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Supplementary_Figure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5</w:t>
      </w:r>
      <w:r>
        <w:rPr>
          <w:rFonts w:ascii="Times New Roman" w:hAnsi="Times New Roman" w:cs="Times New Roman"/>
          <w:b/>
          <w:bCs/>
          <w:sz w:val="24"/>
          <w:szCs w:val="24"/>
        </w:rPr>
        <w:fldChar w:fldCharType="end"/>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Prediction performance of </w:t>
      </w:r>
      <w:proofErr w:type="spellStart"/>
      <w:r>
        <w:rPr>
          <w:rFonts w:ascii="Times New Roman" w:hAnsi="Times New Roman" w:cs="Times New Roman"/>
          <w:b/>
          <w:bCs/>
          <w:sz w:val="24"/>
          <w:szCs w:val="24"/>
        </w:rPr>
        <w:t>mHolmes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forPMI</w:t>
      </w:r>
      <w:proofErr w:type="spellEnd"/>
      <w:r>
        <w:rPr>
          <w:rFonts w:ascii="Times New Roman" w:hAnsi="Times New Roman" w:cs="Times New Roman"/>
          <w:b/>
          <w:bCs/>
          <w:sz w:val="24"/>
          <w:szCs w:val="24"/>
        </w:rPr>
        <w:t xml:space="preserve"> on face and hip datasets, where bodies were discovered after 10 days postmortem (MAE in days, five-fold cross-validation).</w:t>
      </w:r>
      <w:r>
        <w:rPr>
          <w:rFonts w:ascii="Times New Roman" w:hAnsi="Times New Roman" w:cs="Times New Roman"/>
          <w:sz w:val="24"/>
          <w:szCs w:val="24"/>
        </w:rPr>
        <w:t xml:space="preserve"> Top panel: comparison between using the total feature set and using only </w:t>
      </w:r>
      <w:proofErr w:type="spellStart"/>
      <w:r>
        <w:rPr>
          <w:rFonts w:ascii="Times New Roman" w:hAnsi="Times New Roman" w:cs="Times New Roman" w:hint="eastAsia"/>
          <w:sz w:val="24"/>
          <w:szCs w:val="24"/>
        </w:rPr>
        <w:t>k</w:t>
      </w:r>
      <w:r>
        <w:rPr>
          <w:rFonts w:ascii="Times New Roman" w:hAnsi="Times New Roman" w:cs="Times New Roman"/>
          <w:sz w:val="24"/>
          <w:szCs w:val="24"/>
        </w:rPr>
        <w:t>eytaxa</w:t>
      </w:r>
      <w:proofErr w:type="spellEnd"/>
      <w:r>
        <w:rPr>
          <w:rFonts w:ascii="Times New Roman" w:hAnsi="Times New Roman" w:cs="Times New Roman"/>
          <w:sz w:val="24"/>
          <w:szCs w:val="24"/>
        </w:rPr>
        <w:t xml:space="preserve"> when microbial successions for the first four days of the 11-day PMI are generated by </w:t>
      </w:r>
      <w:proofErr w:type="spellStart"/>
      <w:r>
        <w:rPr>
          <w:rFonts w:ascii="Times New Roman" w:hAnsi="Times New Roman" w:cs="Times New Roman"/>
          <w:sz w:val="24"/>
          <w:szCs w:val="24"/>
        </w:rPr>
        <w:t>mHolmes</w:t>
      </w:r>
      <w:proofErr w:type="spellEnd"/>
      <w:r>
        <w:rPr>
          <w:rFonts w:ascii="Times New Roman" w:hAnsi="Times New Roman" w:cs="Times New Roman"/>
          <w:sz w:val="24"/>
          <w:szCs w:val="24"/>
        </w:rPr>
        <w:t xml:space="preserve"> from real sampling data of the last seven days. Middle and bottom panels: comparison between using only real sampled data (Past-Only, orange) and supplementing early-day real data with </w:t>
      </w:r>
      <w:proofErr w:type="spellStart"/>
      <w:r>
        <w:rPr>
          <w:rFonts w:ascii="Times New Roman" w:hAnsi="Times New Roman" w:cs="Times New Roman"/>
          <w:sz w:val="24"/>
          <w:szCs w:val="24"/>
        </w:rPr>
        <w:t>mHolmes</w:t>
      </w:r>
      <w:proofErr w:type="spellEnd"/>
      <w:r>
        <w:rPr>
          <w:rFonts w:ascii="Times New Roman" w:hAnsi="Times New Roman" w:cs="Times New Roman"/>
          <w:sz w:val="24"/>
          <w:szCs w:val="24"/>
        </w:rPr>
        <w:t xml:space="preserve">-generated profiles for prior days (Past+Generated, blue), using </w:t>
      </w:r>
      <w:proofErr w:type="spellStart"/>
      <w:r>
        <w:rPr>
          <w:rFonts w:ascii="Times New Roman" w:hAnsi="Times New Roman" w:cs="Times New Roman" w:hint="eastAsia"/>
          <w:sz w:val="24"/>
          <w:szCs w:val="24"/>
        </w:rPr>
        <w:t>k</w:t>
      </w:r>
      <w:r>
        <w:rPr>
          <w:rFonts w:ascii="Times New Roman" w:hAnsi="Times New Roman" w:cs="Times New Roman"/>
          <w:sz w:val="24"/>
          <w:szCs w:val="24"/>
        </w:rPr>
        <w:t>eytaxa</w:t>
      </w:r>
      <w:proofErr w:type="spellEnd"/>
      <w:r>
        <w:rPr>
          <w:rFonts w:ascii="Times New Roman" w:hAnsi="Times New Roman" w:cs="Times New Roman"/>
          <w:sz w:val="24"/>
          <w:szCs w:val="24"/>
        </w:rPr>
        <w:t xml:space="preserve"> alone (middle) or the total feature set (bottom). The gray dashed line indicates the lowest MAE previously reported in the literature. Across both body sites, the Past+Generated scenario achieves MAE comparable to or lower than Past-Only, demonstrating that </w:t>
      </w:r>
      <w:proofErr w:type="spellStart"/>
      <w:r>
        <w:rPr>
          <w:rFonts w:ascii="Times New Roman" w:hAnsi="Times New Roman" w:cs="Times New Roman"/>
          <w:sz w:val="24"/>
          <w:szCs w:val="24"/>
        </w:rPr>
        <w:t>mHolmes</w:t>
      </w:r>
      <w:proofErr w:type="spellEnd"/>
      <w:r>
        <w:rPr>
          <w:rFonts w:ascii="Times New Roman" w:hAnsi="Times New Roman" w:cs="Times New Roman"/>
          <w:sz w:val="24"/>
          <w:szCs w:val="24"/>
        </w:rPr>
        <w:t>-generated successional sequences are highly biologically plausible and can effectively substitute for missing real sequencing data in accurate PMI estimation. The highest accuracy is obtained when the total feature set is used. Boxes represent the interquartile range, horizontal lines indicate medians, whiskers extend to 1.5 × IQR, and outliers are plotted individually. The dashed gray line indicates the lowest previously reported MAE for reference. Significance (Wilcoxon rank-sum test): *p &lt; 0.05.</w:t>
      </w:r>
    </w:p>
    <w:p w14:paraId="4DACC15A" w14:textId="77777777" w:rsidR="00AD57DD" w:rsidRDefault="00000000">
      <w:pPr>
        <w:widowControl/>
        <w:rPr>
          <w:rFonts w:hint="eastAsia"/>
        </w:rPr>
      </w:pPr>
      <w:r>
        <w:rPr>
          <w:rFonts w:hint="eastAsia"/>
        </w:rPr>
        <w:br w:type="page"/>
      </w:r>
    </w:p>
    <w:p w14:paraId="77827960" w14:textId="77777777" w:rsidR="00AD57DD" w:rsidRDefault="00000000">
      <w:pPr>
        <w:keepNext/>
        <w:spacing w:line="360" w:lineRule="auto"/>
        <w:jc w:val="center"/>
        <w:rPr>
          <w:rFonts w:hint="eastAsia"/>
        </w:rPr>
      </w:pPr>
      <w:r>
        <w:rPr>
          <w:rFonts w:hint="eastAsia"/>
          <w:noProof/>
        </w:rPr>
        <w:lastRenderedPageBreak/>
        <w:drawing>
          <wp:inline distT="0" distB="0" distL="0" distR="0" wp14:anchorId="555A12FD" wp14:editId="7B9765B9">
            <wp:extent cx="5274310" cy="3905885"/>
            <wp:effectExtent l="0" t="0" r="2540" b="0"/>
            <wp:docPr id="11475144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14457" name="图片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905885"/>
                    </a:xfrm>
                    <a:prstGeom prst="rect">
                      <a:avLst/>
                    </a:prstGeom>
                  </pic:spPr>
                </pic:pic>
              </a:graphicData>
            </a:graphic>
          </wp:inline>
        </w:drawing>
      </w:r>
    </w:p>
    <w:p w14:paraId="6377565A" w14:textId="1BBDA740" w:rsidR="00AD57DD" w:rsidRDefault="00000000">
      <w:pPr>
        <w:pStyle w:val="a3"/>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Supplementary Figure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Supplementary_Figure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6</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Dynamic trajectories of relative abundance for nine representative </w:t>
      </w:r>
      <w:r>
        <w:rPr>
          <w:rFonts w:ascii="Times New Roman" w:hAnsi="Times New Roman" w:cs="Times New Roman"/>
          <w:b/>
          <w:bCs/>
          <w:i/>
          <w:iCs/>
          <w:sz w:val="24"/>
          <w:szCs w:val="24"/>
        </w:rPr>
        <w:t>Gammaproteobacteria</w:t>
      </w:r>
      <w:r>
        <w:rPr>
          <w:rFonts w:ascii="Times New Roman" w:hAnsi="Times New Roman" w:cs="Times New Roman"/>
          <w:b/>
          <w:bCs/>
          <w:sz w:val="24"/>
          <w:szCs w:val="24"/>
        </w:rPr>
        <w:t xml:space="preserve"> genera in the face microbiome during cadaver decomposition (days 1–21 sampling; n = 34 cadavers). </w:t>
      </w:r>
      <w:r>
        <w:rPr>
          <w:rFonts w:ascii="Times New Roman" w:hAnsi="Times New Roman" w:cs="Times New Roman"/>
          <w:sz w:val="24"/>
          <w:szCs w:val="24"/>
        </w:rPr>
        <w:t xml:space="preserve">Yellow curves show LOESS-smoothed trends; pale yellow dots represent individual sample observations. Decomposition stages (annotated in each panel) are defined as follows: Fresh (no visible bloating), Bloat (marked abdominal distension), Active Decay (liquefaction and major soft-tissue loss), Advanced Decay (largely </w:t>
      </w:r>
      <w:proofErr w:type="spellStart"/>
      <w:r>
        <w:rPr>
          <w:rFonts w:ascii="Times New Roman" w:hAnsi="Times New Roman" w:cs="Times New Roman"/>
          <w:sz w:val="24"/>
          <w:szCs w:val="24"/>
        </w:rPr>
        <w:t>skeletonised</w:t>
      </w:r>
      <w:proofErr w:type="spellEnd"/>
      <w:r>
        <w:rPr>
          <w:rFonts w:ascii="Times New Roman" w:hAnsi="Times New Roman" w:cs="Times New Roman"/>
          <w:sz w:val="24"/>
          <w:szCs w:val="24"/>
        </w:rPr>
        <w:t xml:space="preserve"> with residual desiccated tissue), and Dry (near-complete </w:t>
      </w:r>
      <w:proofErr w:type="spellStart"/>
      <w:r>
        <w:rPr>
          <w:rFonts w:ascii="Times New Roman" w:hAnsi="Times New Roman" w:cs="Times New Roman"/>
          <w:sz w:val="24"/>
          <w:szCs w:val="24"/>
        </w:rPr>
        <w:t>skeletonisation</w:t>
      </w:r>
      <w:proofErr w:type="spellEnd"/>
      <w:r>
        <w:rPr>
          <w:rFonts w:ascii="Times New Roman" w:hAnsi="Times New Roman" w:cs="Times New Roman"/>
          <w:sz w:val="24"/>
          <w:szCs w:val="24"/>
        </w:rPr>
        <w:t xml:space="preserve">). Peak abundance windows for each genus are derived from a comprehensive literature synthesis. </w:t>
      </w:r>
      <w:r w:rsidRPr="002219A7">
        <w:rPr>
          <w:rFonts w:ascii="Times New Roman" w:hAnsi="Times New Roman" w:cs="Times New Roman"/>
          <w:i/>
          <w:iCs/>
          <w:sz w:val="24"/>
          <w:szCs w:val="24"/>
        </w:rPr>
        <w:t xml:space="preserve">Escherichia-Shigella </w:t>
      </w:r>
      <w:r>
        <w:rPr>
          <w:rFonts w:ascii="Times New Roman" w:hAnsi="Times New Roman" w:cs="Times New Roman"/>
          <w:sz w:val="24"/>
          <w:szCs w:val="24"/>
        </w:rPr>
        <w:t xml:space="preserve">declines sharply in the Fresh stage; </w:t>
      </w:r>
      <w:r w:rsidRPr="002219A7">
        <w:rPr>
          <w:rFonts w:ascii="Times New Roman" w:hAnsi="Times New Roman" w:cs="Times New Roman"/>
          <w:i/>
          <w:iCs/>
          <w:sz w:val="24"/>
          <w:szCs w:val="24"/>
        </w:rPr>
        <w:t>Hafnia-</w:t>
      </w:r>
      <w:proofErr w:type="spellStart"/>
      <w:r w:rsidRPr="002219A7">
        <w:rPr>
          <w:rFonts w:ascii="Times New Roman" w:hAnsi="Times New Roman" w:cs="Times New Roman"/>
          <w:i/>
          <w:iCs/>
          <w:sz w:val="24"/>
          <w:szCs w:val="24"/>
        </w:rPr>
        <w:t>Obesumbacterium</w:t>
      </w:r>
      <w:proofErr w:type="spellEnd"/>
      <w:r>
        <w:rPr>
          <w:rFonts w:ascii="Times New Roman" w:hAnsi="Times New Roman" w:cs="Times New Roman"/>
          <w:sz w:val="24"/>
          <w:szCs w:val="24"/>
        </w:rPr>
        <w:t xml:space="preserve"> and </w:t>
      </w:r>
      <w:proofErr w:type="spellStart"/>
      <w:r w:rsidRPr="002219A7">
        <w:rPr>
          <w:rFonts w:ascii="Times New Roman" w:hAnsi="Times New Roman" w:cs="Times New Roman"/>
          <w:i/>
          <w:iCs/>
          <w:sz w:val="24"/>
          <w:szCs w:val="24"/>
        </w:rPr>
        <w:t>Morganella</w:t>
      </w:r>
      <w:proofErr w:type="spellEnd"/>
      <w:r>
        <w:rPr>
          <w:rFonts w:ascii="Times New Roman" w:hAnsi="Times New Roman" w:cs="Times New Roman"/>
          <w:sz w:val="24"/>
          <w:szCs w:val="24"/>
        </w:rPr>
        <w:t xml:space="preserve"> peak during Bloat; </w:t>
      </w:r>
      <w:r w:rsidRPr="002219A7">
        <w:rPr>
          <w:rFonts w:ascii="Times New Roman" w:hAnsi="Times New Roman" w:cs="Times New Roman"/>
          <w:i/>
          <w:iCs/>
          <w:sz w:val="24"/>
          <w:szCs w:val="24"/>
        </w:rPr>
        <w:t>Proteus</w:t>
      </w:r>
      <w:r>
        <w:rPr>
          <w:rFonts w:ascii="Times New Roman" w:hAnsi="Times New Roman" w:cs="Times New Roman"/>
          <w:sz w:val="24"/>
          <w:szCs w:val="24"/>
        </w:rPr>
        <w:t xml:space="preserve"> dominates the Bloat-to-Active Decay transition (days 5–10); </w:t>
      </w:r>
      <w:r w:rsidRPr="002219A7">
        <w:rPr>
          <w:rFonts w:ascii="Times New Roman" w:hAnsi="Times New Roman" w:cs="Times New Roman"/>
          <w:i/>
          <w:iCs/>
          <w:sz w:val="24"/>
          <w:szCs w:val="24"/>
        </w:rPr>
        <w:t>Acinetobacter</w:t>
      </w:r>
      <w:r>
        <w:rPr>
          <w:rFonts w:ascii="Times New Roman" w:hAnsi="Times New Roman" w:cs="Times New Roman"/>
          <w:sz w:val="24"/>
          <w:szCs w:val="24"/>
        </w:rPr>
        <w:t xml:space="preserve">, </w:t>
      </w:r>
      <w:r w:rsidRPr="002219A7">
        <w:rPr>
          <w:rFonts w:ascii="Times New Roman" w:hAnsi="Times New Roman" w:cs="Times New Roman"/>
          <w:i/>
          <w:iCs/>
          <w:sz w:val="24"/>
          <w:szCs w:val="24"/>
        </w:rPr>
        <w:t>Pseudomonas</w:t>
      </w:r>
      <w:r>
        <w:rPr>
          <w:rFonts w:ascii="Times New Roman" w:hAnsi="Times New Roman" w:cs="Times New Roman"/>
          <w:sz w:val="24"/>
          <w:szCs w:val="24"/>
        </w:rPr>
        <w:t xml:space="preserve">, and </w:t>
      </w:r>
      <w:r w:rsidRPr="002219A7">
        <w:rPr>
          <w:rFonts w:ascii="Times New Roman" w:hAnsi="Times New Roman" w:cs="Times New Roman"/>
          <w:i/>
          <w:iCs/>
          <w:sz w:val="24"/>
          <w:szCs w:val="24"/>
        </w:rPr>
        <w:t>Serratia</w:t>
      </w:r>
      <w:r>
        <w:rPr>
          <w:rFonts w:ascii="Times New Roman" w:hAnsi="Times New Roman" w:cs="Times New Roman"/>
          <w:sz w:val="24"/>
          <w:szCs w:val="24"/>
        </w:rPr>
        <w:t xml:space="preserve"> predominate throughout Active Decay (days 4–16); </w:t>
      </w:r>
      <w:r w:rsidRPr="002219A7">
        <w:rPr>
          <w:rFonts w:ascii="Times New Roman" w:hAnsi="Times New Roman" w:cs="Times New Roman"/>
          <w:i/>
          <w:iCs/>
          <w:sz w:val="24"/>
          <w:szCs w:val="24"/>
        </w:rPr>
        <w:t>Shewanella</w:t>
      </w:r>
      <w:r>
        <w:rPr>
          <w:rFonts w:ascii="Times New Roman" w:hAnsi="Times New Roman" w:cs="Times New Roman"/>
          <w:sz w:val="24"/>
          <w:szCs w:val="24"/>
        </w:rPr>
        <w:t xml:space="preserve"> shows a transient rise during the Active-to-Advanced Decay transition. These successional patterns are consistent with the established ecological roles of </w:t>
      </w:r>
      <w:r w:rsidRPr="002219A7">
        <w:rPr>
          <w:rFonts w:ascii="Times New Roman" w:hAnsi="Times New Roman" w:cs="Times New Roman"/>
          <w:i/>
          <w:iCs/>
          <w:sz w:val="24"/>
          <w:szCs w:val="24"/>
        </w:rPr>
        <w:t>Gammaproteobacteria</w:t>
      </w:r>
      <w:r>
        <w:rPr>
          <w:rFonts w:ascii="Times New Roman" w:hAnsi="Times New Roman" w:cs="Times New Roman"/>
          <w:sz w:val="24"/>
          <w:szCs w:val="24"/>
        </w:rPr>
        <w:t xml:space="preserve"> in cadaver decomposition and provide a robust genus-level reference for forensic microbiome-based estimation of </w:t>
      </w:r>
      <w:r w:rsidR="002219A7">
        <w:rPr>
          <w:rFonts w:ascii="Times New Roman" w:hAnsi="Times New Roman" w:cs="Times New Roman" w:hint="eastAsia"/>
          <w:sz w:val="24"/>
          <w:szCs w:val="24"/>
        </w:rPr>
        <w:t>PMI</w:t>
      </w:r>
      <w:r>
        <w:rPr>
          <w:rFonts w:ascii="Times New Roman" w:hAnsi="Times New Roman" w:cs="Times New Roman"/>
          <w:sz w:val="24"/>
          <w:szCs w:val="24"/>
        </w:rPr>
        <w:t xml:space="preserve">. (Notably, </w:t>
      </w:r>
      <w:r w:rsidRPr="002219A7">
        <w:rPr>
          <w:rFonts w:ascii="Times New Roman" w:hAnsi="Times New Roman" w:cs="Times New Roman"/>
          <w:i/>
          <w:iCs/>
          <w:sz w:val="24"/>
          <w:szCs w:val="24"/>
        </w:rPr>
        <w:t>Stenotrophomonas</w:t>
      </w:r>
      <w:r>
        <w:rPr>
          <w:rFonts w:ascii="Times New Roman" w:hAnsi="Times New Roman" w:cs="Times New Roman"/>
          <w:sz w:val="24"/>
          <w:szCs w:val="24"/>
        </w:rPr>
        <w:t xml:space="preserve"> did not show the pronounced late-stage enrichment commonly reported in the literature, possibly due to dry, cold, or low-humidity environmental conditions that suppressed its growth, or because freeze–thaw cycles prior to placement resulted in substantial early loss of this genus.)</w:t>
      </w:r>
    </w:p>
    <w:p w14:paraId="7438ABE9" w14:textId="77777777" w:rsidR="00AD57DD" w:rsidRDefault="00AD57DD">
      <w:pPr>
        <w:widowControl/>
        <w:rPr>
          <w:rFonts w:hint="eastAsia"/>
        </w:rPr>
      </w:pPr>
    </w:p>
    <w:p w14:paraId="3D27F518" w14:textId="77777777" w:rsidR="00AD57DD" w:rsidRDefault="00000000">
      <w:pPr>
        <w:keepNext/>
        <w:spacing w:line="360" w:lineRule="auto"/>
        <w:jc w:val="center"/>
        <w:rPr>
          <w:rFonts w:hint="eastAsia"/>
        </w:rPr>
      </w:pPr>
      <w:r>
        <w:rPr>
          <w:rFonts w:hint="eastAsia"/>
          <w:noProof/>
        </w:rPr>
        <w:lastRenderedPageBreak/>
        <w:drawing>
          <wp:inline distT="0" distB="0" distL="0" distR="0" wp14:anchorId="7A266709" wp14:editId="2E4BB5CA">
            <wp:extent cx="5274310" cy="3896995"/>
            <wp:effectExtent l="0" t="0" r="2540" b="8255"/>
            <wp:docPr id="1290711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1137" name="图片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3896995"/>
                    </a:xfrm>
                    <a:prstGeom prst="rect">
                      <a:avLst/>
                    </a:prstGeom>
                  </pic:spPr>
                </pic:pic>
              </a:graphicData>
            </a:graphic>
          </wp:inline>
        </w:drawing>
      </w:r>
    </w:p>
    <w:p w14:paraId="40F25F7A" w14:textId="08AAB8BC" w:rsidR="00AD57DD" w:rsidRDefault="00000000">
      <w:pPr>
        <w:pStyle w:val="a3"/>
        <w:spacing w:line="240" w:lineRule="auto"/>
        <w:jc w:val="both"/>
        <w:rPr>
          <w:rFonts w:ascii="Times New Roman" w:hAnsi="Times New Roman" w:cs="Times New Roman"/>
        </w:rPr>
      </w:pPr>
      <w:r>
        <w:rPr>
          <w:rFonts w:ascii="Times New Roman" w:hAnsi="Times New Roman" w:cs="Times New Roman"/>
          <w:b/>
          <w:bCs/>
          <w:sz w:val="24"/>
          <w:szCs w:val="24"/>
        </w:rPr>
        <w:t xml:space="preserve">Supplementary Figure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Supplementary_Figure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7</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Dynamic trajectories of relative abundance for nine representative </w:t>
      </w:r>
      <w:r>
        <w:rPr>
          <w:rFonts w:ascii="Times New Roman" w:hAnsi="Times New Roman" w:cs="Times New Roman"/>
          <w:b/>
          <w:bCs/>
          <w:i/>
          <w:iCs/>
          <w:sz w:val="24"/>
          <w:szCs w:val="24"/>
        </w:rPr>
        <w:t>Gammaproteobacteria</w:t>
      </w:r>
      <w:r>
        <w:rPr>
          <w:rFonts w:ascii="Times New Roman" w:hAnsi="Times New Roman" w:cs="Times New Roman"/>
          <w:b/>
          <w:bCs/>
          <w:sz w:val="24"/>
          <w:szCs w:val="24"/>
        </w:rPr>
        <w:t xml:space="preserve"> genera in the hip microbiome during cadaver decomposition (days 1–21 sampling; n = 34 cadavers).</w:t>
      </w:r>
      <w:r>
        <w:rPr>
          <w:rFonts w:ascii="Times New Roman" w:hAnsi="Times New Roman" w:cs="Times New Roman"/>
          <w:sz w:val="24"/>
          <w:szCs w:val="24"/>
        </w:rPr>
        <w:t xml:space="preserve"> Blue curves show LOESS-smoothed trends; pale blue dots represent individual sample observations. Decomposition stages (annotated in each panel) are defined as follows: Fresh (no visible bloating), Bloat (marked abdominal distension), Active Decay (liquefaction and major soft-tissue loss), Advanced Decay (largely </w:t>
      </w:r>
      <w:proofErr w:type="spellStart"/>
      <w:r>
        <w:rPr>
          <w:rFonts w:ascii="Times New Roman" w:hAnsi="Times New Roman" w:cs="Times New Roman"/>
          <w:sz w:val="24"/>
          <w:szCs w:val="24"/>
        </w:rPr>
        <w:t>skeletonised</w:t>
      </w:r>
      <w:proofErr w:type="spellEnd"/>
      <w:r>
        <w:rPr>
          <w:rFonts w:ascii="Times New Roman" w:hAnsi="Times New Roman" w:cs="Times New Roman"/>
          <w:sz w:val="24"/>
          <w:szCs w:val="24"/>
        </w:rPr>
        <w:t xml:space="preserve"> with residual desiccated tissue), and Dry (near-complete </w:t>
      </w:r>
      <w:proofErr w:type="spellStart"/>
      <w:r>
        <w:rPr>
          <w:rFonts w:ascii="Times New Roman" w:hAnsi="Times New Roman" w:cs="Times New Roman"/>
          <w:sz w:val="24"/>
          <w:szCs w:val="24"/>
        </w:rPr>
        <w:t>skeletonisation</w:t>
      </w:r>
      <w:proofErr w:type="spellEnd"/>
      <w:r>
        <w:rPr>
          <w:rFonts w:ascii="Times New Roman" w:hAnsi="Times New Roman" w:cs="Times New Roman"/>
          <w:sz w:val="24"/>
          <w:szCs w:val="24"/>
        </w:rPr>
        <w:t xml:space="preserve">). Peak abundance windows for each genus are derived from a comprehensive literature synthesis. </w:t>
      </w:r>
      <w:r w:rsidRPr="002219A7">
        <w:rPr>
          <w:rFonts w:ascii="Times New Roman" w:hAnsi="Times New Roman" w:cs="Times New Roman"/>
          <w:i/>
          <w:iCs/>
          <w:sz w:val="24"/>
          <w:szCs w:val="24"/>
        </w:rPr>
        <w:t>Escherichia-Shigella</w:t>
      </w:r>
      <w:r>
        <w:rPr>
          <w:rFonts w:ascii="Times New Roman" w:hAnsi="Times New Roman" w:cs="Times New Roman"/>
          <w:sz w:val="24"/>
          <w:szCs w:val="24"/>
        </w:rPr>
        <w:t xml:space="preserve"> declines sharply in the Fresh stage; </w:t>
      </w:r>
      <w:r w:rsidRPr="002219A7">
        <w:rPr>
          <w:rFonts w:ascii="Times New Roman" w:hAnsi="Times New Roman" w:cs="Times New Roman"/>
          <w:i/>
          <w:iCs/>
          <w:sz w:val="24"/>
          <w:szCs w:val="24"/>
        </w:rPr>
        <w:t>Hafnia-</w:t>
      </w:r>
      <w:proofErr w:type="spellStart"/>
      <w:r w:rsidRPr="002219A7">
        <w:rPr>
          <w:rFonts w:ascii="Times New Roman" w:hAnsi="Times New Roman" w:cs="Times New Roman"/>
          <w:i/>
          <w:iCs/>
          <w:sz w:val="24"/>
          <w:szCs w:val="24"/>
        </w:rPr>
        <w:t>Obesumbacterium</w:t>
      </w:r>
      <w:proofErr w:type="spellEnd"/>
      <w:r w:rsidRPr="002219A7">
        <w:rPr>
          <w:rFonts w:ascii="Times New Roman" w:hAnsi="Times New Roman" w:cs="Times New Roman"/>
          <w:i/>
          <w:iCs/>
          <w:sz w:val="24"/>
          <w:szCs w:val="24"/>
        </w:rPr>
        <w:t xml:space="preserve"> </w:t>
      </w:r>
      <w:r>
        <w:rPr>
          <w:rFonts w:ascii="Times New Roman" w:hAnsi="Times New Roman" w:cs="Times New Roman"/>
          <w:sz w:val="24"/>
          <w:szCs w:val="24"/>
        </w:rPr>
        <w:t xml:space="preserve">and </w:t>
      </w:r>
      <w:proofErr w:type="spellStart"/>
      <w:r w:rsidRPr="002219A7">
        <w:rPr>
          <w:rFonts w:ascii="Times New Roman" w:hAnsi="Times New Roman" w:cs="Times New Roman"/>
          <w:i/>
          <w:iCs/>
          <w:sz w:val="24"/>
          <w:szCs w:val="24"/>
        </w:rPr>
        <w:t>Morganella</w:t>
      </w:r>
      <w:proofErr w:type="spellEnd"/>
      <w:r w:rsidRPr="002219A7">
        <w:rPr>
          <w:rFonts w:ascii="Times New Roman" w:hAnsi="Times New Roman" w:cs="Times New Roman"/>
          <w:i/>
          <w:iCs/>
          <w:sz w:val="24"/>
          <w:szCs w:val="24"/>
        </w:rPr>
        <w:t xml:space="preserve"> </w:t>
      </w:r>
      <w:r>
        <w:rPr>
          <w:rFonts w:ascii="Times New Roman" w:hAnsi="Times New Roman" w:cs="Times New Roman"/>
          <w:sz w:val="24"/>
          <w:szCs w:val="24"/>
        </w:rPr>
        <w:t xml:space="preserve">peak during Bloat; </w:t>
      </w:r>
      <w:r w:rsidRPr="002219A7">
        <w:rPr>
          <w:rFonts w:ascii="Times New Roman" w:hAnsi="Times New Roman" w:cs="Times New Roman"/>
          <w:i/>
          <w:iCs/>
          <w:sz w:val="24"/>
          <w:szCs w:val="24"/>
        </w:rPr>
        <w:t>Proteus</w:t>
      </w:r>
      <w:r>
        <w:rPr>
          <w:rFonts w:ascii="Times New Roman" w:hAnsi="Times New Roman" w:cs="Times New Roman"/>
          <w:sz w:val="24"/>
          <w:szCs w:val="24"/>
        </w:rPr>
        <w:t xml:space="preserve"> dominates the Bloat-to-Active Decay transition (days 5–10); </w:t>
      </w:r>
      <w:r w:rsidRPr="002219A7">
        <w:rPr>
          <w:rFonts w:ascii="Times New Roman" w:hAnsi="Times New Roman" w:cs="Times New Roman"/>
          <w:i/>
          <w:iCs/>
          <w:sz w:val="24"/>
          <w:szCs w:val="24"/>
        </w:rPr>
        <w:t>Acinetobacter</w:t>
      </w:r>
      <w:r>
        <w:rPr>
          <w:rFonts w:ascii="Times New Roman" w:hAnsi="Times New Roman" w:cs="Times New Roman"/>
          <w:sz w:val="24"/>
          <w:szCs w:val="24"/>
        </w:rPr>
        <w:t xml:space="preserve">, </w:t>
      </w:r>
      <w:r w:rsidRPr="002219A7">
        <w:rPr>
          <w:rFonts w:ascii="Times New Roman" w:hAnsi="Times New Roman" w:cs="Times New Roman"/>
          <w:i/>
          <w:iCs/>
          <w:sz w:val="24"/>
          <w:szCs w:val="24"/>
        </w:rPr>
        <w:t>Pseudomonas</w:t>
      </w:r>
      <w:r>
        <w:rPr>
          <w:rFonts w:ascii="Times New Roman" w:hAnsi="Times New Roman" w:cs="Times New Roman"/>
          <w:sz w:val="24"/>
          <w:szCs w:val="24"/>
        </w:rPr>
        <w:t xml:space="preserve">, and </w:t>
      </w:r>
      <w:r w:rsidRPr="002219A7">
        <w:rPr>
          <w:rFonts w:ascii="Times New Roman" w:hAnsi="Times New Roman" w:cs="Times New Roman"/>
          <w:i/>
          <w:iCs/>
          <w:sz w:val="24"/>
          <w:szCs w:val="24"/>
        </w:rPr>
        <w:t xml:space="preserve">Serratia </w:t>
      </w:r>
      <w:r>
        <w:rPr>
          <w:rFonts w:ascii="Times New Roman" w:hAnsi="Times New Roman" w:cs="Times New Roman"/>
          <w:sz w:val="24"/>
          <w:szCs w:val="24"/>
        </w:rPr>
        <w:t>predominate throughout Active Decay (days 4–16);</w:t>
      </w:r>
      <w:r w:rsidRPr="002219A7">
        <w:rPr>
          <w:rFonts w:ascii="Times New Roman" w:hAnsi="Times New Roman" w:cs="Times New Roman"/>
          <w:i/>
          <w:iCs/>
          <w:sz w:val="24"/>
          <w:szCs w:val="24"/>
        </w:rPr>
        <w:t xml:space="preserve"> Shewanella</w:t>
      </w:r>
      <w:r>
        <w:rPr>
          <w:rFonts w:ascii="Times New Roman" w:hAnsi="Times New Roman" w:cs="Times New Roman"/>
          <w:sz w:val="24"/>
          <w:szCs w:val="24"/>
        </w:rPr>
        <w:t xml:space="preserve"> shows a transient rise during the Active-to-Advanced Decay transition. These successional patterns are consistent with the established ecological roles of </w:t>
      </w:r>
      <w:r w:rsidRPr="002219A7">
        <w:rPr>
          <w:rFonts w:ascii="Times New Roman" w:hAnsi="Times New Roman" w:cs="Times New Roman"/>
          <w:i/>
          <w:iCs/>
          <w:sz w:val="24"/>
          <w:szCs w:val="24"/>
        </w:rPr>
        <w:t>Gammaproteobacteria</w:t>
      </w:r>
      <w:r>
        <w:rPr>
          <w:rFonts w:ascii="Times New Roman" w:hAnsi="Times New Roman" w:cs="Times New Roman"/>
          <w:sz w:val="24"/>
          <w:szCs w:val="24"/>
        </w:rPr>
        <w:t xml:space="preserve"> in cadaver decomposition and provide a robust genus-level reference for forensic microbiome-based estimation of </w:t>
      </w:r>
      <w:r w:rsidR="002219A7">
        <w:rPr>
          <w:rFonts w:ascii="Times New Roman" w:hAnsi="Times New Roman" w:cs="Times New Roman" w:hint="eastAsia"/>
          <w:sz w:val="24"/>
          <w:szCs w:val="24"/>
        </w:rPr>
        <w:t>PMI</w:t>
      </w:r>
      <w:r>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 xml:space="preserve">Notably, </w:t>
      </w:r>
      <w:r w:rsidRPr="002219A7">
        <w:rPr>
          <w:rFonts w:ascii="Times New Roman" w:hAnsi="Times New Roman" w:cs="Times New Roman"/>
          <w:i/>
          <w:iCs/>
          <w:sz w:val="24"/>
          <w:szCs w:val="24"/>
        </w:rPr>
        <w:t>Stenotrophomonas</w:t>
      </w:r>
      <w:r>
        <w:rPr>
          <w:rFonts w:ascii="Times New Roman" w:hAnsi="Times New Roman" w:cs="Times New Roman"/>
          <w:sz w:val="24"/>
          <w:szCs w:val="24"/>
        </w:rPr>
        <w:t xml:space="preserve"> did not show the pronounced late-stage enrichment commonly reported in the literature, possibly due to dry, cold, or low-humidity environmental conditions that suppressed its growth, or because freeze–thaw cycles prior to placement resulted in substantial early loss of this genus.</w:t>
      </w:r>
      <w:r>
        <w:rPr>
          <w:rFonts w:ascii="Times New Roman" w:hAnsi="Times New Roman" w:cs="Times New Roman" w:hint="eastAsia"/>
          <w:sz w:val="24"/>
          <w:szCs w:val="24"/>
        </w:rPr>
        <w:t>)</w:t>
      </w:r>
    </w:p>
    <w:sectPr w:rsidR="00AD57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4FD4" w14:textId="77777777" w:rsidR="002531E6" w:rsidRDefault="002531E6">
      <w:pPr>
        <w:spacing w:line="240" w:lineRule="auto"/>
        <w:rPr>
          <w:rFonts w:hint="eastAsia"/>
        </w:rPr>
      </w:pPr>
      <w:r>
        <w:separator/>
      </w:r>
    </w:p>
  </w:endnote>
  <w:endnote w:type="continuationSeparator" w:id="0">
    <w:p w14:paraId="0BBA76E3" w14:textId="77777777" w:rsidR="002531E6" w:rsidRDefault="002531E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3A15" w14:textId="77777777" w:rsidR="002531E6" w:rsidRDefault="002531E6">
      <w:pPr>
        <w:spacing w:after="0"/>
        <w:rPr>
          <w:rFonts w:hint="eastAsia"/>
        </w:rPr>
      </w:pPr>
      <w:r>
        <w:separator/>
      </w:r>
    </w:p>
  </w:footnote>
  <w:footnote w:type="continuationSeparator" w:id="0">
    <w:p w14:paraId="4641F70D" w14:textId="77777777" w:rsidR="002531E6" w:rsidRDefault="002531E6">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51"/>
    <w:rsid w:val="00044DE3"/>
    <w:rsid w:val="00085535"/>
    <w:rsid w:val="000966AA"/>
    <w:rsid w:val="000D56B7"/>
    <w:rsid w:val="00172F4A"/>
    <w:rsid w:val="002219A7"/>
    <w:rsid w:val="002531E6"/>
    <w:rsid w:val="00283111"/>
    <w:rsid w:val="002846F9"/>
    <w:rsid w:val="00323812"/>
    <w:rsid w:val="00383433"/>
    <w:rsid w:val="004200AB"/>
    <w:rsid w:val="00525B9D"/>
    <w:rsid w:val="005739AA"/>
    <w:rsid w:val="005F681C"/>
    <w:rsid w:val="006A3D0D"/>
    <w:rsid w:val="006D5102"/>
    <w:rsid w:val="007C1A38"/>
    <w:rsid w:val="007C3F6C"/>
    <w:rsid w:val="007C6494"/>
    <w:rsid w:val="007E7651"/>
    <w:rsid w:val="00920D52"/>
    <w:rsid w:val="00957D56"/>
    <w:rsid w:val="009F63F6"/>
    <w:rsid w:val="00AD57DD"/>
    <w:rsid w:val="00BE32B2"/>
    <w:rsid w:val="00D20918"/>
    <w:rsid w:val="00EB1C0E"/>
    <w:rsid w:val="00EB67FE"/>
    <w:rsid w:val="00EE621E"/>
    <w:rsid w:val="00FB1B0F"/>
    <w:rsid w:val="62DF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CBEE8"/>
  <w15:docId w15:val="{CDCA0D25-0AB8-4A15-824A-BA5F9289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footer"/>
    <w:basedOn w:val="a"/>
    <w:link w:val="a5"/>
    <w:uiPriority w:val="99"/>
    <w:unhideWhenUsed/>
    <w:pPr>
      <w:tabs>
        <w:tab w:val="center" w:pos="4153"/>
        <w:tab w:val="right" w:pos="8306"/>
      </w:tabs>
      <w:snapToGrid w:val="0"/>
      <w:spacing w:line="240" w:lineRule="auto"/>
    </w:pPr>
    <w:rPr>
      <w:sz w:val="18"/>
      <w:szCs w:val="18"/>
    </w:rPr>
  </w:style>
  <w:style w:type="paragraph" w:styleId="a6">
    <w:name w:val="header"/>
    <w:basedOn w:val="a"/>
    <w:link w:val="a7"/>
    <w:uiPriority w:val="99"/>
    <w:unhideWhenUsed/>
    <w:pPr>
      <w:tabs>
        <w:tab w:val="center" w:pos="4153"/>
        <w:tab w:val="right" w:pos="8306"/>
      </w:tabs>
      <w:snapToGrid w:val="0"/>
      <w:spacing w:line="240" w:lineRule="auto"/>
      <w:jc w:val="center"/>
    </w:pPr>
    <w:rPr>
      <w:sz w:val="18"/>
      <w:szCs w:val="18"/>
    </w:rPr>
  </w:style>
  <w:style w:type="paragraph" w:styleId="a8">
    <w:name w:val="Subtitle"/>
    <w:basedOn w:val="a"/>
    <w:next w:val="a"/>
    <w:link w:val="a9"/>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39"/>
    <w:pPr>
      <w:jc w:val="center"/>
    </w:pPr>
    <w:tblPr>
      <w:tblBorders>
        <w:bottom w:val="single" w:sz="12" w:space="0" w:color="auto"/>
      </w:tblBorders>
    </w:tblPr>
    <w:tcPr>
      <w:vAlign w:val="center"/>
    </w:tcPr>
    <w:tblStylePr w:type="firstRow">
      <w:tblPr/>
      <w:tcPr>
        <w:tcBorders>
          <w:top w:val="single" w:sz="12" w:space="0" w:color="auto"/>
          <w:left w:val="nil"/>
          <w:bottom w:val="single" w:sz="12" w:space="0" w:color="auto"/>
          <w:right w:val="nil"/>
          <w:insideH w:val="nil"/>
          <w:insideV w:val="nil"/>
          <w:tl2br w:val="nil"/>
          <w:tr2bl w:val="nil"/>
        </w:tcBorders>
      </w:tcPr>
    </w:tblStyle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7</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 han</dc:creator>
  <cp:lastModifiedBy>jin han</cp:lastModifiedBy>
  <cp:revision>5</cp:revision>
  <dcterms:created xsi:type="dcterms:W3CDTF">2025-11-27T07:52:00Z</dcterms:created>
  <dcterms:modified xsi:type="dcterms:W3CDTF">2026-01-22T06:25:00Z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f0538f68-8303-4a16-886b-cc9f847c5b53</vt:lpwstr>
  </property>
  <property fmtid="{D5CDD505-2E9C-101B-9397-08002B2CF9AE}" pid="3" name="KSOTemplateDocerSaveRecord">
    <vt:lpwstr>eyJoZGlkIjoiMDI3YzkxOGEzOWY1NjQ0MjM2ZmMxYmJkN2ZiNTUyN2QiLCJ1c2VySWQiOiI0NjYxMDI5NzUifQ==</vt:lpwstr>
  </property>
  <property fmtid="{D5CDD505-2E9C-101B-9397-08002B2CF9AE}" pid="4" name="KSOProductBuildVer">
    <vt:lpwstr>2052-12.1.0.24657</vt:lpwstr>
  </property>
  <property fmtid="{D5CDD505-2E9C-101B-9397-08002B2CF9AE}" pid="5" name="ICV">
    <vt:lpwstr>1120C8062BD047A3B3428B09308E3184_12</vt:lpwstr>
  </property>
</Properties>
</file>