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2C0D4" w14:textId="77777777" w:rsidR="00694A38" w:rsidRDefault="00694A38" w:rsidP="00694A38">
      <w:pPr>
        <w:pStyle w:val="EndNoteBibliography"/>
        <w:rPr>
          <w:rFonts w:ascii="Arial" w:hAnsi="Arial" w:cs="Arial"/>
          <w:b/>
          <w:bCs/>
          <w:color w:val="000000" w:themeColor="text1"/>
          <w:szCs w:val="22"/>
        </w:rPr>
      </w:pPr>
      <w:r>
        <w:rPr>
          <w:rFonts w:ascii="Arial" w:hAnsi="Arial" w:cs="Arial"/>
          <w:b/>
          <w:bCs/>
          <w:color w:val="000000" w:themeColor="text1"/>
          <w:szCs w:val="22"/>
        </w:rPr>
        <w:t>Supplementary Information</w:t>
      </w:r>
    </w:p>
    <w:p w14:paraId="105C56EA" w14:textId="77777777" w:rsidR="00694A38" w:rsidRDefault="00694A38" w:rsidP="00694A38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bookmarkStart w:id="0" w:name="_Hlk219472069"/>
      <w:r>
        <w:rPr>
          <w:rFonts w:ascii="Arial" w:hAnsi="Arial" w:cs="Arial"/>
          <w:b/>
          <w:bCs/>
          <w:color w:val="000000" w:themeColor="text1"/>
        </w:rPr>
        <w:t>Supplemental Table</w:t>
      </w:r>
      <w:bookmarkEnd w:id="0"/>
      <w:r>
        <w:rPr>
          <w:rFonts w:ascii="Arial" w:hAnsi="Arial" w:cs="Arial"/>
          <w:b/>
          <w:bCs/>
          <w:color w:val="000000" w:themeColor="text1"/>
        </w:rPr>
        <w:t xml:space="preserve"> 1: Primers used in this study</w:t>
      </w: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1740"/>
        <w:gridCol w:w="7440"/>
      </w:tblGrid>
      <w:tr w:rsidR="00694A38" w14:paraId="66FDF862" w14:textId="77777777" w:rsidTr="00CF67AE">
        <w:trPr>
          <w:trHeight w:val="280"/>
        </w:trPr>
        <w:tc>
          <w:tcPr>
            <w:tcW w:w="1740" w:type="dxa"/>
            <w:noWrap/>
          </w:tcPr>
          <w:p w14:paraId="417F16F0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Names</w:t>
            </w:r>
          </w:p>
        </w:tc>
        <w:tc>
          <w:tcPr>
            <w:tcW w:w="7440" w:type="dxa"/>
            <w:noWrap/>
          </w:tcPr>
          <w:p w14:paraId="439FDD6A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Primers Sequence (5’-3’)</w:t>
            </w:r>
          </w:p>
        </w:tc>
      </w:tr>
      <w:tr w:rsidR="00694A38" w14:paraId="2719AB43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382EAF61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AtMTA</w:t>
            </w:r>
          </w:p>
        </w:tc>
        <w:tc>
          <w:tcPr>
            <w:tcW w:w="7440" w:type="dxa"/>
            <w:noWrap/>
          </w:tcPr>
          <w:p w14:paraId="720AE5AA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ATGGAAACTGAATCTGATGACGCCA</w:t>
            </w:r>
          </w:p>
        </w:tc>
      </w:tr>
      <w:tr w:rsidR="00694A38" w14:paraId="13776D1C" w14:textId="77777777" w:rsidTr="00CF67AE">
        <w:trPr>
          <w:trHeight w:val="280"/>
        </w:trPr>
        <w:tc>
          <w:tcPr>
            <w:tcW w:w="1740" w:type="dxa"/>
            <w:vMerge/>
          </w:tcPr>
          <w:p w14:paraId="1ECBF099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10D9ED75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AGCTGTGATTGAGTCAATAGCCATT</w:t>
            </w:r>
          </w:p>
        </w:tc>
      </w:tr>
      <w:tr w:rsidR="00694A38" w14:paraId="66C3DDCB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67A1893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AtMTB</w:t>
            </w:r>
          </w:p>
        </w:tc>
        <w:tc>
          <w:tcPr>
            <w:tcW w:w="7440" w:type="dxa"/>
            <w:noWrap/>
          </w:tcPr>
          <w:p w14:paraId="3B19C5BE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ATGAAGAAGAAACAAGAAGAGAGTT</w:t>
            </w:r>
          </w:p>
        </w:tc>
      </w:tr>
      <w:tr w:rsidR="00694A38" w14:paraId="0206F680" w14:textId="77777777" w:rsidTr="00CF67AE">
        <w:trPr>
          <w:trHeight w:val="280"/>
        </w:trPr>
        <w:tc>
          <w:tcPr>
            <w:tcW w:w="1740" w:type="dxa"/>
            <w:vMerge/>
          </w:tcPr>
          <w:p w14:paraId="03209170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13781D41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ATTAAAGCCGTACATGTCAAAACTC</w:t>
            </w:r>
          </w:p>
        </w:tc>
      </w:tr>
      <w:tr w:rsidR="00694A38" w14:paraId="28C91FC1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602B333C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AtFIP37</w:t>
            </w:r>
          </w:p>
        </w:tc>
        <w:tc>
          <w:tcPr>
            <w:tcW w:w="7440" w:type="dxa"/>
            <w:noWrap/>
          </w:tcPr>
          <w:p w14:paraId="7459817A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ATGGAGTTTTCATCACAAGACGACG</w:t>
            </w:r>
          </w:p>
        </w:tc>
      </w:tr>
      <w:tr w:rsidR="00694A38" w14:paraId="5B765B62" w14:textId="77777777" w:rsidTr="00CF67AE">
        <w:trPr>
          <w:trHeight w:val="280"/>
        </w:trPr>
        <w:tc>
          <w:tcPr>
            <w:tcW w:w="1740" w:type="dxa"/>
            <w:vMerge/>
          </w:tcPr>
          <w:p w14:paraId="46D4017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4E48D73F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TTCTCCACCAGCAATTTCTTCTTTT</w:t>
            </w:r>
          </w:p>
        </w:tc>
      </w:tr>
      <w:tr w:rsidR="00694A38" w14:paraId="68214C40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669CB41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AtHAKAI</w:t>
            </w:r>
          </w:p>
        </w:tc>
        <w:tc>
          <w:tcPr>
            <w:tcW w:w="7440" w:type="dxa"/>
            <w:noWrap/>
          </w:tcPr>
          <w:p w14:paraId="24B5A901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ATGCTTCAAATTCGTCTTCGGAGGG</w:t>
            </w:r>
          </w:p>
        </w:tc>
      </w:tr>
      <w:tr w:rsidR="00694A38" w14:paraId="057C8219" w14:textId="77777777" w:rsidTr="00CF67AE">
        <w:trPr>
          <w:trHeight w:val="280"/>
        </w:trPr>
        <w:tc>
          <w:tcPr>
            <w:tcW w:w="1740" w:type="dxa"/>
            <w:vMerge/>
          </w:tcPr>
          <w:p w14:paraId="607718A0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53F8A91C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CTCCTGCCCAAAGCCATCACGGTTC</w:t>
            </w:r>
          </w:p>
        </w:tc>
      </w:tr>
      <w:tr w:rsidR="00694A38" w14:paraId="635636E3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1497B447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NIb</w:t>
            </w:r>
          </w:p>
        </w:tc>
        <w:tc>
          <w:tcPr>
            <w:tcW w:w="7440" w:type="dxa"/>
            <w:noWrap/>
          </w:tcPr>
          <w:p w14:paraId="1AEBCE4E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ACCCAGCAGAATCGGTGGATGTTCG</w:t>
            </w:r>
          </w:p>
        </w:tc>
      </w:tr>
      <w:tr w:rsidR="00694A38" w14:paraId="09D6A4E9" w14:textId="77777777" w:rsidTr="00CF67AE">
        <w:trPr>
          <w:trHeight w:val="280"/>
        </w:trPr>
        <w:tc>
          <w:tcPr>
            <w:tcW w:w="1740" w:type="dxa"/>
            <w:vMerge/>
          </w:tcPr>
          <w:p w14:paraId="7D84974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62AC5F73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CTGGTGATAAACACAAGCCTCAGCA</w:t>
            </w:r>
          </w:p>
        </w:tc>
      </w:tr>
      <w:tr w:rsidR="00694A38" w14:paraId="7DB707F0" w14:textId="77777777" w:rsidTr="00CF67AE">
        <w:trPr>
          <w:trHeight w:val="330"/>
        </w:trPr>
        <w:tc>
          <w:tcPr>
            <w:tcW w:w="1740" w:type="dxa"/>
            <w:vMerge w:val="restart"/>
            <w:noWrap/>
          </w:tcPr>
          <w:p w14:paraId="0A8121DD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NIb</w:t>
            </w: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  <w:vertAlign w:val="superscript"/>
              </w:rPr>
              <w:t>sim3</w:t>
            </w:r>
          </w:p>
        </w:tc>
        <w:tc>
          <w:tcPr>
            <w:tcW w:w="7440" w:type="dxa"/>
            <w:noWrap/>
          </w:tcPr>
          <w:p w14:paraId="16FCDD00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AACGGAGATGATTTACTGGCAAGCGCACACCCAGAG</w:t>
            </w:r>
          </w:p>
        </w:tc>
      </w:tr>
      <w:tr w:rsidR="00694A38" w14:paraId="092C48F5" w14:textId="77777777" w:rsidTr="00CF67AE">
        <w:trPr>
          <w:trHeight w:val="280"/>
        </w:trPr>
        <w:tc>
          <w:tcPr>
            <w:tcW w:w="1740" w:type="dxa"/>
            <w:vMerge/>
          </w:tcPr>
          <w:p w14:paraId="71B87234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4C022402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CTCTGGGTGTGCGCTTGCCAGTAAATCATCTCCGTT</w:t>
            </w:r>
          </w:p>
        </w:tc>
      </w:tr>
      <w:tr w:rsidR="00694A38" w14:paraId="1C8ACF5E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02F78585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TuMV-CP-qPCR</w:t>
            </w:r>
          </w:p>
        </w:tc>
        <w:tc>
          <w:tcPr>
            <w:tcW w:w="7440" w:type="dxa"/>
            <w:noWrap/>
          </w:tcPr>
          <w:p w14:paraId="6CCA00BA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TGGCTGATTACGAACTGACG</w:t>
            </w:r>
          </w:p>
        </w:tc>
      </w:tr>
      <w:tr w:rsidR="00694A38" w14:paraId="76571462" w14:textId="77777777" w:rsidTr="00CF67AE">
        <w:trPr>
          <w:trHeight w:val="280"/>
        </w:trPr>
        <w:tc>
          <w:tcPr>
            <w:tcW w:w="1740" w:type="dxa"/>
            <w:vMerge/>
          </w:tcPr>
          <w:p w14:paraId="14421401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46062F72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CTGCCTAAATGTGGGTTTGG</w:t>
            </w:r>
          </w:p>
        </w:tc>
      </w:tr>
      <w:tr w:rsidR="00694A38" w14:paraId="2559DFF1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05B5E9FE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AtActin2-qPCR</w:t>
            </w:r>
          </w:p>
        </w:tc>
        <w:tc>
          <w:tcPr>
            <w:tcW w:w="7440" w:type="dxa"/>
            <w:noWrap/>
          </w:tcPr>
          <w:p w14:paraId="2EDE6873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CACCACAACAGCAGAGCGGGA</w:t>
            </w:r>
          </w:p>
        </w:tc>
      </w:tr>
      <w:tr w:rsidR="00694A38" w14:paraId="3D89B5F9" w14:textId="77777777" w:rsidTr="00CF67AE">
        <w:trPr>
          <w:trHeight w:val="280"/>
        </w:trPr>
        <w:tc>
          <w:tcPr>
            <w:tcW w:w="1740" w:type="dxa"/>
            <w:vMerge/>
          </w:tcPr>
          <w:p w14:paraId="03F0E411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4B6A068A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TCCCACAAACGAGGGCTGGA</w:t>
            </w:r>
          </w:p>
        </w:tc>
      </w:tr>
      <w:tr w:rsidR="00694A38" w14:paraId="48435177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6716E320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NbActin-qPCR</w:t>
            </w:r>
          </w:p>
        </w:tc>
        <w:tc>
          <w:tcPr>
            <w:tcW w:w="7440" w:type="dxa"/>
            <w:noWrap/>
          </w:tcPr>
          <w:p w14:paraId="74144260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AAAGACCAGCTCATCCGTGGAGAA</w:t>
            </w:r>
          </w:p>
        </w:tc>
      </w:tr>
      <w:tr w:rsidR="00694A38" w14:paraId="087D1D91" w14:textId="77777777" w:rsidTr="00CF67AE">
        <w:trPr>
          <w:trHeight w:val="280"/>
        </w:trPr>
        <w:tc>
          <w:tcPr>
            <w:tcW w:w="1740" w:type="dxa"/>
            <w:vMerge/>
          </w:tcPr>
          <w:p w14:paraId="59990DFB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5FBA488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TGTGGTTTCATGAATGCCAGCAGC</w:t>
            </w:r>
          </w:p>
        </w:tc>
      </w:tr>
      <w:tr w:rsidR="00694A38" w14:paraId="3BDB0742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42E3F1D5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BrActin-qPCR</w:t>
            </w:r>
          </w:p>
        </w:tc>
        <w:tc>
          <w:tcPr>
            <w:tcW w:w="7440" w:type="dxa"/>
            <w:noWrap/>
          </w:tcPr>
          <w:p w14:paraId="3DC14E0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GGAGCTGAGAGATTCCGTTG</w:t>
            </w:r>
          </w:p>
        </w:tc>
      </w:tr>
      <w:tr w:rsidR="00694A38" w14:paraId="030DD9C2" w14:textId="77777777" w:rsidTr="00CF67AE">
        <w:trPr>
          <w:trHeight w:val="280"/>
        </w:trPr>
        <w:tc>
          <w:tcPr>
            <w:tcW w:w="1740" w:type="dxa"/>
            <w:vMerge/>
          </w:tcPr>
          <w:p w14:paraId="5CB248F7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3EA60B57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GAACCACCACTGAGGACGAT</w:t>
            </w:r>
          </w:p>
        </w:tc>
      </w:tr>
      <w:tr w:rsidR="00694A38" w14:paraId="3BBD774F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4567901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BnActin-qPCR</w:t>
            </w:r>
          </w:p>
        </w:tc>
        <w:tc>
          <w:tcPr>
            <w:tcW w:w="7440" w:type="dxa"/>
            <w:noWrap/>
          </w:tcPr>
          <w:p w14:paraId="310F8711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ATTCAGCCCCTTGTTTGTG</w:t>
            </w:r>
          </w:p>
        </w:tc>
      </w:tr>
      <w:tr w:rsidR="00694A38" w14:paraId="6C81E1C8" w14:textId="77777777" w:rsidTr="00CF67AE">
        <w:trPr>
          <w:trHeight w:val="280"/>
        </w:trPr>
        <w:tc>
          <w:tcPr>
            <w:tcW w:w="1740" w:type="dxa"/>
            <w:vMerge/>
          </w:tcPr>
          <w:p w14:paraId="6E96ED42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2F18FBD5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GTAAGCGTCTTTTTGACCCAT</w:t>
            </w:r>
          </w:p>
        </w:tc>
      </w:tr>
      <w:tr w:rsidR="00694A38" w14:paraId="3A55AED0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4DBFB9D4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p339-MTA-1</w:t>
            </w:r>
          </w:p>
        </w:tc>
        <w:tc>
          <w:tcPr>
            <w:tcW w:w="7440" w:type="dxa"/>
            <w:noWrap/>
          </w:tcPr>
          <w:p w14:paraId="4F48E3BD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AGCTCGACGACAAGACCCGGGTGACGCTATGATGGCTGGTCC</w:t>
            </w:r>
          </w:p>
        </w:tc>
      </w:tr>
      <w:tr w:rsidR="00694A38" w14:paraId="1618BBB9" w14:textId="77777777" w:rsidTr="00CF67AE">
        <w:trPr>
          <w:trHeight w:val="280"/>
        </w:trPr>
        <w:tc>
          <w:tcPr>
            <w:tcW w:w="1740" w:type="dxa"/>
            <w:vMerge/>
          </w:tcPr>
          <w:p w14:paraId="042043A6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64CFE1DD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TAATTATTTCCTTACCCCGGGCCACTCGCTTGTATCCCCAAA</w:t>
            </w:r>
          </w:p>
        </w:tc>
      </w:tr>
      <w:tr w:rsidR="00694A38" w14:paraId="7DC55711" w14:textId="77777777" w:rsidTr="00CF67AE">
        <w:trPr>
          <w:trHeight w:val="280"/>
        </w:trPr>
        <w:tc>
          <w:tcPr>
            <w:tcW w:w="1740" w:type="dxa"/>
            <w:vMerge w:val="restart"/>
            <w:noWrap/>
          </w:tcPr>
          <w:p w14:paraId="4DE652EA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P339-MTA-2</w:t>
            </w:r>
          </w:p>
        </w:tc>
        <w:tc>
          <w:tcPr>
            <w:tcW w:w="7440" w:type="dxa"/>
            <w:noWrap/>
          </w:tcPr>
          <w:p w14:paraId="1807C961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TTGGATTGATTACAGACGCGTCCACTCGCTTGTATCCCCAA</w:t>
            </w:r>
          </w:p>
        </w:tc>
      </w:tr>
      <w:tr w:rsidR="00694A38" w14:paraId="502BA5D5" w14:textId="77777777" w:rsidTr="00CF67AE">
        <w:trPr>
          <w:trHeight w:val="280"/>
        </w:trPr>
        <w:tc>
          <w:tcPr>
            <w:tcW w:w="1740" w:type="dxa"/>
            <w:vMerge/>
          </w:tcPr>
          <w:p w14:paraId="16AA164C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16262379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TAGAGCACACGACCCGTCGACTGACGCTATGATGGCTGGTC</w:t>
            </w:r>
          </w:p>
        </w:tc>
      </w:tr>
      <w:tr w:rsidR="00694A38" w14:paraId="3E48E682" w14:textId="77777777" w:rsidTr="00CF67AE">
        <w:trPr>
          <w:trHeight w:val="280"/>
        </w:trPr>
        <w:tc>
          <w:tcPr>
            <w:tcW w:w="1740" w:type="dxa"/>
            <w:vMerge w:val="restart"/>
          </w:tcPr>
          <w:p w14:paraId="3585C428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P339-MTB-1</w:t>
            </w:r>
          </w:p>
        </w:tc>
        <w:tc>
          <w:tcPr>
            <w:tcW w:w="7440" w:type="dxa"/>
            <w:noWrap/>
          </w:tcPr>
          <w:p w14:paraId="67C2FBF5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AGCTCGACGACAAGACCCGGGGAGCCTCCTTATGGTTCGACTC</w:t>
            </w:r>
          </w:p>
        </w:tc>
      </w:tr>
      <w:tr w:rsidR="00694A38" w14:paraId="48536372" w14:textId="77777777" w:rsidTr="00CF67AE">
        <w:trPr>
          <w:trHeight w:val="280"/>
        </w:trPr>
        <w:tc>
          <w:tcPr>
            <w:tcW w:w="1740" w:type="dxa"/>
            <w:vMerge/>
          </w:tcPr>
          <w:p w14:paraId="0DBFD069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12AB150E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 xml:space="preserve">TAATTATTTCCTTACCCCGGGCTTCATTGGTGATTTGGGCCG </w:t>
            </w:r>
          </w:p>
        </w:tc>
      </w:tr>
      <w:tr w:rsidR="00694A38" w14:paraId="3DD8940A" w14:textId="77777777" w:rsidTr="00CF67AE">
        <w:trPr>
          <w:trHeight w:val="280"/>
        </w:trPr>
        <w:tc>
          <w:tcPr>
            <w:tcW w:w="1740" w:type="dxa"/>
            <w:vMerge w:val="restart"/>
          </w:tcPr>
          <w:p w14:paraId="421AF072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P339-MTB-2</w:t>
            </w:r>
          </w:p>
        </w:tc>
        <w:tc>
          <w:tcPr>
            <w:tcW w:w="7440" w:type="dxa"/>
            <w:noWrap/>
          </w:tcPr>
          <w:p w14:paraId="1E870BB3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TTGGATTGATTACAGACGCGTCTTCATTGGTGATTTGGGCCG</w:t>
            </w:r>
          </w:p>
        </w:tc>
      </w:tr>
      <w:tr w:rsidR="00694A38" w14:paraId="48DC6675" w14:textId="77777777" w:rsidTr="00CF67AE">
        <w:trPr>
          <w:trHeight w:val="280"/>
        </w:trPr>
        <w:tc>
          <w:tcPr>
            <w:tcW w:w="1740" w:type="dxa"/>
            <w:vMerge/>
          </w:tcPr>
          <w:p w14:paraId="38B41E72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7440" w:type="dxa"/>
            <w:noWrap/>
          </w:tcPr>
          <w:p w14:paraId="7100DAF2" w14:textId="77777777" w:rsidR="00694A38" w:rsidRDefault="00694A38" w:rsidP="00CF67AE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sz w:val="20"/>
                <w:szCs w:val="22"/>
              </w:rPr>
              <w:t>TAGAGCACACGACCCGTCGACGAGCCTCCTTATGGTTCGAC</w:t>
            </w:r>
          </w:p>
        </w:tc>
      </w:tr>
    </w:tbl>
    <w:p w14:paraId="4A5369C0" w14:textId="77777777" w:rsidR="00694A38" w:rsidRDefault="00694A38" w:rsidP="00694A38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7D0CBD05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6F1750F3" wp14:editId="6C897622">
            <wp:extent cx="5273675" cy="600964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6" b="1660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Supplementary Fig. 1 Verification of TuMV infection and genomic annotation of MeRIP-seq reads</w:t>
      </w:r>
      <w:r>
        <w:rPr>
          <w:rFonts w:ascii="Arial" w:hAnsi="Arial" w:cs="Arial"/>
          <w:color w:val="000000" w:themeColor="text1"/>
          <w:sz w:val="18"/>
          <w:szCs w:val="18"/>
        </w:rPr>
        <w:t>.</w:t>
      </w:r>
      <w:r>
        <w:rPr>
          <w:rFonts w:ascii="Arial" w:hAnsi="Arial" w:cs="Arial"/>
          <w:color w:val="000000" w:themeColor="text1"/>
          <w:sz w:val="18"/>
          <w:szCs w:val="18"/>
        </w:rPr>
        <w:br/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RT-PCR detection of TuMV CP gene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thaliana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benthamiana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under mock and TuMV treatments.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Actin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served as an internal control.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Immunoblot analysis of TuMV CP accumulation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plants inoculated with mock or TuMV. RbcL was used as a loading control.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Pie charts of genomic annotation mapped reads in individual MeRIP-seq IP and input libraries.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d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Distribution of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peaks across transcript features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MeRIP-seq libraries.</w:t>
      </w:r>
    </w:p>
    <w:p w14:paraId="6CBC5396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0FDF9B8E" w14:textId="77777777" w:rsidR="00694A38" w:rsidRDefault="00694A38" w:rsidP="00694A38">
      <w:pPr>
        <w:widowControl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7085D9EE" wp14:editId="5A0668BC">
            <wp:extent cx="5273675" cy="4991735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9" b="303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92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F4605" w14:textId="77777777" w:rsidR="00694A38" w:rsidRDefault="00694A38" w:rsidP="00694A38">
      <w:pPr>
        <w:widowControl/>
        <w:jc w:val="both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Supplementary Fig. 2 Additional analyses of conserved m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 dynamics upon TuMV infection.</w:t>
      </w:r>
    </w:p>
    <w:p w14:paraId="320DE078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 dot-blot analysis with anti-m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antibody from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(left)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(right); methylene-blue staining indicates RNA loading.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Metaprofiles of the canonical UGUAH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motif. Curves show motif enrichment relative to the peak summit in mock and TuMV libraries.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Circos representation of conserved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peaks between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orthologous genes. Outer tracks show chromosomes; inner tracks show log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 xml:space="preserve">2 </w:t>
      </w:r>
      <w:r>
        <w:rPr>
          <w:rFonts w:ascii="Arial" w:hAnsi="Arial" w:cs="Arial"/>
          <w:color w:val="000000" w:themeColor="text1"/>
          <w:sz w:val="18"/>
          <w:szCs w:val="18"/>
        </w:rPr>
        <w:t>fold-change of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upon TuMV infection. Links highlight conserved hypermethylated (red), hypomethylated (green), or non-significant (NS, beige) sites across the two species.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d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Genomic distribution of differentially methylated peaks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(top)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(bottom). Pie charts indicate the fraction of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 peaks located in 5</w:t>
      </w:r>
      <w:r>
        <w:rPr>
          <w:rFonts w:ascii="Arial" w:hAnsi="Arial" w:cs="Arial"/>
          <w:color w:val="000000" w:themeColor="text1"/>
          <w:sz w:val="18"/>
          <w:szCs w:val="20"/>
        </w:rPr>
        <w:t>′</w:t>
      </w:r>
      <w:r>
        <w:rPr>
          <w:rFonts w:ascii="Arial" w:hAnsi="Arial" w:cs="Arial"/>
          <w:color w:val="000000" w:themeColor="text1"/>
          <w:sz w:val="18"/>
          <w:szCs w:val="18"/>
        </w:rPr>
        <w:t>-UTR, 3</w:t>
      </w:r>
      <w:r>
        <w:rPr>
          <w:rFonts w:ascii="Arial" w:hAnsi="Arial" w:cs="Arial"/>
          <w:color w:val="000000" w:themeColor="text1"/>
          <w:sz w:val="18"/>
          <w:szCs w:val="20"/>
        </w:rPr>
        <w:t>′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-UTR, last exon, or other exons for hypermethylated, hypomethylated, and NS categories.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e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Sequence logos of enriched motifs in hypermethylated, hypomethylated, and NS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peaks from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(left)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(right).</w:t>
      </w:r>
    </w:p>
    <w:p w14:paraId="59692D57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32FD42F7" w14:textId="77777777" w:rsidR="00694A38" w:rsidRDefault="00694A38" w:rsidP="00694A38">
      <w:pPr>
        <w:widowControl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42ECD614" wp14:editId="12DD98AE">
            <wp:extent cx="5274310" cy="67602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6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Supplementary Fig. 3 Integrated analysis of m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 changes, defense pathways and m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 machinery.</w:t>
      </w:r>
    </w:p>
    <w:p w14:paraId="38FEC7D6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a,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Scatter plots relating changes in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 enrichment (log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₂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foldchange, y-axis) to changes in gene expression (log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₂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foldchange, x-axis)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) upon TuMV infection. Genes are grouped into four categories: hypo-upregulated, hypo-downregulated, hyper-upregulated and hyper-downregulated.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c, d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GO, Biological Process enrichment for the four categories defined in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a,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)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d</w:t>
      </w:r>
      <w:r>
        <w:rPr>
          <w:rFonts w:ascii="Arial" w:hAnsi="Arial" w:cs="Arial"/>
          <w:color w:val="000000" w:themeColor="text1"/>
          <w:sz w:val="18"/>
          <w:szCs w:val="18"/>
        </w:rPr>
        <w:t>). Heatmaps show the most significantly enriched terms for each category; colour scale represents -log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 xml:space="preserve">10 </w:t>
      </w:r>
      <w:r>
        <w:rPr>
          <w:rFonts w:ascii="Arial" w:hAnsi="Arial" w:cs="Arial"/>
          <w:color w:val="000000" w:themeColor="text1"/>
          <w:sz w:val="18"/>
          <w:szCs w:val="18"/>
        </w:rPr>
        <w:t>(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P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value).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e, g</w:t>
      </w:r>
      <w:r>
        <w:rPr>
          <w:rFonts w:ascii="Arial" w:hAnsi="Arial" w:cs="Arial"/>
          <w:color w:val="000000" w:themeColor="text1"/>
          <w:sz w:val="18"/>
          <w:szCs w:val="18"/>
        </w:rPr>
        <w:t>) Correlation networks of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pathway components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e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g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). Nodes represent “writer”, “eraser” and “reader” genes (colour-coded), with node outline indicating transcript up-regulation, down-regulation or no significant change. Edges denote significant expression correlations between </w:t>
      </w:r>
      <w:r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genes; red and blue lines indicate positive and negative correlations, respectively.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f, h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Genome-browser views of representative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reader transcripts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(F, AtECT2 and AtECT5)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(H, NbECT2 and NbECT5). Tracks show normalized MeRIP-seq coverage in mock and TuMV samples; yellow shading highlights 3</w:t>
      </w:r>
      <w:r>
        <w:rPr>
          <w:rFonts w:ascii="Arial" w:hAnsi="Arial" w:cs="Arial"/>
          <w:color w:val="000000" w:themeColor="text1"/>
          <w:sz w:val="18"/>
          <w:szCs w:val="20"/>
        </w:rPr>
        <w:t>′</w:t>
      </w:r>
      <w:r>
        <w:rPr>
          <w:rFonts w:ascii="Arial" w:hAnsi="Arial" w:cs="Arial"/>
          <w:color w:val="000000" w:themeColor="text1"/>
          <w:sz w:val="18"/>
          <w:szCs w:val="18"/>
        </w:rPr>
        <w:t>-UTR regions where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 peaks are located. Gene models (exons and UTRs) are shown below each panel.</w:t>
      </w:r>
    </w:p>
    <w:p w14:paraId="214528DF" w14:textId="77777777" w:rsidR="00694A38" w:rsidRDefault="00694A38" w:rsidP="00694A38">
      <w:pPr>
        <w:widowControl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5A3715C3" wp14:editId="0E4ACFC8">
            <wp:extent cx="5273675" cy="7319645"/>
            <wp:effectExtent l="0" t="0" r="317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1" b="12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DBB77" w14:textId="77777777" w:rsidR="00694A38" w:rsidRDefault="00694A38" w:rsidP="00694A38">
      <w:pPr>
        <w:widowControl/>
        <w:jc w:val="both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lastRenderedPageBreak/>
        <w:t>Supplementary Fig. 4 Autophagy and RNA silencing pathways coordinated changes in expression and m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 modification.</w:t>
      </w:r>
    </w:p>
    <w:p w14:paraId="5C4DB6DF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GSEA of the “autophagy” gene set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(top)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(bottom). Enrichment plots are shown for transcript abundance (black) and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modification level (red). NES are indicated in the panels.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Genome-browser views of representative autophagy-related transcripts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(AtATG8a and AtNBR1)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(NbATG8a and NbNBR1). Tracks display normalized MeRIP-seq coverage for input (black) and IP (red) in mock and TuMV-infected samples.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GSEA of the “ncRNA</w:t>
      </w:r>
      <w:r>
        <w:rPr>
          <w:rFonts w:ascii="Arial" w:hAnsi="Arial" w:cs="Arial" w:hint="eastAsia"/>
          <w:color w:val="000000" w:themeColor="text1"/>
          <w:sz w:val="18"/>
          <w:szCs w:val="18"/>
        </w:rPr>
        <w:t>-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mediated gene silencing” gene set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(top)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(bottom).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d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Genome-browser views of RNA silencing components AGO1 and AGO2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e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GSEA of the “proteasome ubiquitin protein catabolic” gene set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(top)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(bottom).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f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Genome-browser views of proteasome components PAA2 and RPN13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A. t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</w:t>
      </w:r>
      <w:r>
        <w:rPr>
          <w:rFonts w:ascii="Arial" w:hAnsi="Arial" w:cs="Arial"/>
          <w:color w:val="000000" w:themeColor="text1"/>
          <w:sz w:val="18"/>
          <w:szCs w:val="18"/>
        </w:rPr>
        <w:t>.</w:t>
      </w:r>
    </w:p>
    <w:p w14:paraId="2C6D5F8E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7AF79C8E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noProof/>
        </w:rPr>
        <w:drawing>
          <wp:inline distT="0" distB="0" distL="0" distR="0" wp14:anchorId="6711DB62" wp14:editId="331A337E">
            <wp:extent cx="5274310" cy="391160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06" b="44142"/>
                    <a:stretch/>
                  </pic:blipFill>
                  <pic:spPr bwMode="auto">
                    <a:xfrm>
                      <a:off x="0" y="0"/>
                      <a:ext cx="527431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3DE8DA" w14:textId="77777777" w:rsidR="00694A38" w:rsidRDefault="00694A38" w:rsidP="00694A38">
      <w:pPr>
        <w:widowControl/>
        <w:jc w:val="both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Supplementary Fig.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5 Overexpression of m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 xml:space="preserve">A writer components enhanced resistance to TuMV infection in </w:t>
      </w:r>
      <w:r>
        <w:rPr>
          <w:rFonts w:ascii="Arial" w:hAnsi="Arial" w:cs="Arial" w:hint="eastAsia"/>
          <w:b/>
          <w:bCs/>
          <w:i/>
          <w:iCs/>
          <w:color w:val="000000" w:themeColor="text1"/>
          <w:sz w:val="18"/>
          <w:szCs w:val="18"/>
        </w:rPr>
        <w:t>N. benthamiana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.</w:t>
      </w:r>
    </w:p>
    <w:p w14:paraId="4A1AB103" w14:textId="77777777" w:rsidR="00694A38" w:rsidRDefault="00694A38" w:rsidP="00694A38">
      <w:pPr>
        <w:widowControl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Representative phenotypes of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N. benthamiana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lines overexpressing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writer components (MTA, MTB, FIP37, and HAKAI) inoculated with TuMV at 6 dpi.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Relative TuMV RNA accumulation determined by RT–qPCR. Statistical significance was assessed by Student’s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t</w:t>
      </w:r>
      <w:r>
        <w:rPr>
          <w:rFonts w:ascii="Arial" w:hAnsi="Arial" w:cs="Arial"/>
          <w:color w:val="000000" w:themeColor="text1"/>
          <w:sz w:val="18"/>
          <w:szCs w:val="18"/>
        </w:rPr>
        <w:t>-test (***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P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&lt; 0.001; ****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P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&lt; 0.0001).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Immunoblot analysis of TuMV CP accumulation. RbcL staining serves as a loading control.</w:t>
      </w:r>
    </w:p>
    <w:p w14:paraId="7D05944E" w14:textId="77777777" w:rsidR="00694A38" w:rsidRDefault="00694A38" w:rsidP="00694A38">
      <w:pPr>
        <w:widowControl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0F362A0A" wp14:editId="2BF77D21">
            <wp:extent cx="5274310" cy="74574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77AD5" w14:textId="77777777" w:rsidR="00694A38" w:rsidRDefault="00694A38" w:rsidP="00694A38">
      <w:pPr>
        <w:widowControl/>
        <w:jc w:val="both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Supplementary Fig.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6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RNA-seq and Ribo-seq analysis of m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 writer transgenic lines.</w:t>
      </w:r>
    </w:p>
    <w:p w14:paraId="51D01904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PCA of transcriptome profiles from Arabidopsis Col-0, OE: MTA, OE: FIP37, RNAi: MTA,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fip37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+/-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plants under mock or TuMV infection.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Hierarchical-clustering heatmaps of 8000 genes with the largest variation in mock (left) and TuMV-infected (right) plants. Rows correspond to genes and columns to samples; expression values are shown as row-scaled z-scores of normalized FPKMs.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GSEA of GO </w:t>
      </w:r>
      <w:r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terms related to RNA metabolism and protein turnover. Enrichment curves are shown for the indicated genotypes (OE: MTA, OE: FIP37, RNAi: MTA,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fip37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+/-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, with or without TuMV); NES are given in each panel.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d,e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ECDF plots and boxplots showing changes in translational efficiency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AmiR: MTA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d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fip37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e</w:t>
      </w:r>
      <w:r>
        <w:rPr>
          <w:rFonts w:ascii="Arial" w:hAnsi="Arial" w:cs="Arial"/>
          <w:color w:val="000000" w:themeColor="text1"/>
          <w:sz w:val="18"/>
          <w:szCs w:val="18"/>
        </w:rPr>
        <w:t>) plants. Transcripts were stratified into quartiles (Q1–Q4) based on their basal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A levels, from lowest (Q1) to highest (Q4).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P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values indicate monotonic trend significance assessed by the Jonckheere-Terpstra test.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f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GSEA plots for selected functional categories based on translational efficiency changes in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AmiR: MTA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fip37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plants. NES are indicated.</w:t>
      </w:r>
    </w:p>
    <w:p w14:paraId="375C8DEA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74BD0D37" w14:textId="77777777" w:rsidR="00694A38" w:rsidRDefault="00694A38" w:rsidP="00694A38">
      <w:pPr>
        <w:widowControl/>
        <w:jc w:val="both"/>
        <w:rPr>
          <w:rFonts w:ascii="Arial" w:hAnsi="Arial" w:cs="Arial"/>
          <w:color w:val="000000" w:themeColor="text1"/>
        </w:rPr>
      </w:pPr>
      <w:r>
        <w:rPr>
          <w:noProof/>
        </w:rPr>
        <w:drawing>
          <wp:inline distT="0" distB="0" distL="0" distR="0" wp14:anchorId="50881701" wp14:editId="0FE76E2A">
            <wp:extent cx="5274310" cy="39243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3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0F490" w14:textId="77777777" w:rsidR="00694A38" w:rsidRDefault="00694A38" w:rsidP="00694A38">
      <w:pPr>
        <w:widowControl/>
        <w:jc w:val="both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Supplementary Fig.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7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Subcellular localization of MTB, FIP37 and HAKAI.</w:t>
      </w:r>
    </w:p>
    <w:p w14:paraId="06A2FC47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Confocal images showing MTB-YFP expressed in leaf epidermal cells with or without TuMV infection. Columns indicate YFP signal, nuclear marker RFP-H2B, bright-field, and merged images.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HAKAI-YFP expressed alone (top), BiFC pair HAKAI-YN with NIb-YC (middle), and HAKAI-YFP in TuMV-infected cells (bottom).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FIP37-YFP expressed alone (top), BiFC pair FIP37-YN with NIb-YC (middle), and FIP37-YFP in TuMV-infected cells (bottom). RFP-H2B marks nuclei.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d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Localization of MTB-YFP, FIP37-YFP and HAKAI-YFP in cells co-expressing TuMV CP-NIb-CFP and the nuclear marker RFP-H2B. YFP and H2B channels and merged images are shown.</w:t>
      </w:r>
    </w:p>
    <w:p w14:paraId="35B4D99B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3C79EAD8" wp14:editId="2C33330B">
            <wp:extent cx="5274310" cy="613410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3" b="15701"/>
                    <a:stretch/>
                  </pic:blipFill>
                  <pic:spPr bwMode="auto">
                    <a:xfrm>
                      <a:off x="0" y="0"/>
                      <a:ext cx="5274310" cy="613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Supplementary Fig.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8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Reduced pathogenicity of TuMV-NIb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in different </w:t>
      </w:r>
      <w:r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  <w:t>B. rapa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  <w:t>B. napus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.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br/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Representative phenotypes of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B. rapa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(NH051, B80450 and NH080) and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B. napus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(huaxin402) inoculated with mock, TuMV, or the NIb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mutant at 14 dpi.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Relative TuMV RNA accumulation determined by RT–qPCR. Statistical significance was assessed by Student’s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t</w:t>
      </w:r>
      <w:r>
        <w:rPr>
          <w:rFonts w:ascii="Arial" w:hAnsi="Arial" w:cs="Arial"/>
          <w:color w:val="000000" w:themeColor="text1"/>
          <w:sz w:val="18"/>
          <w:szCs w:val="18"/>
        </w:rPr>
        <w:t>-test (***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P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&lt; 0.001; ****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P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&lt; 0.0001).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Immunoblot analysis of TuMV CP accumulation. RbcL staining serves as a loading control.</w:t>
      </w:r>
    </w:p>
    <w:p w14:paraId="760CD06B" w14:textId="77777777" w:rsidR="00694A38" w:rsidRDefault="00694A38" w:rsidP="00694A38">
      <w:pPr>
        <w:widowControl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4339E6EA" wp14:editId="1F5C8882">
            <wp:extent cx="5273675" cy="5929630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5" b="177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49327" w14:textId="77777777" w:rsidR="00694A38" w:rsidRDefault="00694A38" w:rsidP="00694A38">
      <w:pPr>
        <w:widowControl/>
        <w:jc w:val="both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Supplementary Fig. </w:t>
      </w:r>
      <w:r>
        <w:rPr>
          <w:rFonts w:ascii="Arial" w:hAnsi="Arial" w:cs="Arial" w:hint="eastAsia"/>
          <w:b/>
          <w:bCs/>
          <w:color w:val="000000" w:themeColor="text1"/>
          <w:sz w:val="18"/>
          <w:szCs w:val="18"/>
        </w:rPr>
        <w:t>9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Global m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 landscape in NIb and NIb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expressing Arabidopsis plants.</w:t>
      </w:r>
    </w:p>
    <w:p w14:paraId="18AE29CB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Metagene profiles showing normalized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 peak density along the 5</w:t>
      </w:r>
      <w:r>
        <w:rPr>
          <w:rFonts w:ascii="Arial" w:hAnsi="Arial" w:cs="Arial"/>
          <w:color w:val="000000" w:themeColor="text1"/>
          <w:sz w:val="18"/>
          <w:szCs w:val="20"/>
        </w:rPr>
        <w:t>′</w:t>
      </w:r>
      <w:r>
        <w:rPr>
          <w:rFonts w:ascii="Arial" w:hAnsi="Arial" w:cs="Arial"/>
          <w:color w:val="000000" w:themeColor="text1"/>
          <w:sz w:val="18"/>
          <w:szCs w:val="18"/>
        </w:rPr>
        <w:t>-UTR, CDS, and 3</w:t>
      </w:r>
      <w:r>
        <w:rPr>
          <w:rFonts w:ascii="Arial" w:hAnsi="Arial" w:cs="Arial"/>
          <w:color w:val="000000" w:themeColor="text1"/>
          <w:sz w:val="18"/>
          <w:szCs w:val="20"/>
        </w:rPr>
        <w:t>′</w:t>
      </w:r>
      <w:r>
        <w:rPr>
          <w:rFonts w:ascii="Arial" w:hAnsi="Arial" w:cs="Arial"/>
          <w:color w:val="000000" w:themeColor="text1"/>
          <w:sz w:val="18"/>
          <w:szCs w:val="18"/>
        </w:rPr>
        <w:t>-UTR for Col-0, NIb and NIb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plants.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b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PCA of input and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A-IP libraries from Col-0, NIb and NIb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samples.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c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Venn diagram depicting the overlap of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A-modified transcripts among Col-0, NIb and NIb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plants.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d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Pie charts summarizing the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 peaks in each biological replicate (Col-0, NIb and NIb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color w:val="000000" w:themeColor="text1"/>
          <w:sz w:val="18"/>
          <w:szCs w:val="18"/>
        </w:rPr>
        <w:t>), classified as 5</w:t>
      </w:r>
      <w:r>
        <w:rPr>
          <w:rFonts w:ascii="Arial" w:hAnsi="Arial" w:cs="Arial"/>
          <w:color w:val="000000" w:themeColor="text1"/>
          <w:sz w:val="18"/>
          <w:szCs w:val="20"/>
        </w:rPr>
        <w:t>′</w:t>
      </w:r>
      <w:r>
        <w:rPr>
          <w:rFonts w:ascii="Arial" w:hAnsi="Arial" w:cs="Arial"/>
          <w:color w:val="000000" w:themeColor="text1"/>
          <w:sz w:val="18"/>
          <w:szCs w:val="18"/>
        </w:rPr>
        <w:t>-UTR, 3</w:t>
      </w:r>
      <w:r>
        <w:rPr>
          <w:rFonts w:ascii="Arial" w:hAnsi="Arial" w:cs="Arial"/>
          <w:color w:val="000000" w:themeColor="text1"/>
          <w:sz w:val="18"/>
          <w:szCs w:val="20"/>
        </w:rPr>
        <w:t>′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-UTR, other exons and last exon.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e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Enriched sequence motifs identified from m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6</w:t>
      </w:r>
      <w:r>
        <w:rPr>
          <w:rFonts w:ascii="Arial" w:hAnsi="Arial" w:cs="Arial"/>
          <w:color w:val="000000" w:themeColor="text1"/>
          <w:sz w:val="18"/>
          <w:szCs w:val="18"/>
        </w:rPr>
        <w:t>A peaks in Col-0, NIb and NIb</w:t>
      </w: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sim3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plants, showing DRACH and UGUAH consensus patterns.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f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GSEA of GO terms related to autophagy and gene silencing. Enrichment curves are shown for the indicated genotypes; NES are given in each panel.</w:t>
      </w:r>
    </w:p>
    <w:p w14:paraId="6C86166D" w14:textId="77777777" w:rsidR="00694A38" w:rsidRDefault="00694A38" w:rsidP="00694A38">
      <w:pPr>
        <w:widowControl/>
        <w:spacing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0E1F8D73" w14:textId="77777777" w:rsidR="00DE6AE2" w:rsidRDefault="00DE6AE2"/>
    <w:sectPr w:rsidR="00DE6AE2" w:rsidSect="00694A3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A38"/>
    <w:rsid w:val="00195413"/>
    <w:rsid w:val="003D0186"/>
    <w:rsid w:val="005D102F"/>
    <w:rsid w:val="00694A38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11F8F"/>
  <w15:chartTrackingRefBased/>
  <w15:docId w15:val="{F7CD087F-D735-47C7-8A54-56509340D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A38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4A38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4A38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4A38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4A38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4A38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4A38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4A38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4A38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4A38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4A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4A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4A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4A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4A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4A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4A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4A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4A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4A38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694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4A38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94A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4A38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694A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4A38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694A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4A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4A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4A3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694A38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qFormat/>
    <w:rsid w:val="00694A38"/>
    <w:pPr>
      <w:spacing w:line="240" w:lineRule="auto"/>
      <w:jc w:val="both"/>
    </w:pPr>
    <w:rPr>
      <w:rFonts w:ascii="DengXian" w:eastAsia="DengXian" w:hAnsi="DengXian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694A38"/>
    <w:rPr>
      <w:rFonts w:ascii="DengXian" w:eastAsia="DengXian" w:hAnsi="DengXian"/>
      <w:sz w:val="22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694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1233</Words>
  <Characters>7452</Characters>
  <Application>Microsoft Office Word</Application>
  <DocSecurity>0</DocSecurity>
  <Lines>124</Lines>
  <Paragraphs>27</Paragraphs>
  <ScaleCrop>false</ScaleCrop>
  <Company>Springer Nature</Company>
  <LinksUpToDate>false</LinksUpToDate>
  <CharactersWithSpaces>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2026-02-13T13:00:00Z</dcterms:created>
  <dcterms:modified xsi:type="dcterms:W3CDTF">2026-02-13T13:01:00Z</dcterms:modified>
</cp:coreProperties>
</file>