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jc w:val="center"/>
        <w:rPr/>
      </w:pPr>
      <w:r>
        <w:rPr/>
        <w:t xml:space="preserve"> </w:t>
      </w:r>
      <w:r>
        <w:rPr/>
        <w:t>Supplementary Information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2025650</wp:posOffset>
            </wp:positionH>
            <wp:positionV relativeFrom="paragraph">
              <wp:posOffset>-46990</wp:posOffset>
            </wp:positionV>
            <wp:extent cx="2133600" cy="452437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Heading3"/>
        <w:bidi w:val="0"/>
        <w:jc w:val="both"/>
        <w:rPr>
          <w:rStyle w:val="StrongEmphasis"/>
        </w:rPr>
      </w:pPr>
      <w:r>
        <w:rPr/>
      </w:r>
    </w:p>
    <w:p>
      <w:pPr>
        <w:pStyle w:val="TextBody"/>
        <w:bidi w:val="0"/>
        <w:jc w:val="both"/>
        <w:rPr>
          <w:rStyle w:val="StrongEmphasis"/>
          <w:i/>
          <w:i/>
          <w:iCs/>
        </w:rPr>
      </w:pPr>
      <w:r>
        <w:rPr/>
      </w:r>
    </w:p>
    <w:p>
      <w:pPr>
        <w:pStyle w:val="TextBody"/>
        <w:bidi w:val="0"/>
        <w:jc w:val="both"/>
        <w:rPr>
          <w:rStyle w:val="StrongEmphasis"/>
          <w:i/>
          <w:i/>
          <w:iCs/>
        </w:rPr>
      </w:pPr>
      <w:r>
        <w:rPr/>
      </w:r>
    </w:p>
    <w:p>
      <w:pPr>
        <w:pStyle w:val="TextBody"/>
        <w:bidi w:val="0"/>
        <w:jc w:val="both"/>
        <w:rPr>
          <w:rStyle w:val="StrongEmphasis"/>
          <w:i/>
          <w:i/>
          <w:iCs/>
        </w:rPr>
      </w:pPr>
      <w:r>
        <w:rPr/>
      </w:r>
    </w:p>
    <w:p>
      <w:pPr>
        <w:pStyle w:val="TextBody"/>
        <w:bidi w:val="0"/>
        <w:jc w:val="both"/>
        <w:rPr>
          <w:rStyle w:val="StrongEmphasis"/>
          <w:i/>
          <w:i/>
          <w:iCs/>
        </w:rPr>
      </w:pPr>
      <w:r>
        <w:rPr/>
      </w:r>
    </w:p>
    <w:p>
      <w:pPr>
        <w:pStyle w:val="TextBody"/>
        <w:bidi w:val="0"/>
        <w:jc w:val="both"/>
        <w:rPr/>
      </w:pPr>
      <w:r>
        <w:rPr>
          <w:rStyle w:val="StrongEmphasis"/>
          <w:i/>
          <w:iCs/>
        </w:rPr>
        <w:t>Figure S1.</w:t>
      </w:r>
      <w:r>
        <w:rPr>
          <w:i/>
          <w:iCs/>
        </w:rPr>
        <w:t xml:space="preserve"> Full uncropped gel image corresponding to Figure 3A, showing amplification of the 238 bp 3′UTR fragment. The image is presented as obtained directly from the gel documentation system.</w:t>
      </w:r>
    </w:p>
    <w:p>
      <w:pPr>
        <w:pStyle w:val="TextBody"/>
        <w:bidi w:val="0"/>
        <w:jc w:val="both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-152400</wp:posOffset>
            </wp:positionH>
            <wp:positionV relativeFrom="paragraph">
              <wp:posOffset>96520</wp:posOffset>
            </wp:positionV>
            <wp:extent cx="6332220" cy="443928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Style w:val="StrongEmphasis"/>
          <w:i/>
          <w:iCs/>
        </w:rPr>
        <w:t>Figure S2.</w:t>
      </w:r>
      <w:r>
        <w:rPr>
          <w:i/>
          <w:iCs/>
        </w:rPr>
        <w:t xml:space="preserve"> Full uncropped gel image corresponding to Figure 3B, confirming amplification of the 238 bp 3′UTR fragment in all samples. The image is shown in its original, unmodified form.</w:t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LibreOffice/7.3.7.2$Linux_X86_64 LibreOffice_project/30$Build-2</Application>
  <AppVersion>15.0000</AppVersion>
  <Pages>3</Pages>
  <Words>62</Words>
  <Characters>346</Characters>
  <CharactersWithSpaces>406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2026-01-28T20:44:35Z</dcterms:created>
  <dc:creator/>
  <dc:description/>
  <dc:language>en-US</dc:language>
  <cp:lastModifiedBy/>
  <dcterms:modified xsi:type="dcterms:W3CDTF">2026-01-28T21:04:01Z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