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pPr w:leftFromText="180" w:rightFromText="180" w:horzAnchor="margin" w:tblpY="539"/>
        <w:tblW w:w="0" w:type="auto"/>
        <w:tblLook w:val="04A0" w:firstRow="1" w:lastRow="0" w:firstColumn="1" w:lastColumn="0" w:noHBand="0" w:noVBand="1"/>
      </w:tblPr>
      <w:tblGrid>
        <w:gridCol w:w="456"/>
        <w:gridCol w:w="2496"/>
        <w:gridCol w:w="2651"/>
        <w:gridCol w:w="1916"/>
      </w:tblGrid>
      <w:tr w:rsidR="00FD3E7C" w:rsidRPr="00FD3E7C" w14:paraId="2435A3DA" w14:textId="77777777" w:rsidTr="00CA0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82DD02" w14:textId="2F4F3636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657C3A" w14:textId="77777777" w:rsidR="00FD3E7C" w:rsidRPr="00FD3E7C" w:rsidRDefault="00FD3E7C" w:rsidP="00CA0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Cleavage Position (aa)</w:t>
            </w:r>
          </w:p>
        </w:tc>
        <w:tc>
          <w:tcPr>
            <w:tcW w:w="0" w:type="auto"/>
            <w:hideMark/>
          </w:tcPr>
          <w:p w14:paraId="775BA97D" w14:textId="6A973E77" w:rsidR="00FD3E7C" w:rsidRPr="00FD3E7C" w:rsidRDefault="00FD3E7C" w:rsidP="00CA0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Peptide Sequence</w:t>
            </w:r>
          </w:p>
        </w:tc>
        <w:tc>
          <w:tcPr>
            <w:tcW w:w="0" w:type="auto"/>
            <w:hideMark/>
          </w:tcPr>
          <w:p w14:paraId="12821A3F" w14:textId="77777777" w:rsidR="00FD3E7C" w:rsidRPr="00FD3E7C" w:rsidRDefault="00FD3E7C" w:rsidP="00CA074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GPS-CCD Score</w:t>
            </w:r>
          </w:p>
        </w:tc>
      </w:tr>
      <w:tr w:rsidR="00FD3E7C" w:rsidRPr="00FD3E7C" w14:paraId="75818042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DBA82E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DCFB936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240</w:t>
            </w:r>
          </w:p>
        </w:tc>
        <w:tc>
          <w:tcPr>
            <w:tcW w:w="0" w:type="auto"/>
            <w:hideMark/>
          </w:tcPr>
          <w:p w14:paraId="050137EB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SISSKRSSVR|SDAA</w:t>
            </w:r>
          </w:p>
        </w:tc>
        <w:tc>
          <w:tcPr>
            <w:tcW w:w="0" w:type="auto"/>
            <w:hideMark/>
          </w:tcPr>
          <w:p w14:paraId="1ACAEA0C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1.481</w:t>
            </w:r>
          </w:p>
        </w:tc>
      </w:tr>
      <w:tr w:rsidR="00FD3E7C" w:rsidRPr="00FD3E7C" w14:paraId="69F72349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226322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3641CC45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233</w:t>
            </w:r>
          </w:p>
        </w:tc>
        <w:tc>
          <w:tcPr>
            <w:tcW w:w="0" w:type="auto"/>
            <w:hideMark/>
          </w:tcPr>
          <w:p w14:paraId="15464065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RKSESKSSIS|SKRS</w:t>
            </w:r>
          </w:p>
        </w:tc>
        <w:tc>
          <w:tcPr>
            <w:tcW w:w="0" w:type="auto"/>
            <w:hideMark/>
          </w:tcPr>
          <w:p w14:paraId="4321278D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1.402</w:t>
            </w:r>
          </w:p>
        </w:tc>
      </w:tr>
      <w:tr w:rsidR="00FD3E7C" w:rsidRPr="00FD3E7C" w14:paraId="6F364647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11AA45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45BDF17B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484</w:t>
            </w:r>
          </w:p>
        </w:tc>
        <w:tc>
          <w:tcPr>
            <w:tcW w:w="0" w:type="auto"/>
            <w:hideMark/>
          </w:tcPr>
          <w:p w14:paraId="22E5E26A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SPASSPKPLK|KQNP</w:t>
            </w:r>
          </w:p>
        </w:tc>
        <w:tc>
          <w:tcPr>
            <w:tcW w:w="0" w:type="auto"/>
            <w:hideMark/>
          </w:tcPr>
          <w:p w14:paraId="682BB11B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1.307</w:t>
            </w:r>
          </w:p>
        </w:tc>
      </w:tr>
      <w:tr w:rsidR="00FD3E7C" w:rsidRPr="00FD3E7C" w14:paraId="4B373A2C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32FA19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EB13E91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478</w:t>
            </w:r>
          </w:p>
        </w:tc>
        <w:tc>
          <w:tcPr>
            <w:tcW w:w="0" w:type="auto"/>
            <w:hideMark/>
          </w:tcPr>
          <w:p w14:paraId="40B9FDF8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SPKHSHSPAS|SPKP</w:t>
            </w:r>
          </w:p>
        </w:tc>
        <w:tc>
          <w:tcPr>
            <w:tcW w:w="0" w:type="auto"/>
            <w:hideMark/>
          </w:tcPr>
          <w:p w14:paraId="3A50DCE6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1.234</w:t>
            </w:r>
          </w:p>
        </w:tc>
      </w:tr>
      <w:tr w:rsidR="00FD3E7C" w:rsidRPr="00FD3E7C" w14:paraId="47119A67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BF82ED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6E0E88E0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582</w:t>
            </w:r>
          </w:p>
        </w:tc>
        <w:tc>
          <w:tcPr>
            <w:tcW w:w="0" w:type="auto"/>
            <w:hideMark/>
          </w:tcPr>
          <w:p w14:paraId="3EA5DDDB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SSQSSSALVH|KPSA</w:t>
            </w:r>
          </w:p>
        </w:tc>
        <w:tc>
          <w:tcPr>
            <w:tcW w:w="0" w:type="auto"/>
            <w:hideMark/>
          </w:tcPr>
          <w:p w14:paraId="7C3CE45C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1.215</w:t>
            </w:r>
          </w:p>
        </w:tc>
      </w:tr>
      <w:tr w:rsidR="00FD3E7C" w:rsidRPr="00FD3E7C" w14:paraId="31FF2527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5D3A5D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5894A633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234</w:t>
            </w:r>
          </w:p>
        </w:tc>
        <w:tc>
          <w:tcPr>
            <w:tcW w:w="0" w:type="auto"/>
            <w:hideMark/>
          </w:tcPr>
          <w:p w14:paraId="59B8D701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KSESKSSISS|KRSS</w:t>
            </w:r>
          </w:p>
        </w:tc>
        <w:tc>
          <w:tcPr>
            <w:tcW w:w="0" w:type="auto"/>
            <w:hideMark/>
          </w:tcPr>
          <w:p w14:paraId="231D3175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1.174</w:t>
            </w:r>
          </w:p>
        </w:tc>
      </w:tr>
      <w:tr w:rsidR="00FD3E7C" w:rsidRPr="00FD3E7C" w14:paraId="1CDBDE33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41263B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72646FD6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167</w:t>
            </w:r>
          </w:p>
        </w:tc>
        <w:tc>
          <w:tcPr>
            <w:tcW w:w="0" w:type="auto"/>
            <w:hideMark/>
          </w:tcPr>
          <w:p w14:paraId="12234CBF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PLRTSLASLR|SEQS</w:t>
            </w:r>
          </w:p>
        </w:tc>
        <w:tc>
          <w:tcPr>
            <w:tcW w:w="0" w:type="auto"/>
            <w:hideMark/>
          </w:tcPr>
          <w:p w14:paraId="6F43F35B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1.171</w:t>
            </w:r>
          </w:p>
        </w:tc>
      </w:tr>
      <w:tr w:rsidR="00FD3E7C" w:rsidRPr="00FD3E7C" w14:paraId="5678A3D5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E812FC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172D19D4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581</w:t>
            </w:r>
          </w:p>
        </w:tc>
        <w:tc>
          <w:tcPr>
            <w:tcW w:w="0" w:type="auto"/>
            <w:hideMark/>
          </w:tcPr>
          <w:p w14:paraId="38448A0C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GSSQSSSALV|HKPS</w:t>
            </w:r>
          </w:p>
        </w:tc>
        <w:tc>
          <w:tcPr>
            <w:tcW w:w="0" w:type="auto"/>
            <w:hideMark/>
          </w:tcPr>
          <w:p w14:paraId="3870B265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1.141</w:t>
            </w:r>
          </w:p>
        </w:tc>
      </w:tr>
      <w:tr w:rsidR="00FD3E7C" w:rsidRPr="00FD3E7C" w14:paraId="7DAF022B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3205BB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3312D198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237</w:t>
            </w:r>
          </w:p>
        </w:tc>
        <w:tc>
          <w:tcPr>
            <w:tcW w:w="0" w:type="auto"/>
            <w:hideMark/>
          </w:tcPr>
          <w:p w14:paraId="73FF7507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SKSSISSKRS|SVRS</w:t>
            </w:r>
          </w:p>
        </w:tc>
        <w:tc>
          <w:tcPr>
            <w:tcW w:w="0" w:type="auto"/>
            <w:hideMark/>
          </w:tcPr>
          <w:p w14:paraId="2A399251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1.139</w:t>
            </w:r>
          </w:p>
        </w:tc>
      </w:tr>
      <w:tr w:rsidR="00FD3E7C" w:rsidRPr="00FD3E7C" w14:paraId="416279BA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F3162B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31A654DA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370</w:t>
            </w:r>
          </w:p>
        </w:tc>
        <w:tc>
          <w:tcPr>
            <w:tcW w:w="0" w:type="auto"/>
            <w:hideMark/>
          </w:tcPr>
          <w:p w14:paraId="5511F1E1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EGAQRAAAMA|RTKV</w:t>
            </w:r>
          </w:p>
        </w:tc>
        <w:tc>
          <w:tcPr>
            <w:tcW w:w="0" w:type="auto"/>
            <w:hideMark/>
          </w:tcPr>
          <w:p w14:paraId="2C7937E8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1.092</w:t>
            </w:r>
          </w:p>
        </w:tc>
      </w:tr>
      <w:tr w:rsidR="00FD3E7C" w:rsidRPr="00FD3E7C" w14:paraId="1D55CCB0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E4A21E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532C5906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236</w:t>
            </w:r>
          </w:p>
        </w:tc>
        <w:tc>
          <w:tcPr>
            <w:tcW w:w="0" w:type="auto"/>
            <w:hideMark/>
          </w:tcPr>
          <w:p w14:paraId="67602C65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ESKSSISSKR|SSVR</w:t>
            </w:r>
          </w:p>
        </w:tc>
        <w:tc>
          <w:tcPr>
            <w:tcW w:w="0" w:type="auto"/>
            <w:hideMark/>
          </w:tcPr>
          <w:p w14:paraId="6F940A23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1.057</w:t>
            </w:r>
          </w:p>
        </w:tc>
      </w:tr>
      <w:tr w:rsidR="00FD3E7C" w:rsidRPr="00FD3E7C" w14:paraId="4C8A0931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9A4C08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5D63D5C7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495</w:t>
            </w:r>
          </w:p>
        </w:tc>
        <w:tc>
          <w:tcPr>
            <w:tcW w:w="0" w:type="auto"/>
            <w:hideMark/>
          </w:tcPr>
          <w:p w14:paraId="5A0D0B55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QNPSSGARLN|QDKR</w:t>
            </w:r>
          </w:p>
        </w:tc>
        <w:tc>
          <w:tcPr>
            <w:tcW w:w="0" w:type="auto"/>
            <w:hideMark/>
          </w:tcPr>
          <w:p w14:paraId="4178A621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1.049</w:t>
            </w:r>
          </w:p>
        </w:tc>
      </w:tr>
      <w:tr w:rsidR="00FD3E7C" w:rsidRPr="00FD3E7C" w14:paraId="3D97890A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8F8865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2B70849A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604</w:t>
            </w:r>
          </w:p>
        </w:tc>
        <w:tc>
          <w:tcPr>
            <w:tcW w:w="0" w:type="auto"/>
            <w:hideMark/>
          </w:tcPr>
          <w:p w14:paraId="169BCFBB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VTKPVAKESK|AEPK</w:t>
            </w:r>
          </w:p>
        </w:tc>
        <w:tc>
          <w:tcPr>
            <w:tcW w:w="0" w:type="auto"/>
            <w:hideMark/>
          </w:tcPr>
          <w:p w14:paraId="727CECDB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1.033</w:t>
            </w:r>
          </w:p>
        </w:tc>
      </w:tr>
      <w:tr w:rsidR="00FD3E7C" w:rsidRPr="00FD3E7C" w14:paraId="17B1C336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712BA8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05A4C2DF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477</w:t>
            </w:r>
          </w:p>
        </w:tc>
        <w:tc>
          <w:tcPr>
            <w:tcW w:w="0" w:type="auto"/>
            <w:hideMark/>
          </w:tcPr>
          <w:p w14:paraId="1CD49BC9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ASPKHSHSPA|SSPK</w:t>
            </w:r>
          </w:p>
        </w:tc>
        <w:tc>
          <w:tcPr>
            <w:tcW w:w="0" w:type="auto"/>
            <w:hideMark/>
          </w:tcPr>
          <w:p w14:paraId="23693F65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1.022</w:t>
            </w:r>
          </w:p>
        </w:tc>
      </w:tr>
      <w:tr w:rsidR="00FD3E7C" w:rsidRPr="00FD3E7C" w14:paraId="7CA0FB46" w14:textId="77777777" w:rsidTr="00CA0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9AA6F7" w14:textId="77777777" w:rsidR="00FD3E7C" w:rsidRPr="00FD3E7C" w:rsidRDefault="00FD3E7C" w:rsidP="00CA074B">
            <w:pPr>
              <w:jc w:val="right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D041BFC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242</w:t>
            </w:r>
          </w:p>
        </w:tc>
        <w:tc>
          <w:tcPr>
            <w:tcW w:w="0" w:type="auto"/>
            <w:hideMark/>
          </w:tcPr>
          <w:p w14:paraId="01B26C9D" w14:textId="77777777" w:rsidR="00FD3E7C" w:rsidRPr="00FD3E7C" w:rsidRDefault="00FD3E7C" w:rsidP="00CA07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SSKRSSVRSD|AAMS</w:t>
            </w:r>
          </w:p>
        </w:tc>
        <w:tc>
          <w:tcPr>
            <w:tcW w:w="0" w:type="auto"/>
            <w:hideMark/>
          </w:tcPr>
          <w:p w14:paraId="34FD8340" w14:textId="77777777" w:rsidR="00FD3E7C" w:rsidRPr="00FD3E7C" w:rsidRDefault="00FD3E7C" w:rsidP="00CA07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D3E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1.008</w:t>
            </w:r>
          </w:p>
        </w:tc>
      </w:tr>
    </w:tbl>
    <w:p w14:paraId="76B4D700" w14:textId="7D65A18C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  <w:r w:rsidRPr="00FD3E7C">
        <w:rPr>
          <w:rStyle w:val="Strong"/>
          <w:rFonts w:ascii="Calibri" w:hAnsi="Calibri" w:cs="Calibri"/>
          <w:sz w:val="22"/>
          <w:szCs w:val="22"/>
        </w:rPr>
        <w:t xml:space="preserve">Table </w:t>
      </w:r>
      <w:r>
        <w:rPr>
          <w:rStyle w:val="Strong"/>
          <w:rFonts w:ascii="Calibri" w:hAnsi="Calibri" w:cs="Calibri"/>
          <w:sz w:val="22"/>
          <w:szCs w:val="22"/>
        </w:rPr>
        <w:t>S</w:t>
      </w:r>
      <w:r w:rsidRPr="00FD3E7C">
        <w:rPr>
          <w:rStyle w:val="Strong"/>
          <w:rFonts w:ascii="Calibri" w:hAnsi="Calibri" w:cs="Calibri"/>
          <w:sz w:val="22"/>
          <w:szCs w:val="22"/>
        </w:rPr>
        <w:t>1.</w:t>
      </w:r>
    </w:p>
    <w:p w14:paraId="1C1E3D53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1B058E38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590FE4D4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5E68AFF2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421AFD9F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7D9A8095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64804F43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6E78586C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2DF96C9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13BFF752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2E1A4B60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8A19938" w14:textId="64843CFE" w:rsidR="00CA074B" w:rsidRPr="00CA074B" w:rsidRDefault="00CA074B" w:rsidP="00566FAE">
      <w:pPr>
        <w:pStyle w:val="NormalWeb"/>
        <w:jc w:val="both"/>
        <w:rPr>
          <w:rFonts w:ascii="Calibri" w:hAnsi="Calibri" w:cs="Calibri"/>
          <w:b/>
          <w:bCs/>
          <w:noProof/>
          <w:sz w:val="22"/>
          <w:szCs w:val="22"/>
        </w:rPr>
      </w:pPr>
      <w:r w:rsidRPr="00CA074B">
        <w:rPr>
          <w:rFonts w:ascii="Calibri" w:hAnsi="Calibri" w:cs="Calibri"/>
          <w:b/>
          <w:bCs/>
          <w:noProof/>
          <w:sz w:val="22"/>
          <w:szCs w:val="22"/>
        </w:rPr>
        <w:t>Figure S1</w:t>
      </w:r>
    </w:p>
    <w:p w14:paraId="5D9327BD" w14:textId="0FD244AC" w:rsidR="00CA074B" w:rsidRDefault="00CA074B" w:rsidP="00566FAE">
      <w:pPr>
        <w:pStyle w:val="NormalWeb"/>
        <w:jc w:val="both"/>
        <w:rPr>
          <w:rStyle w:val="Strong"/>
          <w:rFonts w:ascii="Calibri" w:eastAsiaTheme="majorEastAsia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8DCEEB6" wp14:editId="1EFD382E">
            <wp:extent cx="3912041" cy="4999620"/>
            <wp:effectExtent l="0" t="0" r="0" b="0"/>
            <wp:docPr id="15310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40" cy="501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B65C" w14:textId="1561A211" w:rsidR="00CA074B" w:rsidRDefault="00CA074B" w:rsidP="00566FAE">
      <w:pPr>
        <w:pStyle w:val="NormalWeb"/>
        <w:jc w:val="both"/>
        <w:rPr>
          <w:rStyle w:val="Strong"/>
          <w:rFonts w:ascii="Calibri" w:eastAsiaTheme="majorEastAsia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lastRenderedPageBreak/>
        <w:t>Figure S2</w:t>
      </w:r>
    </w:p>
    <w:p w14:paraId="1EB389B2" w14:textId="5135BADA" w:rsidR="00CA074B" w:rsidRDefault="00CA074B" w:rsidP="00566FAE">
      <w:pPr>
        <w:pStyle w:val="NormalWeb"/>
        <w:jc w:val="both"/>
        <w:rPr>
          <w:rStyle w:val="Strong"/>
          <w:rFonts w:ascii="Calibri" w:eastAsiaTheme="majorEastAsia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F2AADE9" wp14:editId="0EB709BC">
            <wp:extent cx="4071668" cy="2997200"/>
            <wp:effectExtent l="0" t="0" r="5080" b="0"/>
            <wp:docPr id="134812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66" cy="29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B4D4" w14:textId="77777777" w:rsidR="00CA074B" w:rsidRDefault="00CA074B" w:rsidP="00566FAE">
      <w:pPr>
        <w:pStyle w:val="NormalWeb"/>
        <w:jc w:val="both"/>
        <w:rPr>
          <w:rStyle w:val="Strong"/>
          <w:rFonts w:ascii="Calibri" w:eastAsiaTheme="majorEastAsia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Figure S3</w:t>
      </w:r>
    </w:p>
    <w:p w14:paraId="61310758" w14:textId="7D0000C6" w:rsidR="00CA074B" w:rsidRDefault="00CA074B" w:rsidP="00566FAE">
      <w:pPr>
        <w:pStyle w:val="NormalWeb"/>
        <w:jc w:val="both"/>
        <w:rPr>
          <w:rStyle w:val="Strong"/>
          <w:rFonts w:ascii="Calibri" w:eastAsiaTheme="majorEastAsia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1E6C1B6" wp14:editId="2CE600BC">
            <wp:extent cx="4071620" cy="1181921"/>
            <wp:effectExtent l="0" t="0" r="5080" b="0"/>
            <wp:docPr id="1038392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95" cy="11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659B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EC5D6F3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1943458C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70C3D9B9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96CC585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7D5600D2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77CBCBE7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56B6352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0F5743EC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12BE14C9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4C37FF2E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50600886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51F326E9" w14:textId="77777777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49D5B635" w14:textId="6FF685D2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</w:p>
    <w:p w14:paraId="27EE7F77" w14:textId="0A63ACBA" w:rsidR="00CA074B" w:rsidRDefault="00CA074B" w:rsidP="00CA074B">
      <w:pPr>
        <w:jc w:val="both"/>
        <w:rPr>
          <w:rStyle w:val="Strong"/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sz w:val="22"/>
          <w:szCs w:val="22"/>
        </w:rPr>
        <w:t>Supplemental table and figures legends</w:t>
      </w:r>
    </w:p>
    <w:p w14:paraId="1D1EB105" w14:textId="2E08F011" w:rsidR="00CA074B" w:rsidRPr="00CA074B" w:rsidRDefault="00CA074B" w:rsidP="00CA074B">
      <w:pPr>
        <w:jc w:val="both"/>
        <w:rPr>
          <w:rFonts w:ascii="Calibri" w:hAnsi="Calibri" w:cs="Calibri"/>
          <w:sz w:val="22"/>
          <w:szCs w:val="22"/>
        </w:rPr>
      </w:pPr>
      <w:r w:rsidRPr="00CA074B">
        <w:rPr>
          <w:rStyle w:val="Strong"/>
          <w:rFonts w:ascii="Calibri" w:hAnsi="Calibri" w:cs="Calibri"/>
          <w:sz w:val="22"/>
          <w:szCs w:val="22"/>
        </w:rPr>
        <w:t>Table S1. In silico prediction of calpain cleavage sites in JPh1.</w:t>
      </w:r>
      <w:r w:rsidRPr="00CA074B">
        <w:rPr>
          <w:rFonts w:ascii="Calibri" w:hAnsi="Calibri" w:cs="Calibri"/>
          <w:sz w:val="22"/>
          <w:szCs w:val="22"/>
        </w:rPr>
        <w:t xml:space="preserve"> The top 15 predicted calpain cleavage sites in Junctophilin-1 (JPh1) were identified using the GPS-CCD (Group-based Prediction System for Calpain Cleavage Detection) algorithm and ranked by predicted cleavage score. Cleavage sites are denoted by a vertical bar (|) within the peptide sequence window. Several high-confidence cleavage sites cluster within the N-terminal region surrounding residues 233–240, consistent with experimental identification of the ~44-kDa C-terminal JPh44 fragment.</w:t>
      </w:r>
    </w:p>
    <w:p w14:paraId="3D8820EE" w14:textId="1578C492" w:rsidR="00566FAE" w:rsidRPr="00CA074B" w:rsidRDefault="00566FAE" w:rsidP="00566FAE">
      <w:pPr>
        <w:pStyle w:val="NormalWeb"/>
        <w:jc w:val="both"/>
        <w:rPr>
          <w:rFonts w:ascii="Calibri" w:eastAsiaTheme="majorEastAsia" w:hAnsi="Calibri" w:cs="Calibri"/>
          <w:b/>
          <w:bCs/>
          <w:sz w:val="22"/>
          <w:szCs w:val="22"/>
        </w:rPr>
      </w:pPr>
      <w:r w:rsidRPr="00CA074B">
        <w:rPr>
          <w:rStyle w:val="Strong"/>
          <w:rFonts w:ascii="Calibri" w:eastAsiaTheme="majorEastAsia" w:hAnsi="Calibri" w:cs="Calibri"/>
          <w:sz w:val="22"/>
          <w:szCs w:val="22"/>
        </w:rPr>
        <w:t xml:space="preserve">Figure S1. Calpain-dependent proteolytic cleavage of GFP–JPh1–FLAG </w:t>
      </w:r>
      <w:r w:rsidRPr="00CA074B">
        <w:rPr>
          <w:rStyle w:val="Emphasis"/>
          <w:rFonts w:ascii="Calibri" w:eastAsiaTheme="majorEastAsia" w:hAnsi="Calibri" w:cs="Calibri"/>
          <w:b/>
          <w:bCs/>
          <w:sz w:val="22"/>
          <w:szCs w:val="22"/>
        </w:rPr>
        <w:t>in vitro</w:t>
      </w:r>
      <w:r w:rsidRPr="00CA074B">
        <w:rPr>
          <w:rStyle w:val="Strong"/>
          <w:rFonts w:ascii="Calibri" w:eastAsiaTheme="majorEastAsia" w:hAnsi="Calibri" w:cs="Calibri"/>
          <w:sz w:val="22"/>
          <w:szCs w:val="22"/>
        </w:rPr>
        <w:t>.</w:t>
      </w:r>
      <w:r w:rsidRPr="00CA074B"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  <w:r w:rsidRPr="00CA074B">
        <w:rPr>
          <w:rFonts w:ascii="Calibri" w:hAnsi="Calibri" w:cs="Calibri"/>
          <w:sz w:val="22"/>
          <w:szCs w:val="22"/>
        </w:rPr>
        <w:t xml:space="preserve">Dual-tagged GFP–JPh1–FLAG is expressed in HEK293 cells for 48 h, after which cell lysates are subjected to </w:t>
      </w:r>
      <w:r w:rsidRPr="00CA074B">
        <w:rPr>
          <w:rStyle w:val="Emphasis"/>
          <w:rFonts w:ascii="Calibri" w:eastAsiaTheme="majorEastAsia" w:hAnsi="Calibri" w:cs="Calibri"/>
          <w:sz w:val="22"/>
          <w:szCs w:val="22"/>
        </w:rPr>
        <w:t>in vitro</w:t>
      </w:r>
      <w:r w:rsidRPr="00CA074B">
        <w:rPr>
          <w:rFonts w:ascii="Calibri" w:hAnsi="Calibri" w:cs="Calibri"/>
          <w:sz w:val="22"/>
          <w:szCs w:val="22"/>
        </w:rPr>
        <w:t xml:space="preserve"> calpain proteolysis. Western blot analysis using an anti-FLAG antibody reveals distinct C-terminal JPh1 cleavage fragments generated at increasing calpain-1 concentrations and in the presence or absence of a calpain inhibitor. Ponceau S staining of the membrane demonstrates uniform protein loading.</w:t>
      </w:r>
    </w:p>
    <w:p w14:paraId="52EAC053" w14:textId="747E18FA" w:rsidR="006B1554" w:rsidRPr="00CA074B" w:rsidRDefault="00566FAE" w:rsidP="00566FAE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CA074B">
        <w:rPr>
          <w:rStyle w:val="Strong"/>
          <w:rFonts w:ascii="Calibri" w:eastAsiaTheme="majorEastAsia" w:hAnsi="Calibri" w:cs="Calibri"/>
          <w:sz w:val="22"/>
          <w:szCs w:val="22"/>
        </w:rPr>
        <w:t>Figure S2. Basal subcellular distribution and aggregation of GFP-JPH1Δ1–240 in C2C12 myoblasts.</w:t>
      </w:r>
      <w:r w:rsidRPr="00CA074B"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  <w:r w:rsidRPr="00CA074B">
        <w:rPr>
          <w:rFonts w:ascii="Calibri" w:hAnsi="Calibri" w:cs="Calibri"/>
          <w:sz w:val="22"/>
          <w:szCs w:val="22"/>
        </w:rPr>
        <w:t xml:space="preserve">(A–C) Confocal images of C2C12 myoblasts expressing GFP-JPH1Δ1–240 under basal conditions demonstrate heterogeneous subcellular localization and aggregation states. Shown are GFP fluorescence (green), </w:t>
      </w:r>
      <w:proofErr w:type="spellStart"/>
      <w:r w:rsidRPr="00CA074B">
        <w:rPr>
          <w:rFonts w:ascii="Calibri" w:hAnsi="Calibri" w:cs="Calibri"/>
          <w:sz w:val="22"/>
          <w:szCs w:val="22"/>
        </w:rPr>
        <w:t>Proteostat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074B">
        <w:rPr>
          <w:rFonts w:ascii="Calibri" w:hAnsi="Calibri" w:cs="Calibri"/>
          <w:sz w:val="22"/>
          <w:szCs w:val="22"/>
        </w:rPr>
        <w:t>aggresome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dye (red), nuclei (blue), and merged images. Three representative patterns are observed: (A) completely diffuse GFP-JPH1Δ1–240, (B) predominantly aggregated protein, and (C) a mixed diffuse and aggregated localization. Aggregated, but not diffuse, cytosolic GFP-JPH1Δ1–240 colocalizes with </w:t>
      </w:r>
      <w:proofErr w:type="spellStart"/>
      <w:r w:rsidRPr="00CA074B">
        <w:rPr>
          <w:rFonts w:ascii="Calibri" w:hAnsi="Calibri" w:cs="Calibri"/>
          <w:sz w:val="22"/>
          <w:szCs w:val="22"/>
        </w:rPr>
        <w:t>Proteostat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dye, indicating the formation of misfolded protein aggregates.</w:t>
      </w:r>
    </w:p>
    <w:p w14:paraId="057DB247" w14:textId="1CB39DCD" w:rsidR="006B1554" w:rsidRPr="00CA074B" w:rsidRDefault="00566FAE" w:rsidP="00566FAE">
      <w:pPr>
        <w:jc w:val="both"/>
        <w:rPr>
          <w:rFonts w:ascii="Calibri" w:hAnsi="Calibri" w:cs="Calibri"/>
          <w:sz w:val="22"/>
          <w:szCs w:val="22"/>
        </w:rPr>
      </w:pPr>
      <w:r w:rsidRPr="00CA074B">
        <w:rPr>
          <w:rStyle w:val="Strong"/>
          <w:rFonts w:ascii="Calibri" w:hAnsi="Calibri" w:cs="Calibri"/>
          <w:sz w:val="22"/>
          <w:szCs w:val="22"/>
        </w:rPr>
        <w:t>Figure S3. GFP empty vector does not form aggregates in C2C12 myoblasts.</w:t>
      </w:r>
      <w:r w:rsidRPr="00CA074B">
        <w:rPr>
          <w:rFonts w:ascii="Calibri" w:hAnsi="Calibri" w:cs="Calibri"/>
          <w:sz w:val="22"/>
          <w:szCs w:val="22"/>
        </w:rPr>
        <w:t xml:space="preserve"> </w:t>
      </w:r>
      <w:r w:rsidRPr="00CA074B">
        <w:rPr>
          <w:rFonts w:ascii="Calibri" w:hAnsi="Calibri" w:cs="Calibri"/>
          <w:sz w:val="22"/>
          <w:szCs w:val="22"/>
        </w:rPr>
        <w:t xml:space="preserve">Confocal images of C2C12 myoblasts expressing a GFP-tagged empty vector following palmitic acid (PA) treatment show diffuse cytosolic and nuclear GFP fluorescence without evidence of punctate aggregation. GFP fluorescence (green), </w:t>
      </w:r>
      <w:proofErr w:type="spellStart"/>
      <w:r w:rsidRPr="00CA074B">
        <w:rPr>
          <w:rFonts w:ascii="Calibri" w:hAnsi="Calibri" w:cs="Calibri"/>
          <w:sz w:val="22"/>
          <w:szCs w:val="22"/>
        </w:rPr>
        <w:t>Proteostat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074B">
        <w:rPr>
          <w:rFonts w:ascii="Calibri" w:hAnsi="Calibri" w:cs="Calibri"/>
          <w:sz w:val="22"/>
          <w:szCs w:val="22"/>
        </w:rPr>
        <w:t>aggresome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dye (red), nuclei (blue), and merged images are shown, indicating a lack of GFP colocalization with </w:t>
      </w:r>
      <w:proofErr w:type="spellStart"/>
      <w:r w:rsidRPr="00CA074B">
        <w:rPr>
          <w:rFonts w:ascii="Calibri" w:hAnsi="Calibri" w:cs="Calibri"/>
          <w:sz w:val="22"/>
          <w:szCs w:val="22"/>
        </w:rPr>
        <w:t>Proteostat</w:t>
      </w:r>
      <w:proofErr w:type="spellEnd"/>
      <w:r w:rsidRPr="00CA074B">
        <w:rPr>
          <w:rFonts w:ascii="Calibri" w:hAnsi="Calibri" w:cs="Calibri"/>
          <w:sz w:val="22"/>
          <w:szCs w:val="22"/>
        </w:rPr>
        <w:t xml:space="preserve"> dye under PA-treated conditions.</w:t>
      </w:r>
    </w:p>
    <w:sectPr w:rsidR="006B1554" w:rsidRPr="00CA074B" w:rsidSect="00FD3E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BIQszMxMLIwtDYwtLJR2l4NTi4sz8PJACw1oAaJHd2iwAAAA="/>
  </w:docVars>
  <w:rsids>
    <w:rsidRoot w:val="00FD3E7C"/>
    <w:rsid w:val="001A5894"/>
    <w:rsid w:val="00345074"/>
    <w:rsid w:val="00566FAE"/>
    <w:rsid w:val="006B1554"/>
    <w:rsid w:val="008F3651"/>
    <w:rsid w:val="00CA074B"/>
    <w:rsid w:val="00E86784"/>
    <w:rsid w:val="00FD12B2"/>
    <w:rsid w:val="00FD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615BD"/>
  <w15:chartTrackingRefBased/>
  <w15:docId w15:val="{99FAEA31-FA5C-4EE9-A6CA-5E1503F9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3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E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E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E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E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E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E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E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E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E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E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E7C"/>
    <w:rPr>
      <w:b/>
      <w:bCs/>
      <w:smallCaps/>
      <w:color w:val="0F4761" w:themeColor="accent1" w:themeShade="BF"/>
      <w:spacing w:val="5"/>
    </w:rPr>
  </w:style>
  <w:style w:type="table" w:styleId="GridTable1Light">
    <w:name w:val="Grid Table 1 Light"/>
    <w:basedOn w:val="TableNormal"/>
    <w:uiPriority w:val="46"/>
    <w:rsid w:val="00FD3E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FD3E7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Emphasis">
    <w:name w:val="Emphasis"/>
    <w:basedOn w:val="DefaultParagraphFont"/>
    <w:uiPriority w:val="20"/>
    <w:qFormat/>
    <w:rsid w:val="006B15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359</Words>
  <Characters>2451</Characters>
  <Application>Microsoft Office Word</Application>
  <DocSecurity>0</DocSecurity>
  <Lines>46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Eshwar Reddy Tammineni</dc:creator>
  <cp:keywords/>
  <dc:description/>
  <cp:lastModifiedBy>Eshwar Reddy Tammineni</cp:lastModifiedBy>
  <cp:revision>2</cp:revision>
  <dcterms:created xsi:type="dcterms:W3CDTF">2026-01-20T21:37:00Z</dcterms:created>
  <dcterms:modified xsi:type="dcterms:W3CDTF">2026-01-21T01:42:00Z</dcterms:modified>
</cp:coreProperties>
</file>