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A8FC" w14:textId="13B8AFFD" w:rsidR="005F0871" w:rsidRDefault="00770D7D">
      <w:pPr>
        <w:rPr>
          <w:noProof/>
        </w:rPr>
      </w:pPr>
      <w:r>
        <w:rPr>
          <w:noProof/>
        </w:rPr>
        <w:drawing>
          <wp:inline distT="0" distB="0" distL="0" distR="0" wp14:anchorId="0C6EA340" wp14:editId="2ED2E407">
            <wp:extent cx="5745480" cy="2872740"/>
            <wp:effectExtent l="0" t="0" r="7620" b="3810"/>
            <wp:docPr id="22542805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1425A" w14:textId="0998326B" w:rsidR="0053332B" w:rsidRDefault="0053332B">
      <w:pPr>
        <w:rPr>
          <w:noProof/>
        </w:rPr>
      </w:pPr>
      <w:r w:rsidRPr="0053332B">
        <w:rPr>
          <w:b/>
          <w:bCs/>
          <w:noProof/>
        </w:rPr>
        <w:t>Figure S1a. Keyword Occurrences (2000–2024)</w:t>
      </w:r>
      <w:r w:rsidRPr="0053332B">
        <w:rPr>
          <w:noProof/>
        </w:rPr>
        <w:t xml:space="preserve"> </w:t>
      </w:r>
      <w:r w:rsidR="00854C1A" w:rsidRPr="00854C1A">
        <w:rPr>
          <w:noProof/>
        </w:rPr>
        <w:t>Idiopathic intracranial hypertension' (n=</w:t>
      </w:r>
      <w:r w:rsidR="00770D7D">
        <w:rPr>
          <w:noProof/>
        </w:rPr>
        <w:t>524</w:t>
      </w:r>
      <w:r w:rsidR="00854C1A" w:rsidRPr="00854C1A">
        <w:rPr>
          <w:noProof/>
        </w:rPr>
        <w:t>) and 'pseudotumor cerebri' (n=</w:t>
      </w:r>
      <w:r w:rsidR="00770D7D">
        <w:rPr>
          <w:noProof/>
        </w:rPr>
        <w:t>359</w:t>
      </w:r>
      <w:r w:rsidR="00854C1A" w:rsidRPr="00854C1A">
        <w:rPr>
          <w:noProof/>
        </w:rPr>
        <w:t>) were the terms with the highest frequency. These were followed by clinical features (pressure, papilledema, headache) and pathophysiologic terms (stenosis, venous)</w:t>
      </w:r>
      <w:r w:rsidR="007C1333" w:rsidRPr="007C1333">
        <w:rPr>
          <w:noProof/>
        </w:rPr>
        <w:t>.</w:t>
      </w:r>
    </w:p>
    <w:p w14:paraId="2E2823AA" w14:textId="6D00791C" w:rsidR="0053332B" w:rsidRDefault="00EA63CB">
      <w:pPr>
        <w:rPr>
          <w:noProof/>
        </w:rPr>
      </w:pPr>
      <w:r>
        <w:rPr>
          <w:noProof/>
        </w:rPr>
        <w:drawing>
          <wp:inline distT="0" distB="0" distL="0" distR="0" wp14:anchorId="134F8302" wp14:editId="269C440E">
            <wp:extent cx="5760720" cy="2400300"/>
            <wp:effectExtent l="0" t="0" r="0" b="0"/>
            <wp:docPr id="196295971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6182" w14:textId="69745AD7" w:rsidR="00EA63CB" w:rsidRDefault="007C1333">
      <w:pPr>
        <w:rPr>
          <w:noProof/>
        </w:rPr>
      </w:pPr>
      <w:r>
        <w:rPr>
          <w:b/>
          <w:bCs/>
          <w:noProof/>
        </w:rPr>
        <w:t>F</w:t>
      </w:r>
      <w:r w:rsidR="00EA63CB" w:rsidRPr="00EA63CB">
        <w:rPr>
          <w:b/>
          <w:bCs/>
          <w:noProof/>
        </w:rPr>
        <w:t>igure S1b. Keyword frequency timeline (2000–2005, 2006–2015, 2016–2024).</w:t>
      </w:r>
      <w:r w:rsidR="00EA63CB" w:rsidRPr="00EA63CB">
        <w:rPr>
          <w:noProof/>
        </w:rPr>
        <w:br/>
      </w:r>
      <w:r w:rsidR="00854C1A" w:rsidRPr="00854C1A">
        <w:rPr>
          <w:noProof/>
        </w:rPr>
        <w:t>Idiopathic intracranial hypertension' and 'pseudotumor cerebri' were the dominant terms in all periods. While only five terms were listed in the 2000-2005 period, nine terms appeared in the 2006-2015 and 2016-2024 periods. The terms 'management', 'hypertension' and 'headache' appeared in the middle period, while the term 'intracranial hypertension' became prominent in the last period.</w:t>
      </w:r>
    </w:p>
    <w:p w14:paraId="132E12CE" w14:textId="77777777" w:rsidR="00EA63CB" w:rsidRDefault="00EA63CB">
      <w:pPr>
        <w:rPr>
          <w:noProof/>
        </w:rPr>
      </w:pPr>
    </w:p>
    <w:p w14:paraId="2E27DDB9" w14:textId="3B7C5583" w:rsidR="005039CE" w:rsidRPr="005039CE" w:rsidRDefault="002C16CC" w:rsidP="005039C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26117F8" wp14:editId="7DEA19BE">
            <wp:extent cx="5745480" cy="2872740"/>
            <wp:effectExtent l="0" t="0" r="7620" b="3810"/>
            <wp:docPr id="7915896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D97F" w14:textId="77777777" w:rsidR="00EA63CB" w:rsidRDefault="00EA63CB">
      <w:pPr>
        <w:rPr>
          <w:noProof/>
        </w:rPr>
      </w:pPr>
    </w:p>
    <w:p w14:paraId="4E9DF109" w14:textId="77777777" w:rsidR="00EA63CB" w:rsidRDefault="00EA63CB">
      <w:pPr>
        <w:rPr>
          <w:noProof/>
        </w:rPr>
      </w:pPr>
    </w:p>
    <w:p w14:paraId="2D537F7A" w14:textId="0AA06A22" w:rsidR="00EA63CB" w:rsidRDefault="002C16CC">
      <w:pPr>
        <w:rPr>
          <w:noProof/>
        </w:rPr>
      </w:pPr>
      <w:r>
        <w:rPr>
          <w:noProof/>
        </w:rPr>
        <w:drawing>
          <wp:inline distT="0" distB="0" distL="0" distR="0" wp14:anchorId="24A62035" wp14:editId="45844223">
            <wp:extent cx="5745480" cy="2872740"/>
            <wp:effectExtent l="0" t="0" r="7620" b="3810"/>
            <wp:docPr id="18005896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DEFF" w14:textId="77777777" w:rsidR="00854C1A" w:rsidRDefault="00854C1A">
      <w:pPr>
        <w:rPr>
          <w:b/>
          <w:bCs/>
          <w:noProof/>
        </w:rPr>
      </w:pPr>
      <w:r w:rsidRPr="00854C1A">
        <w:rPr>
          <w:b/>
          <w:bCs/>
          <w:noProof/>
        </w:rPr>
        <w:t xml:space="preserve">Figure S2. Most cited articles. </w:t>
      </w:r>
    </w:p>
    <w:p w14:paraId="447A3B2B" w14:textId="77777777" w:rsidR="00854C1A" w:rsidRDefault="00854C1A">
      <w:pPr>
        <w:rPr>
          <w:noProof/>
        </w:rPr>
      </w:pPr>
      <w:r w:rsidRPr="00854C1A">
        <w:rPr>
          <w:b/>
          <w:bCs/>
          <w:noProof/>
        </w:rPr>
        <w:t>(a) Global citations</w:t>
      </w:r>
      <w:r w:rsidRPr="00854C1A">
        <w:rPr>
          <w:noProof/>
        </w:rPr>
        <w:t xml:space="preserve">: Total number of citations in all academic literature. </w:t>
      </w:r>
    </w:p>
    <w:p w14:paraId="29C44398" w14:textId="77777777" w:rsidR="00854C1A" w:rsidRDefault="00854C1A">
      <w:pPr>
        <w:rPr>
          <w:noProof/>
        </w:rPr>
      </w:pPr>
      <w:r w:rsidRPr="00854C1A">
        <w:rPr>
          <w:b/>
          <w:bCs/>
          <w:noProof/>
        </w:rPr>
        <w:t>(b) Local citations</w:t>
      </w:r>
      <w:r w:rsidRPr="00854C1A">
        <w:rPr>
          <w:noProof/>
        </w:rPr>
        <w:t xml:space="preserve">: Citation counts in IIH literature (2000-2024). </w:t>
      </w:r>
    </w:p>
    <w:p w14:paraId="01449F2E" w14:textId="63B3F0CB" w:rsidR="00854C1A" w:rsidRDefault="00854C1A">
      <w:pPr>
        <w:rPr>
          <w:noProof/>
        </w:rPr>
      </w:pPr>
      <w:r w:rsidRPr="00854C1A">
        <w:rPr>
          <w:noProof/>
        </w:rPr>
        <w:t>Farb et al. (2003, Neurology) ranked first in both lists (global: 494 citations, local: 2</w:t>
      </w:r>
      <w:r w:rsidR="00750618">
        <w:rPr>
          <w:noProof/>
        </w:rPr>
        <w:t>79</w:t>
      </w:r>
      <w:r w:rsidRPr="00854C1A">
        <w:rPr>
          <w:noProof/>
        </w:rPr>
        <w:t xml:space="preserve"> citations). Ahmed et al. (2011, AJNR) and Higgins et al. (2003, J Neurol Neurosurg Psychiatry) followed in global citations, while Friedman and Wall (2013, Neurology) and Digre et al. (2009, Neurology) stood out in local citations.</w:t>
      </w:r>
    </w:p>
    <w:p w14:paraId="0538563D" w14:textId="288E104E" w:rsidR="0053332B" w:rsidRDefault="002C16C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3F47869" wp14:editId="30B25C1B">
            <wp:extent cx="5745480" cy="2872740"/>
            <wp:effectExtent l="0" t="0" r="7620" b="3810"/>
            <wp:docPr id="115930369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BE6A" w14:textId="70D4F9D2" w:rsidR="004D2243" w:rsidRDefault="00854C1A">
      <w:pPr>
        <w:rPr>
          <w:noProof/>
        </w:rPr>
      </w:pPr>
      <w:r w:rsidRPr="00854C1A">
        <w:rPr>
          <w:b/>
          <w:bCs/>
          <w:noProof/>
        </w:rPr>
        <w:t>Figure S3. Country distribution of corresponding authors.</w:t>
      </w:r>
      <w:r w:rsidR="004D2243" w:rsidRPr="004D2243">
        <w:rPr>
          <w:b/>
          <w:bCs/>
          <w:noProof/>
        </w:rPr>
        <w:br/>
      </w:r>
      <w:r w:rsidRPr="00854C1A">
        <w:rPr>
          <w:noProof/>
        </w:rPr>
        <w:t>The number of publications and collaboration types by country are shown (SCP: single country publications, Single Country Publications; MCP: multi-country publications, Multiple Country Publications). The USA (n≈450), China (n≈100) and the UK (n≈80) had the highest number of publications. The US was dominated by SCP, while China and the UK had a higher proportion of MCP. Turkey ranked 7th in the number of publications</w:t>
      </w:r>
    </w:p>
    <w:p w14:paraId="00D54848" w14:textId="3A6315DF" w:rsidR="00E74988" w:rsidRDefault="00861260">
      <w:pPr>
        <w:rPr>
          <w:noProof/>
        </w:rPr>
      </w:pPr>
      <w:r>
        <w:rPr>
          <w:noProof/>
        </w:rPr>
        <w:drawing>
          <wp:inline distT="0" distB="0" distL="0" distR="0" wp14:anchorId="1EAC83FD" wp14:editId="7FF2BBF7">
            <wp:extent cx="5745480" cy="2872740"/>
            <wp:effectExtent l="0" t="0" r="7620" b="3810"/>
            <wp:docPr id="81677177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D014" w14:textId="5FD859FD" w:rsidR="00EA63CB" w:rsidRDefault="00E74988">
      <w:pPr>
        <w:rPr>
          <w:noProof/>
        </w:rPr>
      </w:pPr>
      <w:r w:rsidRPr="00E74988">
        <w:rPr>
          <w:noProof/>
        </w:rPr>
        <w:br/>
      </w:r>
      <w:r w:rsidR="00854C1A" w:rsidRPr="00854C1A">
        <w:rPr>
          <w:b/>
          <w:bCs/>
          <w:noProof/>
        </w:rPr>
        <w:t>Figure S4. Bradford analysis of journal distribution</w:t>
      </w:r>
      <w:r w:rsidR="00C22ABC" w:rsidRPr="00C22ABC">
        <w:rPr>
          <w:b/>
          <w:bCs/>
          <w:noProof/>
        </w:rPr>
        <w:t>.</w:t>
      </w:r>
      <w:r w:rsidR="00C22ABC" w:rsidRPr="00C22ABC">
        <w:rPr>
          <w:noProof/>
        </w:rPr>
        <w:t xml:space="preserve"> </w:t>
      </w:r>
      <w:r w:rsidR="00854C1A" w:rsidRPr="00854C1A">
        <w:rPr>
          <w:noProof/>
        </w:rPr>
        <w:t>The Y-axis shows the number of articles and the X-axis shows the journals (sorted by number of publications). The core region (gray area) represents the most productive journals. The top 5-6 journals account for about one third (33%) of total publications.</w:t>
      </w:r>
    </w:p>
    <w:p w14:paraId="7B84078A" w14:textId="77777777" w:rsidR="00EA63CB" w:rsidRDefault="00EA63CB">
      <w:pPr>
        <w:rPr>
          <w:noProof/>
        </w:rPr>
      </w:pPr>
    </w:p>
    <w:p w14:paraId="082BC2E3" w14:textId="77777777" w:rsidR="009C551C" w:rsidRDefault="009C551C">
      <w:pPr>
        <w:rPr>
          <w:noProof/>
        </w:rPr>
      </w:pPr>
    </w:p>
    <w:p w14:paraId="0ED96D6D" w14:textId="727B2155" w:rsidR="009C551C" w:rsidRPr="009C551C" w:rsidRDefault="009C551C" w:rsidP="009C551C">
      <w:pPr>
        <w:rPr>
          <w:noProof/>
        </w:rPr>
      </w:pPr>
      <w:r w:rsidRPr="009C551C">
        <w:rPr>
          <w:noProof/>
        </w:rPr>
        <w:lastRenderedPageBreak/>
        <w:drawing>
          <wp:inline distT="0" distB="0" distL="0" distR="0" wp14:anchorId="3D73643E" wp14:editId="140A8671">
            <wp:extent cx="5760720" cy="3839845"/>
            <wp:effectExtent l="0" t="0" r="0" b="8255"/>
            <wp:docPr id="39190502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E31F1" w14:textId="77777777" w:rsidR="009C551C" w:rsidRPr="009C551C" w:rsidRDefault="009C551C" w:rsidP="009C551C">
      <w:pPr>
        <w:rPr>
          <w:noProof/>
        </w:rPr>
      </w:pPr>
      <w:r w:rsidRPr="009C551C">
        <w:rPr>
          <w:b/>
          <w:bCs/>
          <w:noProof/>
        </w:rPr>
        <w:t>Figure S5. Temporal distribution of treatment approaches (2000–2024).</w:t>
      </w:r>
      <w:r w:rsidRPr="009C551C">
        <w:rPr>
          <w:noProof/>
        </w:rPr>
        <w:t xml:space="preserve"> The stacked area chart shows the proportional distribution of treatment modalities across five-year periods. In the 2000–2005 period, the ‘Other/mixed’ category constituted approximately 40%, while venous sinus stenting was seen at 30%, optic nerve sheath fenestration (ONSF) at 15%, cerebrospinal fluid (CSF) shunting at 10%, and medical treatment at 5%. By 2021–2024, venous sinus stenting had increased to its highest level at 45–50%, while CSF shunting remained stable at 10–15%, ONSF at 5–10%, and medical treatment at 3–5%.</w:t>
      </w:r>
    </w:p>
    <w:p w14:paraId="0472096C" w14:textId="77777777" w:rsidR="009C551C" w:rsidRDefault="009C551C">
      <w:pPr>
        <w:rPr>
          <w:noProof/>
        </w:rPr>
      </w:pPr>
    </w:p>
    <w:sectPr w:rsidR="009C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19"/>
    <w:rsid w:val="0002623F"/>
    <w:rsid w:val="001412A6"/>
    <w:rsid w:val="00275822"/>
    <w:rsid w:val="002C16CC"/>
    <w:rsid w:val="003A2809"/>
    <w:rsid w:val="004D2243"/>
    <w:rsid w:val="005039CE"/>
    <w:rsid w:val="0053332B"/>
    <w:rsid w:val="005F0871"/>
    <w:rsid w:val="00750618"/>
    <w:rsid w:val="00770D7D"/>
    <w:rsid w:val="007C1333"/>
    <w:rsid w:val="00854C1A"/>
    <w:rsid w:val="00861260"/>
    <w:rsid w:val="008971AF"/>
    <w:rsid w:val="009C0213"/>
    <w:rsid w:val="009C551C"/>
    <w:rsid w:val="00C22ABC"/>
    <w:rsid w:val="00D412AB"/>
    <w:rsid w:val="00D67056"/>
    <w:rsid w:val="00E74988"/>
    <w:rsid w:val="00EA63CB"/>
    <w:rsid w:val="00FB2323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924"/>
  <w15:chartTrackingRefBased/>
  <w15:docId w15:val="{AF74656D-F17F-48C8-AA66-127C0DE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1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1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1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1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1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1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1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1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1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1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1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1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151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151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15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15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15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15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1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1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1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1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1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15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15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151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1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151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1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utkan topçu</dc:creator>
  <cp:keywords/>
  <dc:description/>
  <cp:lastModifiedBy>utkan topçu</cp:lastModifiedBy>
  <cp:revision>9</cp:revision>
  <dcterms:created xsi:type="dcterms:W3CDTF">2025-08-22T21:58:00Z</dcterms:created>
  <dcterms:modified xsi:type="dcterms:W3CDTF">2026-01-09T08:01:00Z</dcterms:modified>
</cp:coreProperties>
</file>