
<file path=[Content_Types].xml><?xml version="1.0" encoding="utf-8"?>
<Types xmlns="http://schemas.openxmlformats.org/package/2006/content-types">
  <Default Extension="wmf" ContentType="image/x-wmf"/>
  <Default Extension="png" ContentType="image/pn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5.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BF615">
      <w:pPr>
        <w:rPr>
          <w:rFonts w:eastAsiaTheme="minorEastAsia"/>
          <w:b/>
          <w:bCs/>
          <w:i/>
          <w:iCs/>
          <w:lang w:eastAsia="zh-CN"/>
        </w:rPr>
      </w:pPr>
      <w:r>
        <w:rPr>
          <w:b/>
          <w:bCs/>
          <w:i/>
          <w:iCs/>
        </w:rPr>
        <w:t>Supplementary Material</w:t>
      </w:r>
    </w:p>
    <w:p w14:paraId="424E2EAB">
      <w:pPr>
        <w:rPr>
          <w:rFonts w:hint="eastAsia" w:eastAsiaTheme="minorEastAsia"/>
          <w:b/>
          <w:bCs/>
          <w:i/>
          <w:iCs/>
          <w:lang w:eastAsia="zh-CN"/>
        </w:rPr>
      </w:pPr>
    </w:p>
    <w:p w14:paraId="094BF991">
      <w:pPr>
        <w:rPr>
          <w:rFonts w:eastAsiaTheme="minorEastAsia"/>
          <w:lang w:eastAsia="zh-CN"/>
        </w:rPr>
      </w:pPr>
      <w:r>
        <w:t>Supplementary Table 1: Gradient elution conditions of HPLC</w:t>
      </w:r>
    </w:p>
    <w:p w14:paraId="3C48CE80">
      <w:pPr>
        <w:rPr>
          <w:rFonts w:eastAsia="宋体"/>
        </w:rPr>
      </w:pPr>
    </w:p>
    <w:p w14:paraId="57D5B87D">
      <w:pPr>
        <w:jc w:val="center"/>
        <w:rPr>
          <w:rFonts w:eastAsia="宋体"/>
        </w:rPr>
      </w:pPr>
      <w:r>
        <w:rPr>
          <w:rFonts w:eastAsia="宋体"/>
        </w:rPr>
        <w:t xml:space="preserve">Table </w:t>
      </w:r>
      <w:r>
        <w:rPr>
          <w:rFonts w:hint="eastAsia" w:eastAsia="宋体"/>
        </w:rPr>
        <w:t>S</w:t>
      </w:r>
      <w:r>
        <w:rPr>
          <w:rFonts w:eastAsia="宋体"/>
        </w:rPr>
        <w:t>1 Gradient elution conditions of HPLC</w:t>
      </w:r>
    </w:p>
    <w:tbl>
      <w:tblPr>
        <w:tblStyle w:val="15"/>
        <w:tblW w:w="5000" w:type="pct"/>
        <w:jc w:val="center"/>
        <w:tblLayout w:type="autofit"/>
        <w:tblCellMar>
          <w:top w:w="0" w:type="dxa"/>
          <w:left w:w="108" w:type="dxa"/>
          <w:bottom w:w="0" w:type="dxa"/>
          <w:right w:w="108" w:type="dxa"/>
        </w:tblCellMar>
      </w:tblPr>
      <w:tblGrid>
        <w:gridCol w:w="1798"/>
        <w:gridCol w:w="3668"/>
        <w:gridCol w:w="3056"/>
      </w:tblGrid>
      <w:tr w14:paraId="77B9F352">
        <w:tblPrEx>
          <w:tblCellMar>
            <w:top w:w="0" w:type="dxa"/>
            <w:left w:w="108" w:type="dxa"/>
            <w:bottom w:w="0" w:type="dxa"/>
            <w:right w:w="108" w:type="dxa"/>
          </w:tblCellMar>
        </w:tblPrEx>
        <w:trPr>
          <w:trHeight w:val="300" w:hRule="atLeast"/>
          <w:tblHeader/>
          <w:jc w:val="center"/>
        </w:trPr>
        <w:tc>
          <w:tcPr>
            <w:tcW w:w="1055" w:type="pct"/>
            <w:tcBorders>
              <w:top w:val="single" w:color="auto" w:sz="4" w:space="0"/>
              <w:left w:val="nil"/>
              <w:bottom w:val="single" w:color="auto" w:sz="8" w:space="0"/>
              <w:right w:val="nil"/>
            </w:tcBorders>
            <w:noWrap/>
            <w:vAlign w:val="bottom"/>
          </w:tcPr>
          <w:p w14:paraId="3D137D96">
            <w:pPr>
              <w:jc w:val="center"/>
              <w:rPr>
                <w:rFonts w:eastAsia="等线"/>
              </w:rPr>
            </w:pPr>
            <w:r>
              <w:rPr>
                <w:rFonts w:eastAsia="等线"/>
              </w:rPr>
              <w:t>Time</w:t>
            </w:r>
            <w:r>
              <w:rPr>
                <w:rFonts w:hint="eastAsia"/>
              </w:rPr>
              <w:t xml:space="preserve"> </w:t>
            </w:r>
            <w:r>
              <w:t>(</w:t>
            </w:r>
            <w:r>
              <w:rPr>
                <w:rFonts w:eastAsia="等线"/>
              </w:rPr>
              <w:t>min</w:t>
            </w:r>
            <w:r>
              <w:rPr>
                <w:rFonts w:hint="eastAsia"/>
              </w:rPr>
              <w:t>)</w:t>
            </w:r>
          </w:p>
        </w:tc>
        <w:tc>
          <w:tcPr>
            <w:tcW w:w="2152" w:type="pct"/>
            <w:tcBorders>
              <w:top w:val="single" w:color="auto" w:sz="4" w:space="0"/>
              <w:left w:val="nil"/>
              <w:bottom w:val="single" w:color="auto" w:sz="8" w:space="0"/>
              <w:right w:val="nil"/>
            </w:tcBorders>
            <w:noWrap/>
            <w:vAlign w:val="bottom"/>
          </w:tcPr>
          <w:p w14:paraId="2FC5B132">
            <w:pPr>
              <w:jc w:val="center"/>
              <w:rPr>
                <w:rFonts w:eastAsia="等线"/>
              </w:rPr>
            </w:pPr>
            <w:r>
              <w:rPr>
                <w:rFonts w:eastAsia="等线"/>
              </w:rPr>
              <w:t>Mobile phase A</w:t>
            </w:r>
            <w:r>
              <w:rPr>
                <w:rFonts w:hint="eastAsia"/>
              </w:rPr>
              <w:t xml:space="preserve"> </w:t>
            </w:r>
            <w:r>
              <w:t>(</w:t>
            </w:r>
            <w:r>
              <w:rPr>
                <w:rFonts w:eastAsia="等线"/>
              </w:rPr>
              <w:t>acetonitrile</w:t>
            </w:r>
            <w:r>
              <w:rPr>
                <w:rFonts w:hint="eastAsia"/>
              </w:rPr>
              <w:t>)</w:t>
            </w:r>
          </w:p>
        </w:tc>
        <w:tc>
          <w:tcPr>
            <w:tcW w:w="1794" w:type="pct"/>
            <w:tcBorders>
              <w:top w:val="single" w:color="auto" w:sz="4" w:space="0"/>
              <w:left w:val="nil"/>
              <w:bottom w:val="single" w:color="auto" w:sz="8" w:space="0"/>
              <w:right w:val="nil"/>
            </w:tcBorders>
            <w:noWrap/>
            <w:vAlign w:val="bottom"/>
          </w:tcPr>
          <w:p w14:paraId="4E2B8C80">
            <w:pPr>
              <w:jc w:val="center"/>
              <w:rPr>
                <w:rFonts w:eastAsia="等线"/>
              </w:rPr>
            </w:pPr>
            <w:r>
              <w:rPr>
                <w:rFonts w:eastAsia="等线"/>
              </w:rPr>
              <w:t>Mobile phase B</w:t>
            </w:r>
            <w:r>
              <w:rPr>
                <w:rFonts w:hint="eastAsia"/>
              </w:rPr>
              <w:t xml:space="preserve"> </w:t>
            </w:r>
            <w:r>
              <w:t>(</w:t>
            </w:r>
            <w:r>
              <w:rPr>
                <w:rFonts w:eastAsia="等线"/>
              </w:rPr>
              <w:t>water</w:t>
            </w:r>
            <w:r>
              <w:rPr>
                <w:rFonts w:hint="eastAsia"/>
              </w:rPr>
              <w:t>)</w:t>
            </w:r>
          </w:p>
        </w:tc>
      </w:tr>
      <w:tr w14:paraId="128BD04F">
        <w:tblPrEx>
          <w:tblCellMar>
            <w:top w:w="0" w:type="dxa"/>
            <w:left w:w="108" w:type="dxa"/>
            <w:bottom w:w="0" w:type="dxa"/>
            <w:right w:w="108" w:type="dxa"/>
          </w:tblCellMar>
        </w:tblPrEx>
        <w:trPr>
          <w:trHeight w:val="300" w:hRule="atLeast"/>
          <w:jc w:val="center"/>
        </w:trPr>
        <w:tc>
          <w:tcPr>
            <w:tcW w:w="1055" w:type="pct"/>
            <w:tcBorders>
              <w:top w:val="single" w:color="auto" w:sz="8" w:space="0"/>
              <w:left w:val="nil"/>
              <w:bottom w:val="nil"/>
              <w:right w:val="nil"/>
            </w:tcBorders>
            <w:noWrap/>
            <w:vAlign w:val="bottom"/>
          </w:tcPr>
          <w:p w14:paraId="33B8956A">
            <w:pPr>
              <w:jc w:val="center"/>
              <w:rPr>
                <w:rFonts w:eastAsia="等线"/>
              </w:rPr>
            </w:pPr>
            <w:r>
              <w:rPr>
                <w:rFonts w:eastAsia="等线"/>
              </w:rPr>
              <w:t>0</w:t>
            </w:r>
          </w:p>
        </w:tc>
        <w:tc>
          <w:tcPr>
            <w:tcW w:w="2152" w:type="pct"/>
            <w:tcBorders>
              <w:top w:val="single" w:color="auto" w:sz="8" w:space="0"/>
              <w:left w:val="nil"/>
              <w:bottom w:val="nil"/>
              <w:right w:val="nil"/>
            </w:tcBorders>
            <w:noWrap/>
            <w:vAlign w:val="bottom"/>
          </w:tcPr>
          <w:p w14:paraId="4B48CA77">
            <w:pPr>
              <w:jc w:val="center"/>
              <w:rPr>
                <w:rFonts w:eastAsia="等线"/>
              </w:rPr>
            </w:pPr>
            <w:r>
              <w:rPr>
                <w:rFonts w:eastAsia="等线"/>
              </w:rPr>
              <w:t>20</w:t>
            </w:r>
          </w:p>
        </w:tc>
        <w:tc>
          <w:tcPr>
            <w:tcW w:w="1794" w:type="pct"/>
            <w:tcBorders>
              <w:top w:val="single" w:color="auto" w:sz="8" w:space="0"/>
              <w:left w:val="nil"/>
              <w:bottom w:val="nil"/>
              <w:right w:val="nil"/>
            </w:tcBorders>
            <w:noWrap/>
            <w:vAlign w:val="bottom"/>
          </w:tcPr>
          <w:p w14:paraId="428C1198">
            <w:pPr>
              <w:jc w:val="center"/>
              <w:rPr>
                <w:rFonts w:eastAsia="等线"/>
              </w:rPr>
            </w:pPr>
            <w:r>
              <w:rPr>
                <w:rFonts w:eastAsia="等线"/>
              </w:rPr>
              <w:t>80</w:t>
            </w:r>
          </w:p>
        </w:tc>
      </w:tr>
      <w:tr w14:paraId="7C98CF03">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18C3233E">
            <w:pPr>
              <w:jc w:val="center"/>
              <w:rPr>
                <w:rFonts w:eastAsia="等线"/>
              </w:rPr>
            </w:pPr>
            <w:r>
              <w:rPr>
                <w:rFonts w:eastAsia="等线"/>
              </w:rPr>
              <w:t>7.5</w:t>
            </w:r>
          </w:p>
        </w:tc>
        <w:tc>
          <w:tcPr>
            <w:tcW w:w="2152" w:type="pct"/>
            <w:tcBorders>
              <w:top w:val="nil"/>
              <w:left w:val="nil"/>
              <w:bottom w:val="nil"/>
              <w:right w:val="nil"/>
            </w:tcBorders>
            <w:noWrap/>
            <w:vAlign w:val="bottom"/>
          </w:tcPr>
          <w:p w14:paraId="112BD260">
            <w:pPr>
              <w:jc w:val="center"/>
              <w:rPr>
                <w:rFonts w:eastAsia="等线"/>
              </w:rPr>
            </w:pPr>
            <w:r>
              <w:rPr>
                <w:rFonts w:eastAsia="等线"/>
              </w:rPr>
              <w:t>20</w:t>
            </w:r>
          </w:p>
        </w:tc>
        <w:tc>
          <w:tcPr>
            <w:tcW w:w="1794" w:type="pct"/>
            <w:tcBorders>
              <w:top w:val="nil"/>
              <w:left w:val="nil"/>
              <w:bottom w:val="nil"/>
              <w:right w:val="nil"/>
            </w:tcBorders>
            <w:noWrap/>
            <w:vAlign w:val="bottom"/>
          </w:tcPr>
          <w:p w14:paraId="59325FFA">
            <w:pPr>
              <w:jc w:val="center"/>
              <w:rPr>
                <w:rFonts w:eastAsia="等线"/>
              </w:rPr>
            </w:pPr>
            <w:r>
              <w:rPr>
                <w:rFonts w:eastAsia="等线"/>
              </w:rPr>
              <w:t>80</w:t>
            </w:r>
          </w:p>
        </w:tc>
      </w:tr>
      <w:tr w14:paraId="5CEDF1CB">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0D4A9417">
            <w:pPr>
              <w:jc w:val="center"/>
              <w:rPr>
                <w:rFonts w:eastAsia="等线"/>
              </w:rPr>
            </w:pPr>
            <w:r>
              <w:rPr>
                <w:rFonts w:eastAsia="等线"/>
              </w:rPr>
              <w:t>23</w:t>
            </w:r>
          </w:p>
        </w:tc>
        <w:tc>
          <w:tcPr>
            <w:tcW w:w="2152" w:type="pct"/>
            <w:tcBorders>
              <w:top w:val="nil"/>
              <w:left w:val="nil"/>
              <w:bottom w:val="nil"/>
              <w:right w:val="nil"/>
            </w:tcBorders>
            <w:noWrap/>
            <w:vAlign w:val="bottom"/>
          </w:tcPr>
          <w:p w14:paraId="011FDC59">
            <w:pPr>
              <w:jc w:val="center"/>
              <w:rPr>
                <w:rFonts w:eastAsia="等线"/>
              </w:rPr>
            </w:pPr>
            <w:r>
              <w:rPr>
                <w:rFonts w:eastAsia="等线"/>
              </w:rPr>
              <w:t>24.5</w:t>
            </w:r>
          </w:p>
        </w:tc>
        <w:tc>
          <w:tcPr>
            <w:tcW w:w="1794" w:type="pct"/>
            <w:tcBorders>
              <w:top w:val="nil"/>
              <w:left w:val="nil"/>
              <w:bottom w:val="nil"/>
              <w:right w:val="nil"/>
            </w:tcBorders>
            <w:noWrap/>
            <w:vAlign w:val="bottom"/>
          </w:tcPr>
          <w:p w14:paraId="3E54F954">
            <w:pPr>
              <w:jc w:val="center"/>
              <w:rPr>
                <w:rFonts w:eastAsia="等线"/>
              </w:rPr>
            </w:pPr>
            <w:r>
              <w:rPr>
                <w:rFonts w:eastAsia="等线"/>
              </w:rPr>
              <w:t>73.5</w:t>
            </w:r>
          </w:p>
        </w:tc>
      </w:tr>
      <w:tr w14:paraId="5B9BC144">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2F61DBBA">
            <w:pPr>
              <w:jc w:val="center"/>
              <w:rPr>
                <w:rFonts w:eastAsia="等线"/>
              </w:rPr>
            </w:pPr>
            <w:r>
              <w:rPr>
                <w:rFonts w:eastAsia="等线"/>
              </w:rPr>
              <w:t>39</w:t>
            </w:r>
          </w:p>
        </w:tc>
        <w:tc>
          <w:tcPr>
            <w:tcW w:w="2152" w:type="pct"/>
            <w:tcBorders>
              <w:top w:val="nil"/>
              <w:left w:val="nil"/>
              <w:bottom w:val="nil"/>
              <w:right w:val="nil"/>
            </w:tcBorders>
            <w:noWrap/>
            <w:vAlign w:val="bottom"/>
          </w:tcPr>
          <w:p w14:paraId="58374663">
            <w:pPr>
              <w:jc w:val="center"/>
              <w:rPr>
                <w:rFonts w:eastAsia="等线"/>
              </w:rPr>
            </w:pPr>
            <w:r>
              <w:rPr>
                <w:rFonts w:eastAsia="等线"/>
              </w:rPr>
              <w:t>26</w:t>
            </w:r>
          </w:p>
        </w:tc>
        <w:tc>
          <w:tcPr>
            <w:tcW w:w="1794" w:type="pct"/>
            <w:tcBorders>
              <w:top w:val="nil"/>
              <w:left w:val="nil"/>
              <w:bottom w:val="nil"/>
              <w:right w:val="nil"/>
            </w:tcBorders>
            <w:noWrap/>
            <w:vAlign w:val="bottom"/>
          </w:tcPr>
          <w:p w14:paraId="5B94194F">
            <w:pPr>
              <w:jc w:val="center"/>
              <w:rPr>
                <w:rFonts w:eastAsia="等线"/>
              </w:rPr>
            </w:pPr>
            <w:r>
              <w:rPr>
                <w:rFonts w:eastAsia="等线"/>
              </w:rPr>
              <w:t>74</w:t>
            </w:r>
          </w:p>
        </w:tc>
      </w:tr>
      <w:tr w14:paraId="036B31CC">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0152382E">
            <w:pPr>
              <w:jc w:val="center"/>
              <w:rPr>
                <w:rFonts w:eastAsia="等线"/>
              </w:rPr>
            </w:pPr>
            <w:r>
              <w:rPr>
                <w:rFonts w:eastAsia="等线"/>
              </w:rPr>
              <w:t>49</w:t>
            </w:r>
          </w:p>
        </w:tc>
        <w:tc>
          <w:tcPr>
            <w:tcW w:w="2152" w:type="pct"/>
            <w:tcBorders>
              <w:top w:val="nil"/>
              <w:left w:val="nil"/>
              <w:bottom w:val="nil"/>
              <w:right w:val="nil"/>
            </w:tcBorders>
            <w:noWrap/>
            <w:vAlign w:val="bottom"/>
          </w:tcPr>
          <w:p w14:paraId="4A41F475">
            <w:pPr>
              <w:jc w:val="center"/>
              <w:rPr>
                <w:rFonts w:eastAsia="等线"/>
              </w:rPr>
            </w:pPr>
            <w:r>
              <w:rPr>
                <w:rFonts w:eastAsia="等线"/>
              </w:rPr>
              <w:t>37</w:t>
            </w:r>
          </w:p>
        </w:tc>
        <w:tc>
          <w:tcPr>
            <w:tcW w:w="1794" w:type="pct"/>
            <w:tcBorders>
              <w:top w:val="nil"/>
              <w:left w:val="nil"/>
              <w:bottom w:val="nil"/>
              <w:right w:val="nil"/>
            </w:tcBorders>
            <w:noWrap/>
            <w:vAlign w:val="bottom"/>
          </w:tcPr>
          <w:p w14:paraId="5F4C0BBD">
            <w:pPr>
              <w:jc w:val="center"/>
              <w:rPr>
                <w:rFonts w:eastAsia="等线"/>
              </w:rPr>
            </w:pPr>
            <w:r>
              <w:rPr>
                <w:rFonts w:eastAsia="等线"/>
              </w:rPr>
              <w:t>63</w:t>
            </w:r>
          </w:p>
        </w:tc>
      </w:tr>
      <w:tr w14:paraId="6619FD31">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4262144F">
            <w:pPr>
              <w:jc w:val="center"/>
              <w:rPr>
                <w:rFonts w:eastAsia="等线"/>
              </w:rPr>
            </w:pPr>
            <w:r>
              <w:rPr>
                <w:rFonts w:eastAsia="等线"/>
              </w:rPr>
              <w:t>58</w:t>
            </w:r>
          </w:p>
        </w:tc>
        <w:tc>
          <w:tcPr>
            <w:tcW w:w="2152" w:type="pct"/>
            <w:tcBorders>
              <w:top w:val="nil"/>
              <w:left w:val="nil"/>
              <w:bottom w:val="nil"/>
              <w:right w:val="nil"/>
            </w:tcBorders>
            <w:noWrap/>
            <w:vAlign w:val="bottom"/>
          </w:tcPr>
          <w:p w14:paraId="47B1F330">
            <w:pPr>
              <w:jc w:val="center"/>
              <w:rPr>
                <w:rFonts w:eastAsia="等线"/>
              </w:rPr>
            </w:pPr>
            <w:r>
              <w:rPr>
                <w:rFonts w:eastAsia="等线"/>
              </w:rPr>
              <w:t>40</w:t>
            </w:r>
          </w:p>
        </w:tc>
        <w:tc>
          <w:tcPr>
            <w:tcW w:w="1794" w:type="pct"/>
            <w:tcBorders>
              <w:top w:val="nil"/>
              <w:left w:val="nil"/>
              <w:bottom w:val="nil"/>
              <w:right w:val="nil"/>
            </w:tcBorders>
            <w:noWrap/>
            <w:vAlign w:val="bottom"/>
          </w:tcPr>
          <w:p w14:paraId="10CB6623">
            <w:pPr>
              <w:jc w:val="center"/>
              <w:rPr>
                <w:rFonts w:eastAsia="等线"/>
              </w:rPr>
            </w:pPr>
            <w:r>
              <w:rPr>
                <w:rFonts w:eastAsia="等线"/>
              </w:rPr>
              <w:t>45</w:t>
            </w:r>
          </w:p>
        </w:tc>
      </w:tr>
      <w:tr w14:paraId="1F2086F2">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0E132EA6">
            <w:pPr>
              <w:jc w:val="center"/>
              <w:rPr>
                <w:rFonts w:eastAsia="等线"/>
              </w:rPr>
            </w:pPr>
            <w:r>
              <w:rPr>
                <w:rFonts w:eastAsia="等线"/>
              </w:rPr>
              <w:t>60</w:t>
            </w:r>
          </w:p>
        </w:tc>
        <w:tc>
          <w:tcPr>
            <w:tcW w:w="2152" w:type="pct"/>
            <w:tcBorders>
              <w:top w:val="nil"/>
              <w:left w:val="nil"/>
              <w:bottom w:val="nil"/>
              <w:right w:val="nil"/>
            </w:tcBorders>
            <w:noWrap/>
            <w:vAlign w:val="bottom"/>
          </w:tcPr>
          <w:p w14:paraId="10F154B9">
            <w:pPr>
              <w:jc w:val="center"/>
              <w:rPr>
                <w:rFonts w:eastAsia="等线"/>
              </w:rPr>
            </w:pPr>
            <w:r>
              <w:rPr>
                <w:rFonts w:eastAsia="等线"/>
              </w:rPr>
              <w:t>45</w:t>
            </w:r>
          </w:p>
        </w:tc>
        <w:tc>
          <w:tcPr>
            <w:tcW w:w="1794" w:type="pct"/>
            <w:tcBorders>
              <w:top w:val="nil"/>
              <w:left w:val="nil"/>
              <w:bottom w:val="nil"/>
              <w:right w:val="nil"/>
            </w:tcBorders>
            <w:noWrap/>
            <w:vAlign w:val="bottom"/>
          </w:tcPr>
          <w:p w14:paraId="154BFC73">
            <w:pPr>
              <w:jc w:val="center"/>
              <w:rPr>
                <w:rFonts w:eastAsia="等线"/>
              </w:rPr>
            </w:pPr>
            <w:r>
              <w:rPr>
                <w:rFonts w:eastAsia="等线"/>
              </w:rPr>
              <w:t>55</w:t>
            </w:r>
          </w:p>
        </w:tc>
      </w:tr>
      <w:tr w14:paraId="46135354">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3DE5AA1C">
            <w:pPr>
              <w:jc w:val="center"/>
              <w:rPr>
                <w:rFonts w:eastAsia="等线"/>
              </w:rPr>
            </w:pPr>
            <w:r>
              <w:rPr>
                <w:rFonts w:eastAsia="等线"/>
              </w:rPr>
              <w:t>66</w:t>
            </w:r>
          </w:p>
        </w:tc>
        <w:tc>
          <w:tcPr>
            <w:tcW w:w="2152" w:type="pct"/>
            <w:tcBorders>
              <w:top w:val="nil"/>
              <w:left w:val="nil"/>
              <w:bottom w:val="nil"/>
              <w:right w:val="nil"/>
            </w:tcBorders>
            <w:noWrap/>
            <w:vAlign w:val="bottom"/>
          </w:tcPr>
          <w:p w14:paraId="2EBBD6DB">
            <w:pPr>
              <w:jc w:val="center"/>
              <w:rPr>
                <w:rFonts w:eastAsia="等线"/>
              </w:rPr>
            </w:pPr>
            <w:r>
              <w:rPr>
                <w:rFonts w:eastAsia="等线"/>
              </w:rPr>
              <w:t>90</w:t>
            </w:r>
          </w:p>
        </w:tc>
        <w:tc>
          <w:tcPr>
            <w:tcW w:w="1794" w:type="pct"/>
            <w:tcBorders>
              <w:top w:val="nil"/>
              <w:left w:val="nil"/>
              <w:bottom w:val="nil"/>
              <w:right w:val="nil"/>
            </w:tcBorders>
            <w:noWrap/>
            <w:vAlign w:val="bottom"/>
          </w:tcPr>
          <w:p w14:paraId="772E4B80">
            <w:pPr>
              <w:jc w:val="center"/>
              <w:rPr>
                <w:rFonts w:eastAsia="等线"/>
              </w:rPr>
            </w:pPr>
            <w:r>
              <w:rPr>
                <w:rFonts w:eastAsia="等线"/>
              </w:rPr>
              <w:t>10</w:t>
            </w:r>
          </w:p>
        </w:tc>
      </w:tr>
      <w:tr w14:paraId="7DFE38C8">
        <w:tblPrEx>
          <w:tblCellMar>
            <w:top w:w="0" w:type="dxa"/>
            <w:left w:w="108" w:type="dxa"/>
            <w:bottom w:w="0" w:type="dxa"/>
            <w:right w:w="108" w:type="dxa"/>
          </w:tblCellMar>
        </w:tblPrEx>
        <w:trPr>
          <w:trHeight w:val="300" w:hRule="atLeast"/>
          <w:jc w:val="center"/>
        </w:trPr>
        <w:tc>
          <w:tcPr>
            <w:tcW w:w="1055" w:type="pct"/>
            <w:tcBorders>
              <w:top w:val="nil"/>
              <w:left w:val="nil"/>
              <w:bottom w:val="nil"/>
              <w:right w:val="nil"/>
            </w:tcBorders>
            <w:noWrap/>
            <w:vAlign w:val="bottom"/>
          </w:tcPr>
          <w:p w14:paraId="6E7091A8">
            <w:pPr>
              <w:jc w:val="center"/>
              <w:rPr>
                <w:rFonts w:eastAsia="等线"/>
              </w:rPr>
            </w:pPr>
            <w:r>
              <w:rPr>
                <w:rFonts w:eastAsia="等线"/>
              </w:rPr>
              <w:t>68</w:t>
            </w:r>
          </w:p>
        </w:tc>
        <w:tc>
          <w:tcPr>
            <w:tcW w:w="2152" w:type="pct"/>
            <w:tcBorders>
              <w:top w:val="nil"/>
              <w:left w:val="nil"/>
              <w:bottom w:val="nil"/>
              <w:right w:val="nil"/>
            </w:tcBorders>
            <w:noWrap/>
            <w:vAlign w:val="bottom"/>
          </w:tcPr>
          <w:p w14:paraId="6F90D98E">
            <w:pPr>
              <w:jc w:val="center"/>
              <w:rPr>
                <w:rFonts w:eastAsia="等线"/>
              </w:rPr>
            </w:pPr>
            <w:r>
              <w:rPr>
                <w:rFonts w:eastAsia="等线"/>
              </w:rPr>
              <w:t>20</w:t>
            </w:r>
          </w:p>
        </w:tc>
        <w:tc>
          <w:tcPr>
            <w:tcW w:w="1794" w:type="pct"/>
            <w:tcBorders>
              <w:top w:val="nil"/>
              <w:left w:val="nil"/>
              <w:bottom w:val="nil"/>
              <w:right w:val="nil"/>
            </w:tcBorders>
            <w:noWrap/>
            <w:vAlign w:val="bottom"/>
          </w:tcPr>
          <w:p w14:paraId="22F722C9">
            <w:pPr>
              <w:jc w:val="center"/>
              <w:rPr>
                <w:rFonts w:eastAsia="等线"/>
              </w:rPr>
            </w:pPr>
            <w:r>
              <w:rPr>
                <w:rFonts w:eastAsia="等线"/>
              </w:rPr>
              <w:t>80</w:t>
            </w:r>
          </w:p>
        </w:tc>
      </w:tr>
      <w:tr w14:paraId="13B487AE">
        <w:tblPrEx>
          <w:tblCellMar>
            <w:top w:w="0" w:type="dxa"/>
            <w:left w:w="108" w:type="dxa"/>
            <w:bottom w:w="0" w:type="dxa"/>
            <w:right w:w="108" w:type="dxa"/>
          </w:tblCellMar>
        </w:tblPrEx>
        <w:trPr>
          <w:trHeight w:val="300" w:hRule="atLeast"/>
          <w:jc w:val="center"/>
        </w:trPr>
        <w:tc>
          <w:tcPr>
            <w:tcW w:w="1055" w:type="pct"/>
            <w:tcBorders>
              <w:top w:val="nil"/>
              <w:left w:val="nil"/>
              <w:bottom w:val="single" w:color="auto" w:sz="8" w:space="0"/>
              <w:right w:val="nil"/>
            </w:tcBorders>
            <w:noWrap/>
            <w:vAlign w:val="bottom"/>
          </w:tcPr>
          <w:p w14:paraId="1CD5409A">
            <w:pPr>
              <w:jc w:val="center"/>
              <w:rPr>
                <w:rFonts w:eastAsia="等线"/>
              </w:rPr>
            </w:pPr>
            <w:r>
              <w:rPr>
                <w:rFonts w:eastAsia="等线"/>
              </w:rPr>
              <w:t>70</w:t>
            </w:r>
          </w:p>
        </w:tc>
        <w:tc>
          <w:tcPr>
            <w:tcW w:w="2152" w:type="pct"/>
            <w:tcBorders>
              <w:top w:val="nil"/>
              <w:left w:val="nil"/>
              <w:bottom w:val="single" w:color="auto" w:sz="8" w:space="0"/>
              <w:right w:val="nil"/>
            </w:tcBorders>
            <w:noWrap/>
            <w:vAlign w:val="bottom"/>
          </w:tcPr>
          <w:p w14:paraId="3C1C15CF">
            <w:pPr>
              <w:jc w:val="center"/>
              <w:rPr>
                <w:rFonts w:eastAsia="等线"/>
              </w:rPr>
            </w:pPr>
            <w:r>
              <w:rPr>
                <w:rFonts w:eastAsia="等线"/>
              </w:rPr>
              <w:t>20</w:t>
            </w:r>
          </w:p>
        </w:tc>
        <w:tc>
          <w:tcPr>
            <w:tcW w:w="1794" w:type="pct"/>
            <w:tcBorders>
              <w:top w:val="nil"/>
              <w:left w:val="nil"/>
              <w:bottom w:val="single" w:color="auto" w:sz="8" w:space="0"/>
              <w:right w:val="nil"/>
            </w:tcBorders>
            <w:noWrap/>
            <w:vAlign w:val="bottom"/>
          </w:tcPr>
          <w:p w14:paraId="1C7D7314">
            <w:pPr>
              <w:jc w:val="center"/>
              <w:rPr>
                <w:rFonts w:eastAsia="等线"/>
              </w:rPr>
            </w:pPr>
            <w:r>
              <w:rPr>
                <w:rFonts w:eastAsia="等线"/>
              </w:rPr>
              <w:t>80</w:t>
            </w:r>
          </w:p>
        </w:tc>
      </w:tr>
    </w:tbl>
    <w:p w14:paraId="45AF3A57">
      <w:pPr>
        <w:rPr>
          <w:rFonts w:hint="eastAsia" w:eastAsiaTheme="minorEastAsia"/>
          <w:lang w:eastAsia="zh-CN"/>
        </w:rPr>
        <w:sectPr>
          <w:pgSz w:w="11906" w:h="16838"/>
          <w:pgMar w:top="1440" w:right="1800" w:bottom="1440" w:left="1800" w:header="851" w:footer="992" w:gutter="0"/>
          <w:cols w:space="425" w:num="1"/>
          <w:docGrid w:type="lines" w:linePitch="312" w:charSpace="0"/>
        </w:sectPr>
      </w:pPr>
    </w:p>
    <w:p w14:paraId="42B1EB2B">
      <w:pPr>
        <w:rPr>
          <w:rFonts w:eastAsiaTheme="minorEastAsia"/>
        </w:rPr>
      </w:pPr>
      <w:r>
        <w:t xml:space="preserve">Supplementary Table </w:t>
      </w:r>
      <w:r>
        <w:rPr>
          <w:rFonts w:hint="eastAsia" w:eastAsiaTheme="minorEastAsia"/>
        </w:rPr>
        <w:t>2</w:t>
      </w:r>
      <w:r>
        <w:t xml:space="preserve">: </w:t>
      </w:r>
      <w:r>
        <w:rPr>
          <w:rFonts w:hint="eastAsia"/>
        </w:rPr>
        <w:t>S</w:t>
      </w:r>
      <w:r>
        <w:t>pecific primers</w:t>
      </w:r>
      <w:r>
        <w:rPr>
          <w:rFonts w:hint="eastAsia"/>
        </w:rPr>
        <w:t xml:space="preserve"> of </w:t>
      </w:r>
      <w:r>
        <w:t>strains</w:t>
      </w:r>
    </w:p>
    <w:tbl>
      <w:tblPr>
        <w:tblStyle w:val="15"/>
        <w:tblpPr w:leftFromText="180" w:rightFromText="180" w:vertAnchor="page" w:horzAnchor="margin" w:tblpXSpec="center" w:tblpY="2455"/>
        <w:tblOverlap w:val="never"/>
        <w:tblW w:w="512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897"/>
        <w:gridCol w:w="4431"/>
      </w:tblGrid>
      <w:tr w14:paraId="6593BDC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bottom w:val="single" w:color="auto" w:sz="12" w:space="0"/>
            </w:tcBorders>
            <w:shd w:val="clear" w:color="auto" w:fill="auto"/>
            <w:noWrap/>
            <w:tcMar>
              <w:top w:w="12" w:type="dxa"/>
              <w:left w:w="12" w:type="dxa"/>
              <w:right w:w="12" w:type="dxa"/>
            </w:tcMar>
            <w:vAlign w:val="center"/>
          </w:tcPr>
          <w:p w14:paraId="6E5DE362">
            <w:pPr>
              <w:jc w:val="center"/>
            </w:pPr>
            <w:r>
              <w:t>Strain</w:t>
            </w:r>
          </w:p>
        </w:tc>
        <w:tc>
          <w:tcPr>
            <w:tcW w:w="2437" w:type="pct"/>
            <w:tcBorders>
              <w:bottom w:val="single" w:color="auto" w:sz="12" w:space="0"/>
            </w:tcBorders>
            <w:shd w:val="clear" w:color="auto" w:fill="auto"/>
            <w:noWrap/>
            <w:tcMar>
              <w:top w:w="12" w:type="dxa"/>
              <w:left w:w="12" w:type="dxa"/>
              <w:right w:w="12" w:type="dxa"/>
            </w:tcMar>
            <w:vAlign w:val="center"/>
          </w:tcPr>
          <w:p w14:paraId="22E92741">
            <w:pPr>
              <w:jc w:val="center"/>
            </w:pPr>
            <w:r>
              <w:t>Primer sequence</w:t>
            </w:r>
          </w:p>
        </w:tc>
      </w:tr>
      <w:tr w14:paraId="4EC1726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top w:val="single" w:color="auto" w:sz="12" w:space="0"/>
              <w:tl2br w:val="nil"/>
              <w:tr2bl w:val="nil"/>
            </w:tcBorders>
            <w:shd w:val="clear" w:color="auto" w:fill="auto"/>
            <w:noWrap/>
            <w:tcMar>
              <w:top w:w="12" w:type="dxa"/>
              <w:left w:w="12" w:type="dxa"/>
              <w:right w:w="12" w:type="dxa"/>
            </w:tcMar>
            <w:vAlign w:val="center"/>
          </w:tcPr>
          <w:p w14:paraId="6FE575D4">
            <w:pPr>
              <w:jc w:val="center"/>
            </w:pPr>
            <w:r>
              <w:rPr>
                <w:i/>
                <w:iCs/>
              </w:rPr>
              <w:t>Fusarium solani</w:t>
            </w:r>
            <w:r>
              <w:t xml:space="preserve"> (Ye et al., 2019)</w:t>
            </w:r>
          </w:p>
        </w:tc>
        <w:tc>
          <w:tcPr>
            <w:tcW w:w="2437" w:type="pct"/>
            <w:tcBorders>
              <w:top w:val="single" w:color="auto" w:sz="12" w:space="0"/>
              <w:tl2br w:val="nil"/>
              <w:tr2bl w:val="nil"/>
            </w:tcBorders>
            <w:shd w:val="clear" w:color="auto" w:fill="auto"/>
            <w:noWrap/>
            <w:tcMar>
              <w:top w:w="12" w:type="dxa"/>
              <w:left w:w="12" w:type="dxa"/>
              <w:right w:w="12" w:type="dxa"/>
            </w:tcMar>
            <w:vAlign w:val="center"/>
          </w:tcPr>
          <w:p w14:paraId="50E638BB">
            <w:pPr>
              <w:jc w:val="center"/>
            </w:pPr>
            <w:r>
              <w:t>F: TCGGTTGTCGCAAAGACT</w:t>
            </w:r>
          </w:p>
          <w:p w14:paraId="2B1B3B5F">
            <w:pPr>
              <w:jc w:val="center"/>
            </w:pPr>
            <w:r>
              <w:t>R: GGGAAGTTGTGTCAGCATT</w:t>
            </w:r>
          </w:p>
        </w:tc>
      </w:tr>
      <w:tr w14:paraId="04448AD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tl2br w:val="nil"/>
              <w:tr2bl w:val="nil"/>
            </w:tcBorders>
            <w:shd w:val="clear" w:color="auto" w:fill="auto"/>
            <w:noWrap/>
            <w:tcMar>
              <w:top w:w="12" w:type="dxa"/>
              <w:left w:w="12" w:type="dxa"/>
              <w:right w:w="12" w:type="dxa"/>
            </w:tcMar>
            <w:vAlign w:val="center"/>
          </w:tcPr>
          <w:p w14:paraId="6E4E6016">
            <w:pPr>
              <w:jc w:val="center"/>
            </w:pPr>
            <w:r>
              <w:rPr>
                <w:i/>
                <w:iCs/>
              </w:rPr>
              <w:t>Ilyonectria mor-panacis</w:t>
            </w:r>
            <w:r>
              <w:t xml:space="preserve"> (Gao et al., 2020)</w:t>
            </w:r>
          </w:p>
        </w:tc>
        <w:tc>
          <w:tcPr>
            <w:tcW w:w="2437" w:type="pct"/>
            <w:tcBorders>
              <w:tl2br w:val="nil"/>
              <w:tr2bl w:val="nil"/>
            </w:tcBorders>
            <w:shd w:val="clear" w:color="auto" w:fill="auto"/>
            <w:noWrap/>
            <w:tcMar>
              <w:top w:w="12" w:type="dxa"/>
              <w:left w:w="12" w:type="dxa"/>
              <w:right w:w="12" w:type="dxa"/>
            </w:tcMar>
            <w:vAlign w:val="center"/>
          </w:tcPr>
          <w:p w14:paraId="4FC90C33">
            <w:pPr>
              <w:jc w:val="center"/>
            </w:pPr>
            <w:r>
              <w:t>F:</w:t>
            </w:r>
            <w:r>
              <w:rPr>
                <w:rFonts w:hint="eastAsia"/>
              </w:rPr>
              <w:t xml:space="preserve"> </w:t>
            </w:r>
            <w:r>
              <w:t>CAAAATTTTTCACCCACCCTCTATTG</w:t>
            </w:r>
          </w:p>
          <w:p w14:paraId="6EE5E30E">
            <w:pPr>
              <w:jc w:val="center"/>
            </w:pPr>
            <w:r>
              <w:t>R: GTGAGAGTTAGAATGTGCCAAGTG</w:t>
            </w:r>
          </w:p>
        </w:tc>
      </w:tr>
      <w:tr w14:paraId="735717A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tl2br w:val="nil"/>
              <w:tr2bl w:val="nil"/>
            </w:tcBorders>
            <w:shd w:val="clear" w:color="auto" w:fill="auto"/>
            <w:noWrap/>
            <w:tcMar>
              <w:top w:w="12" w:type="dxa"/>
              <w:left w:w="12" w:type="dxa"/>
              <w:right w:w="12" w:type="dxa"/>
            </w:tcMar>
            <w:vAlign w:val="center"/>
          </w:tcPr>
          <w:p w14:paraId="548E6225">
            <w:pPr>
              <w:jc w:val="center"/>
            </w:pPr>
            <w:r>
              <w:rPr>
                <w:i/>
                <w:iCs/>
              </w:rPr>
              <w:t xml:space="preserve">Streptomyces drozdowiczii </w:t>
            </w:r>
            <w:r>
              <w:t>(Li et al., 2012)</w:t>
            </w:r>
          </w:p>
        </w:tc>
        <w:tc>
          <w:tcPr>
            <w:tcW w:w="2437" w:type="pct"/>
            <w:tcBorders>
              <w:tl2br w:val="nil"/>
              <w:tr2bl w:val="nil"/>
            </w:tcBorders>
            <w:shd w:val="clear" w:color="auto" w:fill="auto"/>
            <w:noWrap/>
            <w:tcMar>
              <w:top w:w="12" w:type="dxa"/>
              <w:left w:w="12" w:type="dxa"/>
              <w:right w:w="12" w:type="dxa"/>
            </w:tcMar>
            <w:vAlign w:val="center"/>
          </w:tcPr>
          <w:p w14:paraId="755806B2">
            <w:pPr>
              <w:jc w:val="center"/>
            </w:pPr>
            <w:r>
              <w:t>F: AGCAGGCCCTTGTGGTG</w:t>
            </w:r>
          </w:p>
          <w:p w14:paraId="4D05D206">
            <w:pPr>
              <w:jc w:val="center"/>
            </w:pPr>
            <w:r>
              <w:t>R: CGAGTTGCAGACCCCAATCCG</w:t>
            </w:r>
          </w:p>
        </w:tc>
      </w:tr>
      <w:tr w14:paraId="40E77CC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tl2br w:val="nil"/>
              <w:tr2bl w:val="nil"/>
            </w:tcBorders>
            <w:shd w:val="clear" w:color="auto" w:fill="auto"/>
            <w:noWrap/>
            <w:tcMar>
              <w:top w:w="12" w:type="dxa"/>
              <w:left w:w="12" w:type="dxa"/>
              <w:right w:w="12" w:type="dxa"/>
            </w:tcMar>
            <w:vAlign w:val="center"/>
          </w:tcPr>
          <w:p w14:paraId="6F335BF3">
            <w:pPr>
              <w:jc w:val="center"/>
            </w:pPr>
            <w:r>
              <w:rPr>
                <w:i/>
                <w:iCs/>
              </w:rPr>
              <w:t>Penicillium ortum</w:t>
            </w:r>
            <w:r>
              <w:t xml:space="preserve"> (Géry et al., 2021)</w:t>
            </w:r>
          </w:p>
        </w:tc>
        <w:tc>
          <w:tcPr>
            <w:tcW w:w="2437" w:type="pct"/>
            <w:tcBorders>
              <w:tl2br w:val="nil"/>
              <w:tr2bl w:val="nil"/>
            </w:tcBorders>
            <w:shd w:val="clear" w:color="auto" w:fill="auto"/>
            <w:noWrap/>
            <w:tcMar>
              <w:top w:w="12" w:type="dxa"/>
              <w:left w:w="12" w:type="dxa"/>
              <w:right w:w="12" w:type="dxa"/>
            </w:tcMar>
            <w:vAlign w:val="center"/>
          </w:tcPr>
          <w:p w14:paraId="205B63E7">
            <w:pPr>
              <w:jc w:val="center"/>
            </w:pPr>
            <w:r>
              <w:t>F: CATTCGCCAAGGATGTTTTC</w:t>
            </w:r>
          </w:p>
          <w:p w14:paraId="6D145AAC">
            <w:pPr>
              <w:jc w:val="center"/>
            </w:pPr>
            <w:r>
              <w:t>R:  TTGTCTGGACCTGGTGAGTTT</w:t>
            </w:r>
          </w:p>
        </w:tc>
      </w:tr>
      <w:tr w14:paraId="20038C1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tl2br w:val="nil"/>
              <w:tr2bl w:val="nil"/>
            </w:tcBorders>
            <w:shd w:val="clear" w:color="auto" w:fill="auto"/>
            <w:noWrap/>
            <w:tcMar>
              <w:top w:w="12" w:type="dxa"/>
              <w:left w:w="12" w:type="dxa"/>
              <w:right w:w="12" w:type="dxa"/>
            </w:tcMar>
            <w:vAlign w:val="center"/>
          </w:tcPr>
          <w:p w14:paraId="0BABE2A6">
            <w:pPr>
              <w:jc w:val="center"/>
            </w:pPr>
            <w:r>
              <w:rPr>
                <w:i/>
                <w:iCs/>
              </w:rPr>
              <w:t xml:space="preserve">Trichoderma koningi </w:t>
            </w:r>
            <w:r>
              <w:t>(Saravanakumar et al., 2017)</w:t>
            </w:r>
          </w:p>
        </w:tc>
        <w:tc>
          <w:tcPr>
            <w:tcW w:w="2437" w:type="pct"/>
            <w:tcBorders>
              <w:tl2br w:val="nil"/>
              <w:tr2bl w:val="nil"/>
            </w:tcBorders>
            <w:shd w:val="clear" w:color="auto" w:fill="auto"/>
            <w:noWrap/>
            <w:tcMar>
              <w:top w:w="12" w:type="dxa"/>
              <w:left w:w="12" w:type="dxa"/>
              <w:right w:w="12" w:type="dxa"/>
            </w:tcMar>
            <w:vAlign w:val="center"/>
          </w:tcPr>
          <w:p w14:paraId="5C22BECA">
            <w:pPr>
              <w:jc w:val="center"/>
            </w:pPr>
            <w:r>
              <w:t>F: ACGGATCTCTTGGTTCTGGC</w:t>
            </w:r>
          </w:p>
          <w:p w14:paraId="3BFE25F9">
            <w:pPr>
              <w:jc w:val="center"/>
              <w:rPr>
                <w:rFonts w:eastAsia="等线"/>
              </w:rPr>
            </w:pPr>
            <w:r>
              <w:t>R:  GGTTGAAATGACGCTCGGAC</w:t>
            </w:r>
          </w:p>
        </w:tc>
      </w:tr>
      <w:tr w14:paraId="24B6E3D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563" w:type="pct"/>
            <w:tcBorders>
              <w:tl2br w:val="nil"/>
              <w:tr2bl w:val="nil"/>
            </w:tcBorders>
            <w:shd w:val="clear" w:color="auto" w:fill="auto"/>
            <w:noWrap/>
            <w:tcMar>
              <w:top w:w="12" w:type="dxa"/>
              <w:left w:w="12" w:type="dxa"/>
              <w:right w:w="12" w:type="dxa"/>
            </w:tcMar>
            <w:vAlign w:val="center"/>
          </w:tcPr>
          <w:p w14:paraId="4321FE89">
            <w:pPr>
              <w:jc w:val="center"/>
            </w:pPr>
            <w:r>
              <w:rPr>
                <w:i/>
                <w:iCs/>
              </w:rPr>
              <w:t>Bacillus mycoides</w:t>
            </w:r>
            <w:r>
              <w:t xml:space="preserve"> (Reiter et al., 2011)</w:t>
            </w:r>
          </w:p>
        </w:tc>
        <w:tc>
          <w:tcPr>
            <w:tcW w:w="2437" w:type="pct"/>
            <w:tcBorders>
              <w:tl2br w:val="nil"/>
              <w:tr2bl w:val="nil"/>
            </w:tcBorders>
            <w:shd w:val="clear" w:color="auto" w:fill="auto"/>
            <w:noWrap/>
            <w:tcMar>
              <w:top w:w="12" w:type="dxa"/>
              <w:left w:w="12" w:type="dxa"/>
              <w:right w:w="12" w:type="dxa"/>
            </w:tcMar>
            <w:vAlign w:val="center"/>
          </w:tcPr>
          <w:p w14:paraId="0A2E9FBF">
            <w:pPr>
              <w:jc w:val="center"/>
            </w:pPr>
            <w:r>
              <w:t>F: TTGCACAAGCATCAGCTCTT</w:t>
            </w:r>
          </w:p>
          <w:p w14:paraId="39B30AEC">
            <w:pPr>
              <w:jc w:val="center"/>
              <w:rPr>
                <w:rFonts w:eastAsia="等线"/>
              </w:rPr>
            </w:pPr>
            <w:r>
              <w:t>R:  AGTCGCACCGCACTCTTTAC</w:t>
            </w:r>
          </w:p>
        </w:tc>
      </w:tr>
    </w:tbl>
    <w:p w14:paraId="7FB36FAF">
      <w:pPr>
        <w:rPr>
          <w:rFonts w:eastAsiaTheme="minorEastAsia"/>
        </w:rPr>
      </w:pPr>
    </w:p>
    <w:p w14:paraId="11F5A7DC">
      <w:pPr>
        <w:jc w:val="center"/>
      </w:pPr>
      <w:r>
        <w:rPr>
          <w:rFonts w:hint="eastAsia"/>
        </w:rPr>
        <w:t>Table S2 S</w:t>
      </w:r>
      <w:r>
        <w:t>pecific primers</w:t>
      </w:r>
      <w:r>
        <w:rPr>
          <w:rFonts w:hint="eastAsia"/>
        </w:rPr>
        <w:t xml:space="preserve"> of </w:t>
      </w:r>
      <w:r>
        <w:t>strains</w:t>
      </w:r>
    </w:p>
    <w:p w14:paraId="10926957">
      <w:pPr>
        <w:rPr>
          <w:rFonts w:eastAsiaTheme="minorEastAsia"/>
        </w:rPr>
        <w:sectPr>
          <w:pgSz w:w="11906" w:h="16838"/>
          <w:pgMar w:top="1440" w:right="1800" w:bottom="1440" w:left="1800" w:header="851" w:footer="992" w:gutter="0"/>
          <w:cols w:space="425" w:num="1"/>
          <w:docGrid w:type="lines" w:linePitch="312" w:charSpace="0"/>
        </w:sectPr>
      </w:pPr>
    </w:p>
    <w:p w14:paraId="37612C42">
      <w:r>
        <w:t xml:space="preserve">Supplementary Table </w:t>
      </w:r>
      <w:r>
        <w:rPr>
          <w:rFonts w:hint="eastAsia" w:eastAsiaTheme="minorEastAsia"/>
        </w:rPr>
        <w:t>3</w:t>
      </w:r>
      <w:r>
        <w:t>: Effects of different water treatments on the biomass of OPPF in 20</w:t>
      </w:r>
      <w:r>
        <w:rPr>
          <w:rFonts w:hint="eastAsia" w:eastAsia="宋体"/>
          <w:lang w:val="en-US" w:eastAsia="zh-CN"/>
        </w:rPr>
        <w:t>24</w:t>
      </w:r>
      <w:r>
        <w:t xml:space="preserve"> (means ± SDs)</w:t>
      </w:r>
    </w:p>
    <w:p w14:paraId="2A0FF2D7">
      <w:pPr>
        <w:rPr>
          <w:rFonts w:eastAsiaTheme="minorEastAsia"/>
        </w:rPr>
      </w:pPr>
    </w:p>
    <w:p w14:paraId="738B4EF2">
      <w:pPr>
        <w:jc w:val="center"/>
        <w:rPr>
          <w:rFonts w:eastAsiaTheme="minorEastAsia"/>
          <w:lang w:eastAsia="zh-CN"/>
        </w:rPr>
      </w:pPr>
      <w:r>
        <w:rPr>
          <w:rFonts w:hint="eastAsia"/>
        </w:rPr>
        <w:t xml:space="preserve">Table S3 Effects of different water </w:t>
      </w:r>
      <w:r>
        <w:t>treatments on the biomass of OPPF in 20</w:t>
      </w:r>
      <w:r>
        <w:rPr>
          <w:rFonts w:hint="eastAsia" w:eastAsia="宋体"/>
          <w:lang w:val="en-US" w:eastAsia="zh-CN"/>
        </w:rPr>
        <w:t>24</w:t>
      </w:r>
      <w:r>
        <w:t xml:space="preserve"> (means ± SDs)</w:t>
      </w:r>
    </w:p>
    <w:p w14:paraId="053CA4FA">
      <w:pPr>
        <w:rPr>
          <w:rFonts w:eastAsiaTheme="minorEastAsia"/>
        </w:rPr>
      </w:pPr>
    </w:p>
    <w:p w14:paraId="0291CA37"/>
    <w:tbl>
      <w:tblPr>
        <w:tblStyle w:val="15"/>
        <w:tblpPr w:leftFromText="180" w:rightFromText="180" w:vertAnchor="page" w:horzAnchor="margin" w:tblpXSpec="center" w:tblpY="3226"/>
        <w:tblOverlap w:val="never"/>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856"/>
        <w:gridCol w:w="3084"/>
        <w:gridCol w:w="3390"/>
      </w:tblGrid>
      <w:tr w14:paraId="0DB97AB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bottom w:val="single" w:color="auto" w:sz="12" w:space="0"/>
            </w:tcBorders>
            <w:shd w:val="clear" w:color="auto" w:fill="auto"/>
            <w:noWrap/>
            <w:tcMar>
              <w:top w:w="12" w:type="dxa"/>
              <w:left w:w="12" w:type="dxa"/>
              <w:right w:w="12" w:type="dxa"/>
            </w:tcMar>
            <w:vAlign w:val="center"/>
          </w:tcPr>
          <w:p w14:paraId="2E0746B8">
            <w:pPr>
              <w:jc w:val="center"/>
            </w:pPr>
            <w:r>
              <w:t>Treatment</w:t>
            </w:r>
          </w:p>
        </w:tc>
        <w:tc>
          <w:tcPr>
            <w:tcW w:w="1851" w:type="pct"/>
            <w:tcBorders>
              <w:bottom w:val="single" w:color="auto" w:sz="12" w:space="0"/>
            </w:tcBorders>
            <w:shd w:val="clear" w:color="auto" w:fill="auto"/>
            <w:noWrap/>
            <w:tcMar>
              <w:top w:w="12" w:type="dxa"/>
              <w:left w:w="12" w:type="dxa"/>
              <w:right w:w="12" w:type="dxa"/>
            </w:tcMar>
            <w:vAlign w:val="center"/>
          </w:tcPr>
          <w:p w14:paraId="6830D729">
            <w:pPr>
              <w:jc w:val="center"/>
            </w:pPr>
            <w:r>
              <w:t>Leaf aera (cm2)</w:t>
            </w:r>
          </w:p>
        </w:tc>
        <w:tc>
          <w:tcPr>
            <w:tcW w:w="2035" w:type="pct"/>
            <w:tcBorders>
              <w:bottom w:val="single" w:color="auto" w:sz="12" w:space="0"/>
            </w:tcBorders>
            <w:shd w:val="clear" w:color="auto" w:fill="auto"/>
            <w:noWrap/>
            <w:tcMar>
              <w:top w:w="12" w:type="dxa"/>
              <w:left w:w="12" w:type="dxa"/>
              <w:right w:w="12" w:type="dxa"/>
            </w:tcMar>
            <w:vAlign w:val="center"/>
          </w:tcPr>
          <w:p w14:paraId="34BB3A54">
            <w:pPr>
              <w:jc w:val="center"/>
            </w:pPr>
            <w:r>
              <w:t>Ch</w:t>
            </w:r>
            <w:r>
              <w:rPr>
                <w:rFonts w:hint="eastAsia"/>
              </w:rPr>
              <w:t>l</w:t>
            </w:r>
            <w:r>
              <w:t>orophyll (SPAD)</w:t>
            </w:r>
          </w:p>
        </w:tc>
      </w:tr>
      <w:tr w14:paraId="5504885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op w:val="single" w:color="auto" w:sz="12" w:space="0"/>
              <w:tl2br w:val="nil"/>
              <w:tr2bl w:val="nil"/>
            </w:tcBorders>
            <w:shd w:val="clear" w:color="auto" w:fill="auto"/>
            <w:noWrap/>
            <w:tcMar>
              <w:top w:w="12" w:type="dxa"/>
              <w:left w:w="12" w:type="dxa"/>
              <w:right w:w="12" w:type="dxa"/>
            </w:tcMar>
            <w:vAlign w:val="center"/>
          </w:tcPr>
          <w:p w14:paraId="1FA57BED">
            <w:pPr>
              <w:jc w:val="center"/>
            </w:pPr>
            <w:r>
              <w:t>PTh1</w:t>
            </w:r>
          </w:p>
        </w:tc>
        <w:tc>
          <w:tcPr>
            <w:tcW w:w="1851" w:type="pct"/>
            <w:tcBorders>
              <w:top w:val="single" w:color="auto" w:sz="12" w:space="0"/>
              <w:tl2br w:val="nil"/>
              <w:tr2bl w:val="nil"/>
            </w:tcBorders>
            <w:shd w:val="clear" w:color="auto" w:fill="auto"/>
            <w:noWrap/>
            <w:tcMar>
              <w:top w:w="12" w:type="dxa"/>
              <w:left w:w="12" w:type="dxa"/>
              <w:right w:w="12" w:type="dxa"/>
            </w:tcMar>
            <w:vAlign w:val="bottom"/>
          </w:tcPr>
          <w:p w14:paraId="2A8FE47A">
            <w:pPr>
              <w:jc w:val="center"/>
            </w:pPr>
            <w:r>
              <w:rPr>
                <w:rFonts w:hint="eastAsia"/>
              </w:rPr>
              <w:t>1</w:t>
            </w:r>
            <w:r>
              <w:t>3.8615</w:t>
            </w:r>
            <w:r>
              <w:rPr>
                <w:rFonts w:eastAsia="等线"/>
              </w:rPr>
              <w:t xml:space="preserve"> ± 0.73981b</w:t>
            </w:r>
          </w:p>
        </w:tc>
        <w:tc>
          <w:tcPr>
            <w:tcW w:w="2035" w:type="pct"/>
            <w:tcBorders>
              <w:top w:val="single" w:color="auto" w:sz="12" w:space="0"/>
              <w:tl2br w:val="nil"/>
              <w:tr2bl w:val="nil"/>
            </w:tcBorders>
            <w:shd w:val="clear" w:color="auto" w:fill="auto"/>
            <w:noWrap/>
            <w:tcMar>
              <w:top w:w="12" w:type="dxa"/>
              <w:left w:w="12" w:type="dxa"/>
              <w:right w:w="12" w:type="dxa"/>
            </w:tcMar>
            <w:vAlign w:val="bottom"/>
          </w:tcPr>
          <w:p w14:paraId="6D3CEAB1">
            <w:pPr>
              <w:jc w:val="center"/>
              <w:rPr>
                <w:rFonts w:hint="eastAsia"/>
              </w:rPr>
            </w:pPr>
            <w:r>
              <w:rPr>
                <w:rFonts w:hint="eastAsia"/>
              </w:rPr>
              <w:t>4</w:t>
            </w:r>
            <w:r>
              <w:t>5.405</w:t>
            </w:r>
            <w:r>
              <w:rPr>
                <w:rFonts w:eastAsia="等线"/>
              </w:rPr>
              <w:t xml:space="preserve"> ± 0.26924b</w:t>
            </w:r>
          </w:p>
        </w:tc>
      </w:tr>
      <w:tr w14:paraId="3A9E488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l2br w:val="nil"/>
              <w:tr2bl w:val="nil"/>
            </w:tcBorders>
            <w:shd w:val="clear" w:color="auto" w:fill="auto"/>
            <w:noWrap/>
            <w:tcMar>
              <w:top w:w="12" w:type="dxa"/>
              <w:left w:w="12" w:type="dxa"/>
              <w:right w:w="12" w:type="dxa"/>
            </w:tcMar>
            <w:vAlign w:val="center"/>
          </w:tcPr>
          <w:p w14:paraId="29EFCEDF">
            <w:pPr>
              <w:jc w:val="center"/>
            </w:pPr>
            <w:r>
              <w:t>PTh2</w:t>
            </w:r>
          </w:p>
        </w:tc>
        <w:tc>
          <w:tcPr>
            <w:tcW w:w="1851" w:type="pct"/>
            <w:tcBorders>
              <w:tl2br w:val="nil"/>
              <w:tr2bl w:val="nil"/>
            </w:tcBorders>
            <w:shd w:val="clear" w:color="auto" w:fill="auto"/>
            <w:noWrap/>
            <w:tcMar>
              <w:top w:w="12" w:type="dxa"/>
              <w:left w:w="12" w:type="dxa"/>
              <w:right w:w="12" w:type="dxa"/>
            </w:tcMar>
            <w:vAlign w:val="bottom"/>
          </w:tcPr>
          <w:p w14:paraId="6FE0033F">
            <w:pPr>
              <w:jc w:val="center"/>
            </w:pPr>
            <w:r>
              <w:rPr>
                <w:rFonts w:eastAsia="等线"/>
              </w:rPr>
              <w:t>16.4527 ± 0.78399</w:t>
            </w:r>
            <w:r>
              <w:rPr>
                <w:rFonts w:hint="eastAsia" w:eastAsia="等线"/>
              </w:rPr>
              <w:t>a</w:t>
            </w:r>
          </w:p>
        </w:tc>
        <w:tc>
          <w:tcPr>
            <w:tcW w:w="2035" w:type="pct"/>
            <w:tcBorders>
              <w:tl2br w:val="nil"/>
              <w:tr2bl w:val="nil"/>
            </w:tcBorders>
            <w:shd w:val="clear" w:color="auto" w:fill="auto"/>
            <w:noWrap/>
            <w:tcMar>
              <w:top w:w="12" w:type="dxa"/>
              <w:left w:w="12" w:type="dxa"/>
              <w:right w:w="12" w:type="dxa"/>
            </w:tcMar>
            <w:vAlign w:val="bottom"/>
          </w:tcPr>
          <w:p w14:paraId="7FE9779A">
            <w:pPr>
              <w:jc w:val="center"/>
            </w:pPr>
            <w:r>
              <w:rPr>
                <w:rFonts w:hint="eastAsia"/>
              </w:rPr>
              <w:t>4</w:t>
            </w:r>
            <w:r>
              <w:t>6.655</w:t>
            </w:r>
            <w:r>
              <w:rPr>
                <w:rFonts w:eastAsia="等线"/>
              </w:rPr>
              <w:t xml:space="preserve"> ± 0.38318a</w:t>
            </w:r>
          </w:p>
        </w:tc>
      </w:tr>
      <w:tr w14:paraId="712D7E7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l2br w:val="nil"/>
              <w:tr2bl w:val="nil"/>
            </w:tcBorders>
            <w:shd w:val="clear" w:color="auto" w:fill="auto"/>
            <w:noWrap/>
            <w:tcMar>
              <w:top w:w="12" w:type="dxa"/>
              <w:left w:w="12" w:type="dxa"/>
              <w:right w:w="12" w:type="dxa"/>
            </w:tcMar>
            <w:vAlign w:val="center"/>
          </w:tcPr>
          <w:p w14:paraId="655241EE">
            <w:pPr>
              <w:jc w:val="center"/>
            </w:pPr>
            <w:r>
              <w:t>PTh3</w:t>
            </w:r>
          </w:p>
        </w:tc>
        <w:tc>
          <w:tcPr>
            <w:tcW w:w="1851" w:type="pct"/>
            <w:tcBorders>
              <w:tl2br w:val="nil"/>
              <w:tr2bl w:val="nil"/>
            </w:tcBorders>
            <w:shd w:val="clear" w:color="auto" w:fill="auto"/>
            <w:noWrap/>
            <w:tcMar>
              <w:top w:w="12" w:type="dxa"/>
              <w:left w:w="12" w:type="dxa"/>
              <w:right w:w="12" w:type="dxa"/>
            </w:tcMar>
            <w:vAlign w:val="bottom"/>
          </w:tcPr>
          <w:p w14:paraId="1FB83934">
            <w:pPr>
              <w:jc w:val="center"/>
            </w:pPr>
            <w:r>
              <w:rPr>
                <w:rFonts w:eastAsia="等线"/>
              </w:rPr>
              <w:t>16.3445 ± 0.81579a</w:t>
            </w:r>
          </w:p>
        </w:tc>
        <w:tc>
          <w:tcPr>
            <w:tcW w:w="2035" w:type="pct"/>
            <w:tcBorders>
              <w:tl2br w:val="nil"/>
              <w:tr2bl w:val="nil"/>
            </w:tcBorders>
            <w:shd w:val="clear" w:color="auto" w:fill="auto"/>
            <w:noWrap/>
            <w:tcMar>
              <w:top w:w="12" w:type="dxa"/>
              <w:left w:w="12" w:type="dxa"/>
              <w:right w:w="12" w:type="dxa"/>
            </w:tcMar>
            <w:vAlign w:val="bottom"/>
          </w:tcPr>
          <w:p w14:paraId="79774F63">
            <w:pPr>
              <w:jc w:val="center"/>
            </w:pPr>
            <w:r>
              <w:t>4</w:t>
            </w:r>
            <w:r>
              <w:rPr>
                <w:rFonts w:hint="eastAsia"/>
              </w:rPr>
              <w:t>5</w:t>
            </w:r>
            <w:r>
              <w:t>.665</w:t>
            </w:r>
            <w:r>
              <w:rPr>
                <w:rFonts w:eastAsia="等线"/>
              </w:rPr>
              <w:t xml:space="preserve"> ± 0.23329b</w:t>
            </w:r>
          </w:p>
        </w:tc>
      </w:tr>
      <w:tr w14:paraId="560293C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l2br w:val="nil"/>
              <w:tr2bl w:val="nil"/>
            </w:tcBorders>
            <w:shd w:val="clear" w:color="auto" w:fill="auto"/>
            <w:noWrap/>
            <w:tcMar>
              <w:top w:w="12" w:type="dxa"/>
              <w:left w:w="12" w:type="dxa"/>
              <w:right w:w="12" w:type="dxa"/>
            </w:tcMar>
            <w:vAlign w:val="center"/>
          </w:tcPr>
          <w:p w14:paraId="7958FAC9">
            <w:pPr>
              <w:jc w:val="center"/>
            </w:pPr>
            <w:r>
              <w:t>PTh4</w:t>
            </w:r>
          </w:p>
        </w:tc>
        <w:tc>
          <w:tcPr>
            <w:tcW w:w="1851" w:type="pct"/>
            <w:tcBorders>
              <w:tl2br w:val="nil"/>
              <w:tr2bl w:val="nil"/>
            </w:tcBorders>
            <w:shd w:val="clear" w:color="auto" w:fill="auto"/>
            <w:noWrap/>
            <w:tcMar>
              <w:top w:w="12" w:type="dxa"/>
              <w:left w:w="12" w:type="dxa"/>
              <w:right w:w="12" w:type="dxa"/>
            </w:tcMar>
            <w:vAlign w:val="bottom"/>
          </w:tcPr>
          <w:p w14:paraId="6599D858">
            <w:pPr>
              <w:jc w:val="center"/>
            </w:pPr>
            <w:r>
              <w:rPr>
                <w:rFonts w:eastAsia="等线"/>
              </w:rPr>
              <w:t>15.6720 ± 0.611a</w:t>
            </w:r>
          </w:p>
        </w:tc>
        <w:tc>
          <w:tcPr>
            <w:tcW w:w="2035" w:type="pct"/>
            <w:tcBorders>
              <w:tl2br w:val="nil"/>
              <w:tr2bl w:val="nil"/>
            </w:tcBorders>
            <w:shd w:val="clear" w:color="auto" w:fill="auto"/>
            <w:noWrap/>
            <w:tcMar>
              <w:top w:w="12" w:type="dxa"/>
              <w:left w:w="12" w:type="dxa"/>
              <w:right w:w="12" w:type="dxa"/>
            </w:tcMar>
            <w:vAlign w:val="bottom"/>
          </w:tcPr>
          <w:p w14:paraId="5A0D9464">
            <w:pPr>
              <w:jc w:val="center"/>
            </w:pPr>
            <w:r>
              <w:t>43.9</w:t>
            </w:r>
            <w:r>
              <w:rPr>
                <w:rFonts w:eastAsia="等线"/>
              </w:rPr>
              <w:t xml:space="preserve"> ± 0.37011c</w:t>
            </w:r>
          </w:p>
        </w:tc>
      </w:tr>
    </w:tbl>
    <w:p w14:paraId="3BECE049"/>
    <w:tbl>
      <w:tblPr>
        <w:tblStyle w:val="15"/>
        <w:tblpPr w:leftFromText="180" w:rightFromText="180" w:vertAnchor="page" w:horzAnchor="margin" w:tblpY="5473"/>
        <w:tblOverlap w:val="never"/>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856"/>
        <w:gridCol w:w="3084"/>
        <w:gridCol w:w="3390"/>
      </w:tblGrid>
      <w:tr w14:paraId="11420BC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bottom w:val="single" w:color="auto" w:sz="12" w:space="0"/>
            </w:tcBorders>
            <w:shd w:val="clear" w:color="auto" w:fill="auto"/>
            <w:noWrap/>
            <w:tcMar>
              <w:top w:w="12" w:type="dxa"/>
              <w:left w:w="12" w:type="dxa"/>
              <w:right w:w="12" w:type="dxa"/>
            </w:tcMar>
            <w:vAlign w:val="center"/>
          </w:tcPr>
          <w:p w14:paraId="09652EEF">
            <w:pPr>
              <w:jc w:val="center"/>
            </w:pPr>
            <w:r>
              <w:t>Treatment</w:t>
            </w:r>
          </w:p>
        </w:tc>
        <w:tc>
          <w:tcPr>
            <w:tcW w:w="1851" w:type="pct"/>
            <w:tcBorders>
              <w:bottom w:val="single" w:color="auto" w:sz="12" w:space="0"/>
            </w:tcBorders>
            <w:shd w:val="clear" w:color="auto" w:fill="auto"/>
            <w:noWrap/>
            <w:tcMar>
              <w:top w:w="12" w:type="dxa"/>
              <w:left w:w="12" w:type="dxa"/>
              <w:right w:w="12" w:type="dxa"/>
            </w:tcMar>
            <w:vAlign w:val="center"/>
          </w:tcPr>
          <w:p w14:paraId="09C63535">
            <w:pPr>
              <w:jc w:val="center"/>
            </w:pPr>
            <w:r>
              <w:t>F</w:t>
            </w:r>
            <w:r>
              <w:rPr>
                <w:rFonts w:hint="eastAsia"/>
              </w:rPr>
              <w:t>resh</w:t>
            </w:r>
            <w:r>
              <w:t xml:space="preserve"> weight (g)</w:t>
            </w:r>
          </w:p>
        </w:tc>
        <w:tc>
          <w:tcPr>
            <w:tcW w:w="2035" w:type="pct"/>
            <w:tcBorders>
              <w:bottom w:val="single" w:color="auto" w:sz="12" w:space="0"/>
            </w:tcBorders>
            <w:shd w:val="clear" w:color="auto" w:fill="auto"/>
            <w:noWrap/>
            <w:tcMar>
              <w:top w:w="12" w:type="dxa"/>
              <w:left w:w="12" w:type="dxa"/>
              <w:right w:w="12" w:type="dxa"/>
            </w:tcMar>
            <w:vAlign w:val="center"/>
          </w:tcPr>
          <w:p w14:paraId="13F3F671">
            <w:pPr>
              <w:jc w:val="center"/>
            </w:pPr>
            <w:r>
              <w:t>Fibrous root length (cm)</w:t>
            </w:r>
          </w:p>
        </w:tc>
      </w:tr>
      <w:tr w14:paraId="240B3F4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op w:val="single" w:color="auto" w:sz="12" w:space="0"/>
              <w:tl2br w:val="nil"/>
              <w:tr2bl w:val="nil"/>
            </w:tcBorders>
            <w:shd w:val="clear" w:color="auto" w:fill="auto"/>
            <w:noWrap/>
            <w:tcMar>
              <w:top w:w="12" w:type="dxa"/>
              <w:left w:w="12" w:type="dxa"/>
              <w:right w:w="12" w:type="dxa"/>
            </w:tcMar>
            <w:vAlign w:val="center"/>
          </w:tcPr>
          <w:p w14:paraId="2DCA3951">
            <w:pPr>
              <w:jc w:val="center"/>
            </w:pPr>
            <w:r>
              <w:t>PTh1</w:t>
            </w:r>
          </w:p>
        </w:tc>
        <w:tc>
          <w:tcPr>
            <w:tcW w:w="1851" w:type="pct"/>
            <w:tcBorders>
              <w:top w:val="single" w:color="auto" w:sz="12" w:space="0"/>
              <w:tl2br w:val="nil"/>
              <w:tr2bl w:val="nil"/>
            </w:tcBorders>
            <w:shd w:val="clear" w:color="auto" w:fill="auto"/>
            <w:noWrap/>
            <w:tcMar>
              <w:top w:w="12" w:type="dxa"/>
              <w:left w:w="12" w:type="dxa"/>
              <w:right w:w="12" w:type="dxa"/>
            </w:tcMar>
            <w:vAlign w:val="bottom"/>
          </w:tcPr>
          <w:p w14:paraId="4205AD78">
            <w:pPr>
              <w:jc w:val="center"/>
            </w:pPr>
            <w:r>
              <w:rPr>
                <w:rFonts w:eastAsia="等线"/>
              </w:rPr>
              <w:t>1.5039 ± 0.15503a</w:t>
            </w:r>
          </w:p>
        </w:tc>
        <w:tc>
          <w:tcPr>
            <w:tcW w:w="2035" w:type="pct"/>
            <w:tcBorders>
              <w:top w:val="single" w:color="auto" w:sz="12" w:space="0"/>
              <w:tl2br w:val="nil"/>
              <w:tr2bl w:val="nil"/>
            </w:tcBorders>
            <w:shd w:val="clear" w:color="auto" w:fill="auto"/>
            <w:noWrap/>
            <w:tcMar>
              <w:top w:w="12" w:type="dxa"/>
              <w:left w:w="12" w:type="dxa"/>
              <w:right w:w="12" w:type="dxa"/>
            </w:tcMar>
            <w:vAlign w:val="bottom"/>
          </w:tcPr>
          <w:p w14:paraId="6EDCB4A6">
            <w:pPr>
              <w:jc w:val="center"/>
              <w:rPr>
                <w:rFonts w:hint="eastAsia"/>
              </w:rPr>
            </w:pPr>
            <w:r>
              <w:rPr>
                <w:rFonts w:eastAsia="等线"/>
              </w:rPr>
              <w:t>8.914 ± 0.25575b</w:t>
            </w:r>
          </w:p>
        </w:tc>
      </w:tr>
      <w:tr w14:paraId="4AA8F7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l2br w:val="nil"/>
              <w:tr2bl w:val="nil"/>
            </w:tcBorders>
            <w:shd w:val="clear" w:color="auto" w:fill="auto"/>
            <w:noWrap/>
            <w:tcMar>
              <w:top w:w="12" w:type="dxa"/>
              <w:left w:w="12" w:type="dxa"/>
              <w:right w:w="12" w:type="dxa"/>
            </w:tcMar>
            <w:vAlign w:val="center"/>
          </w:tcPr>
          <w:p w14:paraId="5E86CA06">
            <w:pPr>
              <w:jc w:val="center"/>
            </w:pPr>
            <w:r>
              <w:t>PTh2</w:t>
            </w:r>
          </w:p>
        </w:tc>
        <w:tc>
          <w:tcPr>
            <w:tcW w:w="1851" w:type="pct"/>
            <w:tcBorders>
              <w:tl2br w:val="nil"/>
              <w:tr2bl w:val="nil"/>
            </w:tcBorders>
            <w:shd w:val="clear" w:color="auto" w:fill="auto"/>
            <w:noWrap/>
            <w:tcMar>
              <w:top w:w="12" w:type="dxa"/>
              <w:left w:w="12" w:type="dxa"/>
              <w:right w:w="12" w:type="dxa"/>
            </w:tcMar>
            <w:vAlign w:val="bottom"/>
          </w:tcPr>
          <w:p w14:paraId="74013C77">
            <w:pPr>
              <w:jc w:val="center"/>
            </w:pPr>
            <w:r>
              <w:rPr>
                <w:rFonts w:eastAsia="等线"/>
              </w:rPr>
              <w:t>1.7026 ± 0.11674a</w:t>
            </w:r>
          </w:p>
        </w:tc>
        <w:tc>
          <w:tcPr>
            <w:tcW w:w="2035" w:type="pct"/>
            <w:tcBorders>
              <w:tl2br w:val="nil"/>
              <w:tr2bl w:val="nil"/>
            </w:tcBorders>
            <w:shd w:val="clear" w:color="auto" w:fill="auto"/>
            <w:noWrap/>
            <w:tcMar>
              <w:top w:w="12" w:type="dxa"/>
              <w:left w:w="12" w:type="dxa"/>
              <w:right w:w="12" w:type="dxa"/>
            </w:tcMar>
            <w:vAlign w:val="bottom"/>
          </w:tcPr>
          <w:p w14:paraId="6E799DD5">
            <w:pPr>
              <w:jc w:val="center"/>
            </w:pPr>
            <w:r>
              <w:rPr>
                <w:rFonts w:eastAsia="等线"/>
              </w:rPr>
              <w:t>9.0228 ± 003649b</w:t>
            </w:r>
          </w:p>
        </w:tc>
      </w:tr>
      <w:tr w14:paraId="55B688D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l2br w:val="nil"/>
              <w:tr2bl w:val="nil"/>
            </w:tcBorders>
            <w:shd w:val="clear" w:color="auto" w:fill="auto"/>
            <w:noWrap/>
            <w:tcMar>
              <w:top w:w="12" w:type="dxa"/>
              <w:left w:w="12" w:type="dxa"/>
              <w:right w:w="12" w:type="dxa"/>
            </w:tcMar>
            <w:vAlign w:val="center"/>
          </w:tcPr>
          <w:p w14:paraId="4F234538">
            <w:pPr>
              <w:jc w:val="center"/>
            </w:pPr>
            <w:r>
              <w:t>PTh3</w:t>
            </w:r>
          </w:p>
        </w:tc>
        <w:tc>
          <w:tcPr>
            <w:tcW w:w="1851" w:type="pct"/>
            <w:tcBorders>
              <w:tl2br w:val="nil"/>
              <w:tr2bl w:val="nil"/>
            </w:tcBorders>
            <w:shd w:val="clear" w:color="auto" w:fill="auto"/>
            <w:noWrap/>
            <w:tcMar>
              <w:top w:w="12" w:type="dxa"/>
              <w:left w:w="12" w:type="dxa"/>
              <w:right w:w="12" w:type="dxa"/>
            </w:tcMar>
            <w:vAlign w:val="bottom"/>
          </w:tcPr>
          <w:p w14:paraId="17235ACD">
            <w:pPr>
              <w:jc w:val="center"/>
            </w:pPr>
            <w:r>
              <w:rPr>
                <w:rFonts w:eastAsia="等线"/>
              </w:rPr>
              <w:t>1.6541 ± 0.13883a</w:t>
            </w:r>
          </w:p>
        </w:tc>
        <w:tc>
          <w:tcPr>
            <w:tcW w:w="2035" w:type="pct"/>
            <w:tcBorders>
              <w:tl2br w:val="nil"/>
              <w:tr2bl w:val="nil"/>
            </w:tcBorders>
            <w:shd w:val="clear" w:color="auto" w:fill="auto"/>
            <w:noWrap/>
            <w:tcMar>
              <w:top w:w="12" w:type="dxa"/>
              <w:left w:w="12" w:type="dxa"/>
              <w:right w:w="12" w:type="dxa"/>
            </w:tcMar>
            <w:vAlign w:val="bottom"/>
          </w:tcPr>
          <w:p w14:paraId="425F1BB3">
            <w:pPr>
              <w:jc w:val="center"/>
            </w:pPr>
            <w:r>
              <w:rPr>
                <w:rFonts w:eastAsia="等线"/>
              </w:rPr>
              <w:t>8.131 ± 0.41948b</w:t>
            </w:r>
          </w:p>
        </w:tc>
      </w:tr>
      <w:tr w14:paraId="3B974B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114" w:type="pct"/>
            <w:tcBorders>
              <w:tl2br w:val="nil"/>
              <w:tr2bl w:val="nil"/>
            </w:tcBorders>
            <w:shd w:val="clear" w:color="auto" w:fill="auto"/>
            <w:noWrap/>
            <w:tcMar>
              <w:top w:w="12" w:type="dxa"/>
              <w:left w:w="12" w:type="dxa"/>
              <w:right w:w="12" w:type="dxa"/>
            </w:tcMar>
            <w:vAlign w:val="center"/>
          </w:tcPr>
          <w:p w14:paraId="56AC0EF2">
            <w:pPr>
              <w:jc w:val="center"/>
            </w:pPr>
            <w:r>
              <w:t>PTh4</w:t>
            </w:r>
          </w:p>
        </w:tc>
        <w:tc>
          <w:tcPr>
            <w:tcW w:w="1851" w:type="pct"/>
            <w:tcBorders>
              <w:tl2br w:val="nil"/>
              <w:tr2bl w:val="nil"/>
            </w:tcBorders>
            <w:shd w:val="clear" w:color="auto" w:fill="auto"/>
            <w:noWrap/>
            <w:tcMar>
              <w:top w:w="12" w:type="dxa"/>
              <w:left w:w="12" w:type="dxa"/>
              <w:right w:w="12" w:type="dxa"/>
            </w:tcMar>
            <w:vAlign w:val="bottom"/>
          </w:tcPr>
          <w:p w14:paraId="21C64344">
            <w:pPr>
              <w:jc w:val="center"/>
            </w:pPr>
            <w:r>
              <w:rPr>
                <w:rFonts w:eastAsia="等线"/>
              </w:rPr>
              <w:t>1.7104 ± 0.15821a</w:t>
            </w:r>
          </w:p>
        </w:tc>
        <w:tc>
          <w:tcPr>
            <w:tcW w:w="2035" w:type="pct"/>
            <w:tcBorders>
              <w:tl2br w:val="nil"/>
              <w:tr2bl w:val="nil"/>
            </w:tcBorders>
            <w:shd w:val="clear" w:color="auto" w:fill="auto"/>
            <w:noWrap/>
            <w:tcMar>
              <w:top w:w="12" w:type="dxa"/>
              <w:left w:w="12" w:type="dxa"/>
              <w:right w:w="12" w:type="dxa"/>
            </w:tcMar>
            <w:vAlign w:val="bottom"/>
          </w:tcPr>
          <w:p w14:paraId="4E0F4A04">
            <w:pPr>
              <w:jc w:val="center"/>
            </w:pPr>
            <w:r>
              <w:rPr>
                <w:rFonts w:eastAsia="等线"/>
              </w:rPr>
              <w:t>11.0957 ± 0.45725a</w:t>
            </w:r>
          </w:p>
        </w:tc>
      </w:tr>
    </w:tbl>
    <w:p w14:paraId="3642E058">
      <w:pPr>
        <w:rPr>
          <w:rFonts w:hint="eastAsia"/>
        </w:rPr>
      </w:pPr>
    </w:p>
    <w:p w14:paraId="7014193D">
      <w:pPr>
        <w:rPr>
          <w:rFonts w:eastAsiaTheme="minorEastAsia"/>
          <w:lang w:eastAsia="zh-CN"/>
        </w:rPr>
        <w:sectPr>
          <w:pgSz w:w="11906" w:h="16838"/>
          <w:pgMar w:top="1440" w:right="1800" w:bottom="1440" w:left="1800" w:header="851" w:footer="992" w:gutter="0"/>
          <w:cols w:space="425" w:num="1"/>
          <w:docGrid w:type="lines" w:linePitch="312" w:charSpace="0"/>
        </w:sectPr>
      </w:pPr>
    </w:p>
    <w:p w14:paraId="327FAB0A">
      <w:pPr>
        <w:rPr>
          <w:rFonts w:eastAsiaTheme="minorEastAsia"/>
        </w:rPr>
      </w:pPr>
      <w:r>
        <w:drawing>
          <wp:inline distT="0" distB="0" distL="0" distR="0">
            <wp:extent cx="5267960" cy="1924050"/>
            <wp:effectExtent l="0" t="0" r="8890" b="0"/>
            <wp:docPr id="306035647"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035647" name="图片 1" descr="图片1"/>
                    <pic:cNvPicPr>
                      <a:picLocks noChangeAspect="1" noChangeArrowheads="1"/>
                    </pic:cNvPicPr>
                  </pic:nvPicPr>
                  <pic:blipFill>
                    <a:blip r:embed="rId4">
                      <a:extLst>
                        <a:ext uri="{28A0092B-C50C-407E-A947-70E740481C1C}">
                          <a14:useLocalDpi xmlns:a14="http://schemas.microsoft.com/office/drawing/2010/main" val="0"/>
                        </a:ext>
                      </a:extLst>
                    </a:blip>
                    <a:srcRect t="9737"/>
                    <a:stretch>
                      <a:fillRect/>
                    </a:stretch>
                  </pic:blipFill>
                  <pic:spPr>
                    <a:xfrm>
                      <a:off x="0" y="0"/>
                      <a:ext cx="5267960" cy="1924050"/>
                    </a:xfrm>
                    <a:prstGeom prst="rect">
                      <a:avLst/>
                    </a:prstGeom>
                    <a:noFill/>
                    <a:ln>
                      <a:noFill/>
                    </a:ln>
                  </pic:spPr>
                </pic:pic>
              </a:graphicData>
            </a:graphic>
          </wp:inline>
        </w:drawing>
      </w:r>
    </w:p>
    <w:p w14:paraId="66EA89EE">
      <w:pPr>
        <w:rPr>
          <w:rFonts w:eastAsiaTheme="minorEastAsia"/>
          <w:lang w:eastAsia="zh-CN"/>
        </w:rPr>
      </w:pPr>
    </w:p>
    <w:p w14:paraId="4EBA5A3C">
      <w:pPr>
        <w:rPr>
          <w:rFonts w:eastAsiaTheme="minorEastAsia"/>
        </w:rPr>
      </w:pPr>
      <w:r>
        <w:t>Supplementary Figure 1: Total ion current diagram of reference substance.</w:t>
      </w:r>
    </w:p>
    <w:p w14:paraId="5E24836A">
      <w:pPr>
        <w:rPr>
          <w:rFonts w:eastAsiaTheme="minorEastAsia"/>
        </w:rPr>
      </w:pPr>
    </w:p>
    <w:p w14:paraId="57436E25">
      <w:pPr>
        <w:rPr>
          <w:rFonts w:hint="eastAsia" w:eastAsiaTheme="minorEastAsia"/>
          <w:lang w:eastAsia="zh-CN"/>
        </w:rPr>
      </w:pPr>
    </w:p>
    <w:p w14:paraId="14EC806B">
      <w:pPr>
        <w:rPr>
          <w:rFonts w:eastAsiaTheme="minorEastAsia"/>
          <w:lang w:eastAsia="zh-CN"/>
        </w:rPr>
      </w:pPr>
      <w:r>
        <w:rPr>
          <w:rFonts w:hint="eastAsia"/>
        </w:rPr>
        <w:drawing>
          <wp:inline distT="0" distB="0" distL="0" distR="0">
            <wp:extent cx="5274310" cy="4502785"/>
            <wp:effectExtent l="0" t="0" r="2540" b="0"/>
            <wp:docPr id="11860175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017523"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4502785"/>
                    </a:xfrm>
                    <a:prstGeom prst="rect">
                      <a:avLst/>
                    </a:prstGeom>
                  </pic:spPr>
                </pic:pic>
              </a:graphicData>
            </a:graphic>
          </wp:inline>
        </w:drawing>
      </w:r>
    </w:p>
    <w:p w14:paraId="500742CA">
      <w:r>
        <w:t>Supplementary Figure 2: Effects of different soil moisture treatments on the saponin of OPPF. (A) Saponin in taproot; (B) Saponin in fibrous root; (C) Saponin in root.</w:t>
      </w:r>
    </w:p>
    <w:p w14:paraId="7A730A14">
      <w:pPr>
        <w:rPr>
          <w:rFonts w:hint="eastAsia" w:eastAsiaTheme="minorEastAsia"/>
          <w:lang w:eastAsia="zh-CN"/>
        </w:rPr>
        <w:sectPr>
          <w:pgSz w:w="11906" w:h="16838"/>
          <w:pgMar w:top="1440" w:right="1800" w:bottom="1440" w:left="1800" w:header="851" w:footer="992" w:gutter="0"/>
          <w:cols w:space="425" w:num="1"/>
          <w:docGrid w:type="lines" w:linePitch="312" w:charSpace="0"/>
        </w:sectPr>
      </w:pPr>
    </w:p>
    <w:p w14:paraId="521F3659">
      <w:pPr>
        <w:rPr>
          <w:rFonts w:eastAsiaTheme="minorEastAsia"/>
          <w:lang w:eastAsia="zh-CN"/>
        </w:rPr>
      </w:pPr>
      <w:r>
        <w:rPr>
          <w:rFonts w:hint="eastAsia"/>
        </w:rPr>
        <w:drawing>
          <wp:inline distT="0" distB="0" distL="0" distR="0">
            <wp:extent cx="4135120" cy="4306570"/>
            <wp:effectExtent l="0" t="0" r="0" b="0"/>
            <wp:docPr id="20314899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48991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38434" cy="4310329"/>
                    </a:xfrm>
                    <a:prstGeom prst="rect">
                      <a:avLst/>
                    </a:prstGeom>
                  </pic:spPr>
                </pic:pic>
              </a:graphicData>
            </a:graphic>
          </wp:inline>
        </w:drawing>
      </w:r>
    </w:p>
    <w:p w14:paraId="0B8D7706">
      <w:pPr>
        <w:rPr>
          <w:rFonts w:eastAsiaTheme="minorEastAsia"/>
          <w:lang w:eastAsia="zh-CN"/>
        </w:rPr>
      </w:pPr>
      <w:r>
        <w:t>Supplementary Figure 3: Correlations between soil moisture and growth, quality, and saponin content. (A) Correlation between soil moisture and growth; (B) correlation between soil moisture and quality; (C) correlation between soil moisture and disease incidence.</w:t>
      </w:r>
    </w:p>
    <w:p w14:paraId="57E4B5AC">
      <w:pPr>
        <w:rPr>
          <w:rFonts w:hint="eastAsia" w:eastAsiaTheme="minorEastAsia"/>
          <w:lang w:eastAsia="zh-CN"/>
        </w:rPr>
      </w:pPr>
    </w:p>
    <w:p w14:paraId="05198512">
      <w:pPr>
        <w:rPr>
          <w:rFonts w:hint="eastAsia" w:eastAsiaTheme="minorEastAsia"/>
          <w:lang w:eastAsia="zh-CN"/>
        </w:rPr>
      </w:pPr>
      <w:r>
        <w:drawing>
          <wp:inline distT="0" distB="0" distL="0" distR="0">
            <wp:extent cx="4217670" cy="2353310"/>
            <wp:effectExtent l="0" t="0" r="0" b="0"/>
            <wp:docPr id="698676777"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676777" name="图形 1"/>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219210" cy="2354447"/>
                    </a:xfrm>
                    <a:prstGeom prst="rect">
                      <a:avLst/>
                    </a:prstGeom>
                  </pic:spPr>
                </pic:pic>
              </a:graphicData>
            </a:graphic>
          </wp:inline>
        </w:drawing>
      </w:r>
    </w:p>
    <w:p w14:paraId="4D1BDB19">
      <w:pPr>
        <w:rPr>
          <w:rFonts w:eastAsiaTheme="minorEastAsia"/>
          <w:lang w:eastAsia="zh-CN"/>
        </w:rPr>
      </w:pPr>
      <w:r>
        <w:t xml:space="preserve">Supplementary Figure 4: Root rot disease in </w:t>
      </w:r>
      <w:r>
        <w:rPr>
          <w:rFonts w:hint="eastAsia" w:eastAsia="宋体"/>
          <w:lang w:val="en-US" w:eastAsia="zh-CN"/>
        </w:rPr>
        <w:t>2024</w:t>
      </w:r>
      <w:r>
        <w:t xml:space="preserve"> and pathogenicity test of OPPF. (A) Occurrence of OPPF root rot in </w:t>
      </w:r>
      <w:r>
        <w:rPr>
          <w:rFonts w:hint="eastAsia" w:eastAsia="宋体"/>
          <w:lang w:val="en-US" w:eastAsia="zh-CN"/>
        </w:rPr>
        <w:t>2024</w:t>
      </w:r>
      <w:r>
        <w:t xml:space="preserve">; </w:t>
      </w:r>
      <w:bookmarkStart w:id="0" w:name="_GoBack"/>
      <w:bookmarkEnd w:id="0"/>
      <w:r>
        <w:t>(B) root pathogenicity of R3 and R6.</w:t>
      </w:r>
    </w:p>
    <w:p w14:paraId="7BEBE72D">
      <w:pPr>
        <w:jc w:val="center"/>
        <w:rPr>
          <w:rFonts w:hint="eastAsia" w:eastAsiaTheme="minorEastAsia"/>
          <w:lang w:eastAsia="zh-CN"/>
        </w:rPr>
      </w:pPr>
      <w:r>
        <w:rPr>
          <w:rFonts w:hint="eastAsia"/>
        </w:rPr>
        <w:drawing>
          <wp:inline distT="0" distB="0" distL="0" distR="0">
            <wp:extent cx="3120390" cy="4332605"/>
            <wp:effectExtent l="0" t="0" r="3810" b="0"/>
            <wp:docPr id="3876405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40546"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27473" cy="4342541"/>
                    </a:xfrm>
                    <a:prstGeom prst="rect">
                      <a:avLst/>
                    </a:prstGeom>
                  </pic:spPr>
                </pic:pic>
              </a:graphicData>
            </a:graphic>
          </wp:inline>
        </w:drawing>
      </w:r>
    </w:p>
    <w:p w14:paraId="40B13795">
      <w:pPr>
        <w:rPr>
          <w:rFonts w:eastAsiaTheme="minorEastAsia"/>
          <w:lang w:eastAsia="zh-CN"/>
        </w:rPr>
      </w:pPr>
      <w:r>
        <w:t>Supplementary Figure 5: Effect of different soil moisture treatments on microbial community diversity in the rhizosphere of OPPF and the analysis of variance (ANOVA) at the genus level between different treatment groups. (A) PCoA results of bacterial communities. (B–D) Chao index, Shannon index, and Observed species index of bacterial communities. (E) PCoA results of fungal communities. (F–H) Chao index, Shannon index, and Observed species index of fungal communities.</w:t>
      </w:r>
    </w:p>
    <w:p w14:paraId="737388B2">
      <w:pPr>
        <w:jc w:val="center"/>
        <w:rPr>
          <w:rFonts w:hint="eastAsia" w:eastAsiaTheme="minorEastAsia"/>
          <w:lang w:eastAsia="zh-CN"/>
        </w:rPr>
      </w:pPr>
      <w:r>
        <w:rPr>
          <w:rFonts w:hint="eastAsia"/>
        </w:rPr>
        <w:drawing>
          <wp:inline distT="0" distB="0" distL="0" distR="0">
            <wp:extent cx="5274310" cy="3996055"/>
            <wp:effectExtent l="0" t="0" r="2540" b="4445"/>
            <wp:docPr id="17884086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408632"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996055"/>
                    </a:xfrm>
                    <a:prstGeom prst="rect">
                      <a:avLst/>
                    </a:prstGeom>
                  </pic:spPr>
                </pic:pic>
              </a:graphicData>
            </a:graphic>
          </wp:inline>
        </w:drawing>
      </w:r>
    </w:p>
    <w:p w14:paraId="69AE1F60">
      <w:r>
        <w:t>Supplementary Figure 6: Potted verification of beneficial bacterial growth promotion and root rot resistance. (A) OPPF underground root; (B) incidence of single strains and groups of strains; (C) effects of single strains and combinations of strains on the biomass of underground parts of OPPF; (D) effects of single strains and combinations of strains on the biomass of whole OPPF.</w:t>
      </w:r>
    </w:p>
    <w:p w14:paraId="129B1C5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F52"/>
    <w:rsid w:val="000A3068"/>
    <w:rsid w:val="000A58E8"/>
    <w:rsid w:val="000B2CA2"/>
    <w:rsid w:val="001654CA"/>
    <w:rsid w:val="00477E0A"/>
    <w:rsid w:val="0057493E"/>
    <w:rsid w:val="00792A7F"/>
    <w:rsid w:val="00916376"/>
    <w:rsid w:val="009216AA"/>
    <w:rsid w:val="009A4F52"/>
    <w:rsid w:val="00A817DE"/>
    <w:rsid w:val="00D34BE7"/>
    <w:rsid w:val="00DC32FE"/>
    <w:rsid w:val="00F203DB"/>
    <w:rsid w:val="01A73D87"/>
    <w:rsid w:val="06A72A7B"/>
    <w:rsid w:val="0B9730BE"/>
    <w:rsid w:val="182B350C"/>
    <w:rsid w:val="1E193E07"/>
    <w:rsid w:val="24C83E91"/>
    <w:rsid w:val="29AE0122"/>
    <w:rsid w:val="2F1A353B"/>
    <w:rsid w:val="305F38FB"/>
    <w:rsid w:val="33FB393B"/>
    <w:rsid w:val="355F439E"/>
    <w:rsid w:val="413E57AF"/>
    <w:rsid w:val="53B042EA"/>
    <w:rsid w:val="555B2034"/>
    <w:rsid w:val="694F3806"/>
    <w:rsid w:val="6F5C33D4"/>
    <w:rsid w:val="79DF5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kern w:val="0"/>
      <w:sz w:val="24"/>
      <w:szCs w:val="24"/>
      <w:lang w:val="en-US" w:eastAsia="en-GB" w:bidi="ar-SA"/>
      <w14:ligatures w14:val="none"/>
    </w:rPr>
  </w:style>
  <w:style w:type="paragraph" w:styleId="2">
    <w:name w:val="heading 1"/>
    <w:basedOn w:val="1"/>
    <w:next w:val="1"/>
    <w:link w:val="17"/>
    <w:qFormat/>
    <w:uiPriority w:val="9"/>
    <w:pPr>
      <w:keepNext/>
      <w:keepLines/>
      <w:widowControl w:val="0"/>
      <w:spacing w:before="480" w:after="80"/>
      <w:jc w:val="both"/>
      <w:outlineLvl w:val="0"/>
    </w:pPr>
    <w:rPr>
      <w:rFonts w:asciiTheme="majorHAnsi" w:hAnsiTheme="majorHAnsi" w:eastAsiaTheme="majorEastAsia" w:cstheme="majorBidi"/>
      <w:bCs/>
      <w:color w:val="104862" w:themeColor="accent1" w:themeShade="BF"/>
      <w:kern w:val="2"/>
      <w:sz w:val="48"/>
      <w:szCs w:val="48"/>
      <w:lang w:eastAsia="zh-CN"/>
      <w14:ligatures w14:val="standardContextual"/>
    </w:rPr>
  </w:style>
  <w:style w:type="paragraph" w:styleId="3">
    <w:name w:val="heading 2"/>
    <w:basedOn w:val="1"/>
    <w:next w:val="1"/>
    <w:link w:val="18"/>
    <w:semiHidden/>
    <w:unhideWhenUsed/>
    <w:qFormat/>
    <w:uiPriority w:val="9"/>
    <w:pPr>
      <w:keepNext/>
      <w:keepLines/>
      <w:widowControl w:val="0"/>
      <w:spacing w:before="160" w:after="80"/>
      <w:jc w:val="both"/>
      <w:outlineLvl w:val="1"/>
    </w:pPr>
    <w:rPr>
      <w:rFonts w:asciiTheme="majorHAnsi" w:hAnsiTheme="majorHAnsi" w:eastAsiaTheme="majorEastAsia" w:cstheme="majorBidi"/>
      <w:bCs/>
      <w:color w:val="104862" w:themeColor="accent1" w:themeShade="BF"/>
      <w:kern w:val="2"/>
      <w:sz w:val="40"/>
      <w:szCs w:val="40"/>
      <w:lang w:eastAsia="zh-CN"/>
      <w14:ligatures w14:val="standardContextual"/>
    </w:rPr>
  </w:style>
  <w:style w:type="paragraph" w:styleId="4">
    <w:name w:val="heading 3"/>
    <w:basedOn w:val="1"/>
    <w:next w:val="1"/>
    <w:link w:val="19"/>
    <w:semiHidden/>
    <w:unhideWhenUsed/>
    <w:qFormat/>
    <w:uiPriority w:val="9"/>
    <w:pPr>
      <w:keepNext/>
      <w:keepLines/>
      <w:widowControl w:val="0"/>
      <w:spacing w:before="160" w:after="80"/>
      <w:jc w:val="both"/>
      <w:outlineLvl w:val="2"/>
    </w:pPr>
    <w:rPr>
      <w:rFonts w:asciiTheme="majorHAnsi" w:hAnsiTheme="majorHAnsi" w:eastAsiaTheme="majorEastAsia" w:cstheme="majorBidi"/>
      <w:bCs/>
      <w:color w:val="104862" w:themeColor="accent1" w:themeShade="BF"/>
      <w:kern w:val="2"/>
      <w:sz w:val="32"/>
      <w:szCs w:val="32"/>
      <w:lang w:eastAsia="zh-CN"/>
      <w14:ligatures w14:val="standardContextual"/>
    </w:rPr>
  </w:style>
  <w:style w:type="paragraph" w:styleId="5">
    <w:name w:val="heading 4"/>
    <w:basedOn w:val="1"/>
    <w:next w:val="1"/>
    <w:link w:val="20"/>
    <w:semiHidden/>
    <w:unhideWhenUsed/>
    <w:qFormat/>
    <w:uiPriority w:val="9"/>
    <w:pPr>
      <w:keepNext/>
      <w:keepLines/>
      <w:widowControl w:val="0"/>
      <w:spacing w:before="80" w:after="40"/>
      <w:jc w:val="both"/>
      <w:outlineLvl w:val="3"/>
    </w:pPr>
    <w:rPr>
      <w:rFonts w:asciiTheme="minorHAnsi" w:hAnsiTheme="minorHAnsi" w:eastAsiaTheme="minorEastAsia" w:cstheme="majorBidi"/>
      <w:bCs/>
      <w:color w:val="104862" w:themeColor="accent1" w:themeShade="BF"/>
      <w:kern w:val="2"/>
      <w:sz w:val="28"/>
      <w:szCs w:val="28"/>
      <w:lang w:eastAsia="zh-CN"/>
      <w14:ligatures w14:val="standardContextual"/>
    </w:rPr>
  </w:style>
  <w:style w:type="paragraph" w:styleId="6">
    <w:name w:val="heading 5"/>
    <w:basedOn w:val="1"/>
    <w:next w:val="1"/>
    <w:link w:val="21"/>
    <w:semiHidden/>
    <w:unhideWhenUsed/>
    <w:qFormat/>
    <w:uiPriority w:val="9"/>
    <w:pPr>
      <w:keepNext/>
      <w:keepLines/>
      <w:widowControl w:val="0"/>
      <w:spacing w:before="80" w:after="40"/>
      <w:jc w:val="both"/>
      <w:outlineLvl w:val="4"/>
    </w:pPr>
    <w:rPr>
      <w:rFonts w:asciiTheme="minorHAnsi" w:hAnsiTheme="minorHAnsi" w:eastAsiaTheme="minorEastAsia" w:cstheme="majorBidi"/>
      <w:bCs/>
      <w:color w:val="104862" w:themeColor="accent1" w:themeShade="BF"/>
      <w:kern w:val="2"/>
      <w:lang w:eastAsia="zh-CN"/>
      <w14:ligatures w14:val="standardContextual"/>
    </w:rPr>
  </w:style>
  <w:style w:type="paragraph" w:styleId="7">
    <w:name w:val="heading 6"/>
    <w:basedOn w:val="1"/>
    <w:next w:val="1"/>
    <w:link w:val="22"/>
    <w:semiHidden/>
    <w:unhideWhenUsed/>
    <w:qFormat/>
    <w:uiPriority w:val="9"/>
    <w:pPr>
      <w:keepNext/>
      <w:keepLines/>
      <w:widowControl w:val="0"/>
      <w:spacing w:before="40"/>
      <w:jc w:val="both"/>
      <w:outlineLvl w:val="5"/>
    </w:pPr>
    <w:rPr>
      <w:rFonts w:asciiTheme="minorHAnsi" w:hAnsiTheme="minorHAnsi" w:eastAsiaTheme="minorEastAsia" w:cstheme="majorBidi"/>
      <w:b/>
      <w:bCs/>
      <w:color w:val="104862" w:themeColor="accent1" w:themeShade="BF"/>
      <w:kern w:val="2"/>
      <w:sz w:val="28"/>
      <w:szCs w:val="22"/>
      <w:lang w:eastAsia="zh-CN"/>
      <w14:ligatures w14:val="standardContextual"/>
    </w:rPr>
  </w:style>
  <w:style w:type="paragraph" w:styleId="8">
    <w:name w:val="heading 7"/>
    <w:basedOn w:val="1"/>
    <w:next w:val="1"/>
    <w:link w:val="23"/>
    <w:semiHidden/>
    <w:unhideWhenUsed/>
    <w:qFormat/>
    <w:uiPriority w:val="9"/>
    <w:pPr>
      <w:keepNext/>
      <w:keepLines/>
      <w:widowControl w:val="0"/>
      <w:spacing w:before="40"/>
      <w:jc w:val="both"/>
      <w:outlineLvl w:val="6"/>
    </w:pPr>
    <w:rPr>
      <w:rFonts w:asciiTheme="minorHAnsi" w:hAnsiTheme="minorHAnsi" w:eastAsiaTheme="minorEastAsia" w:cstheme="majorBidi"/>
      <w:b/>
      <w:bCs/>
      <w:color w:val="595959" w:themeColor="text1" w:themeTint="A6"/>
      <w:kern w:val="2"/>
      <w:sz w:val="28"/>
      <w:szCs w:val="22"/>
      <w:lang w:eastAsia="zh-CN"/>
      <w14:textFill>
        <w14:solidFill>
          <w14:schemeClr w14:val="tx1">
            <w14:lumMod w14:val="65000"/>
            <w14:lumOff w14:val="35000"/>
          </w14:schemeClr>
        </w14:solidFill>
      </w14:textFill>
      <w14:ligatures w14:val="standardContextual"/>
    </w:rPr>
  </w:style>
  <w:style w:type="paragraph" w:styleId="9">
    <w:name w:val="heading 8"/>
    <w:basedOn w:val="1"/>
    <w:next w:val="1"/>
    <w:link w:val="24"/>
    <w:semiHidden/>
    <w:unhideWhenUsed/>
    <w:qFormat/>
    <w:uiPriority w:val="9"/>
    <w:pPr>
      <w:keepNext/>
      <w:keepLines/>
      <w:widowControl w:val="0"/>
      <w:jc w:val="both"/>
      <w:outlineLvl w:val="7"/>
    </w:pPr>
    <w:rPr>
      <w:rFonts w:asciiTheme="minorHAnsi" w:hAnsiTheme="minorHAnsi" w:eastAsiaTheme="minorEastAsia" w:cstheme="majorBidi"/>
      <w:bCs/>
      <w:color w:val="595959" w:themeColor="text1" w:themeTint="A6"/>
      <w:kern w:val="2"/>
      <w:sz w:val="28"/>
      <w:szCs w:val="22"/>
      <w:lang w:eastAsia="zh-CN"/>
      <w14:textFill>
        <w14:solidFill>
          <w14:schemeClr w14:val="tx1">
            <w14:lumMod w14:val="65000"/>
            <w14:lumOff w14:val="35000"/>
          </w14:schemeClr>
        </w14:solidFill>
      </w14:textFill>
      <w14:ligatures w14:val="standardContextual"/>
    </w:rPr>
  </w:style>
  <w:style w:type="paragraph" w:styleId="10">
    <w:name w:val="heading 9"/>
    <w:basedOn w:val="1"/>
    <w:next w:val="1"/>
    <w:link w:val="25"/>
    <w:semiHidden/>
    <w:unhideWhenUsed/>
    <w:qFormat/>
    <w:uiPriority w:val="9"/>
    <w:pPr>
      <w:keepNext/>
      <w:keepLines/>
      <w:widowControl w:val="0"/>
      <w:jc w:val="both"/>
      <w:outlineLvl w:val="8"/>
    </w:pPr>
    <w:rPr>
      <w:rFonts w:asciiTheme="minorHAnsi" w:hAnsiTheme="minorHAnsi" w:eastAsiaTheme="majorEastAsia" w:cstheme="majorBidi"/>
      <w:bCs/>
      <w:color w:val="595959" w:themeColor="text1" w:themeTint="A6"/>
      <w:kern w:val="2"/>
      <w:sz w:val="28"/>
      <w:szCs w:val="22"/>
      <w:lang w:eastAsia="zh-CN"/>
      <w14:textFill>
        <w14:solidFill>
          <w14:schemeClr w14:val="tx1">
            <w14:lumMod w14:val="65000"/>
            <w14:lumOff w14:val="35000"/>
          </w14:schemeClr>
        </w14:solidFill>
      </w14:textFill>
      <w14:ligatures w14:val="standardContextual"/>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6"/>
    <w:unhideWhenUsed/>
    <w:uiPriority w:val="99"/>
    <w:pPr>
      <w:widowControl w:val="0"/>
      <w:tabs>
        <w:tab w:val="center" w:pos="4153"/>
        <w:tab w:val="right" w:pos="8306"/>
      </w:tabs>
      <w:snapToGrid w:val="0"/>
    </w:pPr>
    <w:rPr>
      <w:rFonts w:eastAsia="宋体"/>
      <w:bCs/>
      <w:kern w:val="2"/>
      <w:sz w:val="18"/>
      <w:szCs w:val="18"/>
      <w:lang w:eastAsia="zh-CN"/>
      <w14:ligatures w14:val="standardContextual"/>
    </w:rPr>
  </w:style>
  <w:style w:type="paragraph" w:styleId="12">
    <w:name w:val="header"/>
    <w:basedOn w:val="1"/>
    <w:link w:val="35"/>
    <w:unhideWhenUsed/>
    <w:uiPriority w:val="99"/>
    <w:pPr>
      <w:widowControl w:val="0"/>
      <w:tabs>
        <w:tab w:val="center" w:pos="4153"/>
        <w:tab w:val="right" w:pos="8306"/>
      </w:tabs>
      <w:snapToGrid w:val="0"/>
      <w:jc w:val="center"/>
    </w:pPr>
    <w:rPr>
      <w:rFonts w:eastAsia="宋体"/>
      <w:bCs/>
      <w:kern w:val="2"/>
      <w:sz w:val="18"/>
      <w:szCs w:val="18"/>
      <w:lang w:eastAsia="zh-CN"/>
      <w14:ligatures w14:val="standardContextual"/>
    </w:rPr>
  </w:style>
  <w:style w:type="paragraph" w:styleId="13">
    <w:name w:val="Subtitle"/>
    <w:basedOn w:val="1"/>
    <w:next w:val="1"/>
    <w:link w:val="27"/>
    <w:qFormat/>
    <w:uiPriority w:val="11"/>
    <w:pPr>
      <w:widowControl w:val="0"/>
      <w:spacing w:after="160"/>
      <w:jc w:val="center"/>
    </w:pPr>
    <w:rPr>
      <w:rFonts w:asciiTheme="majorHAnsi" w:hAnsiTheme="majorHAnsi" w:eastAsiaTheme="majorEastAsia" w:cstheme="majorBidi"/>
      <w:bCs/>
      <w:color w:val="595959" w:themeColor="text1" w:themeTint="A6"/>
      <w:spacing w:val="15"/>
      <w:kern w:val="2"/>
      <w:sz w:val="28"/>
      <w:szCs w:val="28"/>
      <w:lang w:eastAsia="zh-CN"/>
      <w14:textFill>
        <w14:solidFill>
          <w14:schemeClr w14:val="tx1">
            <w14:lumMod w14:val="65000"/>
            <w14:lumOff w14:val="35000"/>
          </w14:schemeClr>
        </w14:solidFill>
      </w14:textFill>
      <w14:ligatures w14:val="standardContextual"/>
    </w:rPr>
  </w:style>
  <w:style w:type="paragraph" w:styleId="14">
    <w:name w:val="Title"/>
    <w:basedOn w:val="1"/>
    <w:next w:val="1"/>
    <w:link w:val="26"/>
    <w:qFormat/>
    <w:uiPriority w:val="10"/>
    <w:pPr>
      <w:widowControl w:val="0"/>
      <w:spacing w:after="80"/>
      <w:contextualSpacing/>
      <w:jc w:val="center"/>
    </w:pPr>
    <w:rPr>
      <w:rFonts w:asciiTheme="majorHAnsi" w:hAnsiTheme="majorHAnsi" w:eastAsiaTheme="majorEastAsia" w:cstheme="majorBidi"/>
      <w:bCs/>
      <w:spacing w:val="-10"/>
      <w:kern w:val="28"/>
      <w:sz w:val="56"/>
      <w:szCs w:val="56"/>
      <w:lang w:eastAsia="zh-CN"/>
      <w14:ligatures w14:val="standardContextual"/>
    </w:rPr>
  </w:style>
  <w:style w:type="character" w:customStyle="1" w:styleId="17">
    <w:name w:val="标题 1 字符"/>
    <w:basedOn w:val="16"/>
    <w:link w:val="2"/>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6"/>
    <w:link w:val="4"/>
    <w:semiHidden/>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6"/>
    <w:link w:val="5"/>
    <w:semiHidden/>
    <w:uiPriority w:val="9"/>
    <w:rPr>
      <w:rFonts w:asciiTheme="minorHAnsi" w:hAnsiTheme="minorHAnsi" w:eastAsiaTheme="minorEastAsia" w:cstheme="majorBidi"/>
      <w:color w:val="104862" w:themeColor="accent1" w:themeShade="BF"/>
      <w:szCs w:val="28"/>
    </w:rPr>
  </w:style>
  <w:style w:type="character" w:customStyle="1" w:styleId="21">
    <w:name w:val="标题 5 字符"/>
    <w:basedOn w:val="16"/>
    <w:link w:val="6"/>
    <w:semiHidden/>
    <w:uiPriority w:val="9"/>
    <w:rPr>
      <w:rFonts w:asciiTheme="minorHAnsi" w:hAnsiTheme="minorHAnsi" w:eastAsiaTheme="minorEastAsia" w:cstheme="majorBidi"/>
      <w:color w:val="104862" w:themeColor="accent1" w:themeShade="BF"/>
      <w:sz w:val="24"/>
      <w:szCs w:val="24"/>
    </w:rPr>
  </w:style>
  <w:style w:type="character" w:customStyle="1" w:styleId="22">
    <w:name w:val="标题 6 字符"/>
    <w:basedOn w:val="16"/>
    <w:link w:val="7"/>
    <w:semiHidden/>
    <w:uiPriority w:val="9"/>
    <w:rPr>
      <w:rFonts w:asciiTheme="minorHAnsi" w:hAnsiTheme="minorHAnsi" w:eastAsiaTheme="minorEastAsia" w:cstheme="majorBidi"/>
      <w:b/>
      <w:color w:val="104862" w:themeColor="accent1" w:themeShade="BF"/>
    </w:rPr>
  </w:style>
  <w:style w:type="character" w:customStyle="1" w:styleId="23">
    <w:name w:val="标题 7 字符"/>
    <w:basedOn w:val="16"/>
    <w:link w:val="8"/>
    <w:semiHidden/>
    <w:uiPriority w:val="9"/>
    <w:rPr>
      <w:rFonts w:asciiTheme="minorHAnsi" w:hAnsiTheme="minorHAnsi" w:eastAsiaTheme="minorEastAsia" w:cstheme="majorBidi"/>
      <w:b/>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uiPriority w:val="11"/>
    <w:rPr>
      <w:rFonts w:asciiTheme="majorHAnsi" w:hAnsiTheme="majorHAnsi" w:eastAsiaTheme="majorEastAsia" w:cstheme="majorBidi"/>
      <w:color w:val="595959" w:themeColor="text1" w:themeTint="A6"/>
      <w:spacing w:val="15"/>
      <w:szCs w:val="28"/>
      <w14:textFill>
        <w14:solidFill>
          <w14:schemeClr w14:val="tx1">
            <w14:lumMod w14:val="65000"/>
            <w14:lumOff w14:val="35000"/>
          </w14:schemeClr>
        </w14:solidFill>
      </w14:textFill>
    </w:rPr>
  </w:style>
  <w:style w:type="paragraph" w:styleId="28">
    <w:name w:val="Quote"/>
    <w:basedOn w:val="1"/>
    <w:next w:val="1"/>
    <w:link w:val="29"/>
    <w:qFormat/>
    <w:uiPriority w:val="29"/>
    <w:pPr>
      <w:widowControl w:val="0"/>
      <w:spacing w:before="160" w:after="160"/>
      <w:jc w:val="center"/>
    </w:pPr>
    <w:rPr>
      <w:rFonts w:eastAsia="宋体"/>
      <w:bCs/>
      <w:i/>
      <w:iCs/>
      <w:color w:val="404040" w:themeColor="text1" w:themeTint="BF"/>
      <w:kern w:val="2"/>
      <w:sz w:val="28"/>
      <w:szCs w:val="22"/>
      <w:lang w:eastAsia="zh-CN"/>
      <w14:textFill>
        <w14:solidFill>
          <w14:schemeClr w14:val="tx1">
            <w14:lumMod w14:val="75000"/>
            <w14:lumOff w14:val="25000"/>
          </w14:schemeClr>
        </w14:solidFill>
      </w14:textFill>
      <w14:ligatures w14:val="standardContextual"/>
    </w:rPr>
  </w:style>
  <w:style w:type="character" w:customStyle="1" w:styleId="29">
    <w:name w:val="引用 字符"/>
    <w:basedOn w:val="16"/>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widowControl w:val="0"/>
      <w:ind w:left="720"/>
      <w:contextualSpacing/>
      <w:jc w:val="both"/>
    </w:pPr>
    <w:rPr>
      <w:rFonts w:eastAsia="宋体"/>
      <w:bCs/>
      <w:kern w:val="2"/>
      <w:sz w:val="28"/>
      <w:szCs w:val="22"/>
      <w:lang w:eastAsia="zh-CN"/>
      <w14:ligatures w14:val="standardContextual"/>
    </w:rPr>
  </w:style>
  <w:style w:type="character" w:customStyle="1" w:styleId="31">
    <w:name w:val="Intense Emphasis"/>
    <w:basedOn w:val="16"/>
    <w:qFormat/>
    <w:uiPriority w:val="21"/>
    <w:rPr>
      <w:i/>
      <w:iCs/>
      <w:color w:val="104862" w:themeColor="accent1" w:themeShade="BF"/>
    </w:rPr>
  </w:style>
  <w:style w:type="paragraph" w:styleId="32">
    <w:name w:val="Intense Quote"/>
    <w:basedOn w:val="1"/>
    <w:next w:val="1"/>
    <w:link w:val="33"/>
    <w:qFormat/>
    <w:uiPriority w:val="30"/>
    <w:pPr>
      <w:widowControl w:val="0"/>
      <w:pBdr>
        <w:top w:val="single" w:color="0F4761" w:themeColor="accent1" w:themeShade="BF" w:sz="4" w:space="10"/>
        <w:bottom w:val="single" w:color="0F4761" w:themeColor="accent1" w:themeShade="BF" w:sz="4" w:space="10"/>
      </w:pBdr>
      <w:spacing w:before="360" w:after="360"/>
      <w:ind w:left="864" w:right="864"/>
      <w:jc w:val="center"/>
    </w:pPr>
    <w:rPr>
      <w:rFonts w:eastAsia="宋体"/>
      <w:bCs/>
      <w:i/>
      <w:iCs/>
      <w:color w:val="104862" w:themeColor="accent1" w:themeShade="BF"/>
      <w:kern w:val="2"/>
      <w:sz w:val="28"/>
      <w:szCs w:val="22"/>
      <w:lang w:eastAsia="zh-CN"/>
      <w14:ligatures w14:val="standardContextual"/>
    </w:rPr>
  </w:style>
  <w:style w:type="character" w:customStyle="1" w:styleId="33">
    <w:name w:val="明显引用 字符"/>
    <w:basedOn w:val="16"/>
    <w:link w:val="32"/>
    <w:uiPriority w:val="30"/>
    <w:rPr>
      <w:i/>
      <w:iCs/>
      <w:color w:val="104862" w:themeColor="accent1" w:themeShade="BF"/>
    </w:rPr>
  </w:style>
  <w:style w:type="character" w:customStyle="1" w:styleId="34">
    <w:name w:val="Intense Reference"/>
    <w:basedOn w:val="16"/>
    <w:qFormat/>
    <w:uiPriority w:val="32"/>
    <w:rPr>
      <w:b/>
      <w:smallCaps/>
      <w:color w:val="104862" w:themeColor="accent1" w:themeShade="BF"/>
      <w:spacing w:val="5"/>
    </w:rPr>
  </w:style>
  <w:style w:type="character" w:customStyle="1" w:styleId="35">
    <w:name w:val="页眉 字符"/>
    <w:basedOn w:val="16"/>
    <w:link w:val="12"/>
    <w:uiPriority w:val="99"/>
    <w:rPr>
      <w:sz w:val="18"/>
      <w:szCs w:val="18"/>
    </w:rPr>
  </w:style>
  <w:style w:type="character" w:customStyle="1" w:styleId="36">
    <w:name w:val="页脚 字符"/>
    <w:basedOn w:val="16"/>
    <w:link w:val="11"/>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svg"/><Relationship Id="rId7" Type="http://schemas.openxmlformats.org/officeDocument/2006/relationships/image" Target="media/image4.png"/><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465</Words>
  <Characters>2614</Characters>
  <Lines>22</Lines>
  <Paragraphs>6</Paragraphs>
  <TotalTime>61</TotalTime>
  <ScaleCrop>false</ScaleCrop>
  <LinksUpToDate>false</LinksUpToDate>
  <CharactersWithSpaces>2986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2025-02-20T11:20:00Z</dcterms:created>
  <dc:creator>慧玲 王</dc:creator>
  <cp:lastModifiedBy>Administrator</cp:lastModifiedBy>
  <dcterms:modified xsi:type="dcterms:W3CDTF">2026-01-21T10:40:39Z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eyJoZGlkIjoiNmY2OWZlMGQxMWJjZjgxNDRmNGFlZjNkODY1ZjNlNjMiLCJ1c2VySWQiOiIzNjk3MDUxMTUifQ==</vt:lpwstr>
  </property>
  <property fmtid="{D5CDD505-2E9C-101B-9397-08002B2CF9AE}" pid="3" name="KSOProductBuildVer">
    <vt:lpwstr>2052-12.1.0.24657</vt:lpwstr>
  </property>
  <property fmtid="{D5CDD505-2E9C-101B-9397-08002B2CF9AE}" pid="4" name="ICV">
    <vt:lpwstr>A682556D04E247C3B18BD4908EE3EB55_13</vt:lpwstr>
  </property>
</Properties>
</file>