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DB7B2" w14:textId="77777777" w:rsidR="009B0B51" w:rsidRPr="008A2FC7" w:rsidRDefault="009B0B51" w:rsidP="009B0B51">
      <w:pPr>
        <w:spacing w:line="480" w:lineRule="auto"/>
        <w:jc w:val="both"/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5E3312CF" wp14:editId="6865837C">
            <wp:simplePos x="0" y="0"/>
            <wp:positionH relativeFrom="margin">
              <wp:align>right</wp:align>
            </wp:positionH>
            <wp:positionV relativeFrom="paragraph">
              <wp:posOffset>52705</wp:posOffset>
            </wp:positionV>
            <wp:extent cx="5753100" cy="8185785"/>
            <wp:effectExtent l="0" t="0" r="0" b="0"/>
            <wp:wrapTopAndBottom/>
            <wp:docPr id="786031598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185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A2FC7">
        <w:rPr>
          <w:b/>
          <w:bCs/>
          <w:lang w:val="en-US"/>
        </w:rPr>
        <w:t>Supplementary Figure 1</w:t>
      </w:r>
      <w:r w:rsidRPr="008A2FC7">
        <w:rPr>
          <w:lang w:val="en-US"/>
        </w:rPr>
        <w:t>. UMAP projection of CD3⁺ T cell subsets showing individual marker expression.</w:t>
      </w:r>
    </w:p>
    <w:p w14:paraId="122CFEF5" w14:textId="77777777" w:rsidR="009B0B51" w:rsidRDefault="009B0B51" w:rsidP="009B0B51">
      <w:pPr>
        <w:spacing w:line="480" w:lineRule="auto"/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0288" behindDoc="0" locked="0" layoutInCell="1" allowOverlap="1" wp14:anchorId="197228A8" wp14:editId="4B8E6B21">
            <wp:simplePos x="0" y="0"/>
            <wp:positionH relativeFrom="page">
              <wp:posOffset>723899</wp:posOffset>
            </wp:positionH>
            <wp:positionV relativeFrom="paragraph">
              <wp:posOffset>0</wp:posOffset>
            </wp:positionV>
            <wp:extent cx="6067425" cy="8934184"/>
            <wp:effectExtent l="0" t="0" r="0" b="0"/>
            <wp:wrapTopAndBottom/>
            <wp:docPr id="2044161133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231" cy="89383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3DC7EE" w14:textId="77777777" w:rsidR="009B0B51" w:rsidRPr="008A2FC7" w:rsidRDefault="009B0B51" w:rsidP="009B0B51">
      <w:pPr>
        <w:spacing w:line="480" w:lineRule="auto"/>
        <w:jc w:val="both"/>
      </w:pPr>
      <w:r w:rsidRPr="008A2FC7">
        <w:rPr>
          <w:b/>
          <w:bCs/>
          <w:lang w:val="en-US"/>
        </w:rPr>
        <w:lastRenderedPageBreak/>
        <w:t>Supplementary Figure 2</w:t>
      </w:r>
      <w:r w:rsidRPr="008A2FC7">
        <w:rPr>
          <w:lang w:val="en-US"/>
        </w:rPr>
        <w:t xml:space="preserve">. </w:t>
      </w:r>
      <w:r>
        <w:t xml:space="preserve"> </w:t>
      </w:r>
      <w:r w:rsidRPr="008A2FC7">
        <w:rPr>
          <w:lang w:val="en-US"/>
        </w:rPr>
        <w:t xml:space="preserve">A) Proportional bar chart and B) UMAP plots illustrating the differences in the baseline frequency of the </w:t>
      </w:r>
      <w:r w:rsidRPr="008A2FC7">
        <w:rPr>
          <w:lang w:val="fr-FR"/>
        </w:rPr>
        <w:t xml:space="preserve">non-classical CD4/CD8 T cell subsets—γδ T cells, CD4⁺ CD8⁺, and CD4⁻ CD8⁻ T cells— </w:t>
      </w:r>
      <w:r w:rsidRPr="008A2FC7">
        <w:rPr>
          <w:lang w:val="en-US"/>
        </w:rPr>
        <w:t>between R and NR groups.</w:t>
      </w:r>
      <w:r>
        <w:t xml:space="preserve"> </w:t>
      </w:r>
      <w:r w:rsidRPr="008A2FC7">
        <w:rPr>
          <w:lang w:val="en-US"/>
        </w:rPr>
        <w:t>C) Absolute telomere length in R and NR, reported as kilobases (kb) per single-copy gene (SCG). Median and interquartile range (IQR) are indicated. p = 0.9038.</w:t>
      </w:r>
      <w:r>
        <w:t xml:space="preserve"> </w:t>
      </w:r>
      <w:r w:rsidRPr="008A2FC7">
        <w:rPr>
          <w:lang w:val="en-US"/>
        </w:rPr>
        <w:t>D) Proportional bar charts illustrating the differences in the baseline frequencies of CD4⁺, CD8⁺ T and non-classical CD4/CD8 subsets between R and NR groups. Data were obtained from automated analysis using the Astrolabe platform.</w:t>
      </w:r>
    </w:p>
    <w:p w14:paraId="542BE7E0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336B643A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39F0D578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673A329C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3EB47898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2C83249B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3E20096D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6E16807F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704C8989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43454148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52E65261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68F32A4E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53AACEB9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5AC9679F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7B99257C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3D400760" w14:textId="77777777" w:rsidR="009B0B51" w:rsidRDefault="009B0B51" w:rsidP="009B0B51">
      <w:pPr>
        <w:spacing w:line="480" w:lineRule="auto"/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1312" behindDoc="0" locked="0" layoutInCell="1" allowOverlap="1" wp14:anchorId="31B0B060" wp14:editId="626B0F1E">
            <wp:simplePos x="0" y="0"/>
            <wp:positionH relativeFrom="page">
              <wp:posOffset>685800</wp:posOffset>
            </wp:positionH>
            <wp:positionV relativeFrom="paragraph">
              <wp:posOffset>385445</wp:posOffset>
            </wp:positionV>
            <wp:extent cx="6124575" cy="8384540"/>
            <wp:effectExtent l="0" t="0" r="0" b="0"/>
            <wp:wrapTopAndBottom/>
            <wp:docPr id="527607128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8384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67B521" w14:textId="77777777" w:rsidR="009B0B51" w:rsidRPr="008A2FC7" w:rsidRDefault="009B0B51" w:rsidP="009B0B51">
      <w:pPr>
        <w:spacing w:line="480" w:lineRule="auto"/>
        <w:jc w:val="both"/>
      </w:pPr>
      <w:r w:rsidRPr="008A2FC7">
        <w:rPr>
          <w:b/>
          <w:bCs/>
          <w:lang w:val="en-US"/>
        </w:rPr>
        <w:lastRenderedPageBreak/>
        <w:t>Supplementary Figure 3</w:t>
      </w:r>
      <w:r w:rsidRPr="008A2FC7">
        <w:rPr>
          <w:lang w:val="en-US"/>
        </w:rPr>
        <w:t xml:space="preserve">. </w:t>
      </w:r>
      <w:r w:rsidRPr="008A2FC7">
        <w:t>Representative flow cytometry plots of CD4⁺ EMRA T cells (A) and CD8⁺ EMRA T cells (B) from R and NR patients, showing expression of CD25, CD69, IFN-</w:t>
      </w:r>
      <w:r w:rsidRPr="008A2FC7">
        <w:rPr>
          <w:lang w:val="el-GR"/>
        </w:rPr>
        <w:t xml:space="preserve">γ, </w:t>
      </w:r>
      <w:r w:rsidRPr="008A2FC7">
        <w:t>and GZMB after PHA stimulation. Gating was performed on viable CD3⁺ cells.</w:t>
      </w:r>
    </w:p>
    <w:p w14:paraId="119CA93A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4214E1AC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362267E4" w14:textId="77777777" w:rsidR="009B0B51" w:rsidRDefault="009B0B51" w:rsidP="009B0B51">
      <w:pPr>
        <w:spacing w:line="480" w:lineRule="auto"/>
        <w:jc w:val="both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402FCD3D" wp14:editId="04E160C0">
            <wp:simplePos x="0" y="0"/>
            <wp:positionH relativeFrom="column">
              <wp:posOffset>-365760</wp:posOffset>
            </wp:positionH>
            <wp:positionV relativeFrom="paragraph">
              <wp:posOffset>222885</wp:posOffset>
            </wp:positionV>
            <wp:extent cx="6057900" cy="4726305"/>
            <wp:effectExtent l="0" t="0" r="0" b="0"/>
            <wp:wrapTopAndBottom/>
            <wp:docPr id="286045274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4726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F85896" w14:textId="77777777" w:rsidR="009B0B51" w:rsidRDefault="009B0B51" w:rsidP="009B0B51">
      <w:pPr>
        <w:spacing w:line="480" w:lineRule="auto"/>
        <w:jc w:val="both"/>
        <w:rPr>
          <w:lang w:val="en-US"/>
        </w:rPr>
      </w:pPr>
    </w:p>
    <w:p w14:paraId="326B6CA0" w14:textId="77777777" w:rsidR="009B0B51" w:rsidRPr="00E05435" w:rsidRDefault="009B0B51" w:rsidP="009B0B51">
      <w:pPr>
        <w:spacing w:line="480" w:lineRule="auto"/>
        <w:jc w:val="both"/>
        <w:rPr>
          <w:lang w:val="en-US"/>
        </w:rPr>
      </w:pPr>
      <w:r w:rsidRPr="008A2FC7">
        <w:rPr>
          <w:b/>
          <w:bCs/>
          <w:lang w:val="en-US"/>
        </w:rPr>
        <w:t>Supplementary Figure 4</w:t>
      </w:r>
      <w:r w:rsidRPr="008A2FC7">
        <w:rPr>
          <w:lang w:val="en-US"/>
        </w:rPr>
        <w:t>. Variable importance plot from the Random Forest analysis assessing the relative contribution (%) of clinical vs immunological variables to the predictive model of immunotherapy response in NSCLC. The horizontal axis represents variable importance (in %), while the vertical axis lists the features included in the model.</w:t>
      </w:r>
    </w:p>
    <w:p w14:paraId="65ADBDFB" w14:textId="77777777" w:rsidR="00F553FF" w:rsidRDefault="00F553FF"/>
    <w:sectPr w:rsidR="00F553FF" w:rsidSect="009B0B51">
      <w:footerReference w:type="default" r:id="rId8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91401981"/>
      <w:docPartObj>
        <w:docPartGallery w:val="Page Numbers (Bottom of Page)"/>
        <w:docPartUnique/>
      </w:docPartObj>
    </w:sdtPr>
    <w:sdtContent>
      <w:p w14:paraId="55495315" w14:textId="77777777" w:rsidR="009B0B51" w:rsidRDefault="009B0B5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9052258" w14:textId="77777777" w:rsidR="009B0B51" w:rsidRDefault="009B0B5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B51"/>
    <w:rsid w:val="003C2EF4"/>
    <w:rsid w:val="00446799"/>
    <w:rsid w:val="006A7E07"/>
    <w:rsid w:val="00701021"/>
    <w:rsid w:val="009B0B51"/>
    <w:rsid w:val="00B74216"/>
    <w:rsid w:val="00D62F8C"/>
    <w:rsid w:val="00E97CD6"/>
    <w:rsid w:val="00ED629D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CBACC"/>
  <w15:chartTrackingRefBased/>
  <w15:docId w15:val="{508C34DF-4AE2-424D-8FC6-220D002E2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B51"/>
    <w:pPr>
      <w:spacing w:line="259" w:lineRule="auto"/>
    </w:pPr>
    <w:rPr>
      <w:sz w:val="22"/>
      <w:szCs w:val="22"/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0B5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0B5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0B5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0B5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0B5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0B5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0B5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0B5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0B5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0B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0B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0B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0B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0B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0B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0B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0B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0B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0B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B0B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0B5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B0B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0B5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B0B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0B51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9B0B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0B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0B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0B5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9B0B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0B51"/>
    <w:rPr>
      <w:sz w:val="22"/>
      <w:szCs w:val="22"/>
      <w:lang w:val="es-ES"/>
    </w:rPr>
  </w:style>
  <w:style w:type="character" w:styleId="LineNumber">
    <w:name w:val="line number"/>
    <w:basedOn w:val="DefaultParagraphFont"/>
    <w:uiPriority w:val="99"/>
    <w:semiHidden/>
    <w:unhideWhenUsed/>
    <w:rsid w:val="009B0B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197</Words>
  <Characters>1157</Characters>
  <Application>Microsoft Office Word</Application>
  <DocSecurity>0</DocSecurity>
  <Lines>18</Lines>
  <Paragraphs>4</Paragraphs>
  <ScaleCrop>false</ScaleCrop>
  <Company>Springer Nature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2026-01-27T04:18:00Z</dcterms:created>
  <dcterms:modified xsi:type="dcterms:W3CDTF">2026-01-27T04:18:00Z</dcterms:modified>
</cp:coreProperties>
</file>