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73BF">
      <w:bookmarkStart w:id="2" w:name="_GoBack"/>
      <w:bookmarkEnd w:id="2"/>
      <w:r>
        <w:drawing>
          <wp:inline distT="0" distB="0" distL="0" distR="0">
            <wp:extent cx="5273675" cy="5511165"/>
            <wp:effectExtent l="0" t="0" r="0" b="0"/>
            <wp:docPr id="11978028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02897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51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69946"/>
    <w:p w14:paraId="15120F54"/>
    <w:p w14:paraId="22ED94AB">
      <w:pPr>
        <w:pStyle w:val="11"/>
        <w:rPr>
          <w:rFonts w:ascii="Times New Roman" w:hAnsi="Times New Roman" w:eastAsia="楷体" w:cstheme="minorBidi"/>
          <w:sz w:val="24"/>
          <w:szCs w:val="22"/>
        </w:rPr>
      </w:pPr>
      <w:bookmarkStart w:id="0" w:name="_Ref218452100"/>
      <w:r>
        <w:rPr>
          <w:rFonts w:ascii="Times New Roman" w:hAnsi="Times New Roman" w:eastAsia="楷体" w:cstheme="minorBidi"/>
          <w:sz w:val="24"/>
          <w:szCs w:val="22"/>
        </w:rPr>
        <w:t>Figure S</w:t>
      </w:r>
      <w:r>
        <w:rPr>
          <w:rFonts w:ascii="Times New Roman" w:hAnsi="Times New Roman" w:eastAsia="楷体" w:cstheme="minorBidi"/>
          <w:sz w:val="24"/>
          <w:szCs w:val="22"/>
        </w:rPr>
        <w:fldChar w:fldCharType="begin"/>
      </w:r>
      <w:r>
        <w:rPr>
          <w:rFonts w:ascii="Times New Roman" w:hAnsi="Times New Roman" w:eastAsia="楷体" w:cstheme="minorBidi"/>
          <w:sz w:val="24"/>
          <w:szCs w:val="22"/>
        </w:rPr>
        <w:instrText xml:space="preserve"> SEQ Figure_S \* ARABIC </w:instrText>
      </w:r>
      <w:r>
        <w:rPr>
          <w:rFonts w:ascii="Times New Roman" w:hAnsi="Times New Roman" w:eastAsia="楷体" w:cstheme="minorBidi"/>
          <w:sz w:val="24"/>
          <w:szCs w:val="22"/>
        </w:rPr>
        <w:fldChar w:fldCharType="separate"/>
      </w:r>
      <w:r>
        <w:rPr>
          <w:rFonts w:ascii="Times New Roman" w:hAnsi="Times New Roman" w:eastAsia="楷体" w:cstheme="minorBidi"/>
          <w:sz w:val="24"/>
          <w:szCs w:val="22"/>
        </w:rPr>
        <w:t>1</w:t>
      </w:r>
      <w:r>
        <w:rPr>
          <w:rFonts w:ascii="Times New Roman" w:hAnsi="Times New Roman" w:eastAsia="楷体" w:cstheme="minorBidi"/>
          <w:sz w:val="24"/>
          <w:szCs w:val="22"/>
        </w:rPr>
        <w:fldChar w:fldCharType="end"/>
      </w:r>
      <w:r>
        <w:rPr>
          <w:rFonts w:hint="eastAsia"/>
        </w:rPr>
        <w:t>:</w:t>
      </w:r>
      <w:r>
        <w:t xml:space="preserve"> </w:t>
      </w:r>
      <w:r>
        <w:rPr>
          <w:rFonts w:ascii="Times New Roman" w:hAnsi="Times New Roman" w:eastAsia="楷体" w:cstheme="minorBidi"/>
          <w:sz w:val="24"/>
          <w:szCs w:val="22"/>
        </w:rPr>
        <w:t>COG (NZZ1 and RB12) and KEGG (NZZ1) annotation results of L. lactis</w:t>
      </w:r>
      <w:r>
        <w:rPr>
          <w:rFonts w:hint="eastAsia" w:ascii="Times New Roman" w:hAnsi="Times New Roman" w:eastAsia="楷体" w:cstheme="minorBidi"/>
          <w:sz w:val="24"/>
          <w:szCs w:val="22"/>
        </w:rPr>
        <w:t>.</w:t>
      </w:r>
      <w:bookmarkEnd w:id="0"/>
      <w:r>
        <w:rPr>
          <w:rFonts w:ascii="Times New Roman" w:hAnsi="Times New Roman" w:eastAsia="楷体" w:cstheme="minorBidi"/>
          <w:sz w:val="24"/>
          <w:szCs w:val="22"/>
        </w:rPr>
        <w:t xml:space="preserve"> A Statistical breakdown of COG functional categories</w:t>
      </w:r>
      <w:r>
        <w:rPr>
          <w:rFonts w:hint="eastAsia" w:ascii="Times New Roman" w:hAnsi="Times New Roman" w:eastAsia="楷体" w:cstheme="minorBidi"/>
          <w:sz w:val="24"/>
          <w:szCs w:val="22"/>
        </w:rPr>
        <w:t xml:space="preserve"> (</w:t>
      </w:r>
      <w:r>
        <w:rPr>
          <w:rFonts w:ascii="Times New Roman" w:hAnsi="Times New Roman" w:eastAsia="楷体" w:cstheme="minorBidi"/>
          <w:sz w:val="24"/>
          <w:szCs w:val="22"/>
        </w:rPr>
        <w:t>NZZ1 is L</w:t>
      </w:r>
      <w:r>
        <w:rPr>
          <w:rFonts w:hint="eastAsia" w:ascii="Times New Roman" w:hAnsi="Times New Roman" w:eastAsia="楷体" w:cstheme="minorBidi"/>
          <w:sz w:val="24"/>
          <w:szCs w:val="22"/>
        </w:rPr>
        <w:t>.</w:t>
      </w:r>
      <w:r>
        <w:rPr>
          <w:rFonts w:ascii="Times New Roman" w:hAnsi="Times New Roman" w:eastAsia="楷体" w:cstheme="minorBidi"/>
          <w:sz w:val="24"/>
          <w:szCs w:val="22"/>
        </w:rPr>
        <w:t xml:space="preserve"> lactis NZZ1</w:t>
      </w:r>
      <w:r>
        <w:rPr>
          <w:rFonts w:hint="eastAsia" w:ascii="Times New Roman" w:hAnsi="Times New Roman" w:eastAsia="楷体" w:cstheme="minorBidi"/>
          <w:sz w:val="24"/>
          <w:szCs w:val="22"/>
        </w:rPr>
        <w:t xml:space="preserve">, RB12 is L.lactis). </w:t>
      </w:r>
      <w:r>
        <w:rPr>
          <w:rFonts w:ascii="Times New Roman" w:hAnsi="Times New Roman" w:eastAsia="楷体" w:cstheme="minorBidi"/>
          <w:sz w:val="24"/>
          <w:szCs w:val="22"/>
        </w:rPr>
        <w:t xml:space="preserve">B Gene numbers </w:t>
      </w:r>
      <w:r>
        <w:rPr>
          <w:rFonts w:hint="eastAsia" w:ascii="Times New Roman" w:hAnsi="Times New Roman" w:eastAsia="楷体" w:cstheme="minorBidi"/>
          <w:sz w:val="24"/>
          <w:szCs w:val="22"/>
        </w:rPr>
        <w:t xml:space="preserve">of NZZ1 </w:t>
      </w:r>
      <w:r>
        <w:rPr>
          <w:rFonts w:ascii="Times New Roman" w:hAnsi="Times New Roman" w:eastAsia="楷体" w:cstheme="minorBidi"/>
          <w:sz w:val="24"/>
          <w:szCs w:val="22"/>
        </w:rPr>
        <w:t>in the KEGG pathway</w:t>
      </w:r>
      <w:r>
        <w:rPr>
          <w:rFonts w:hint="eastAsia" w:ascii="Times New Roman" w:hAnsi="Times New Roman" w:eastAsia="楷体" w:cstheme="minorBidi"/>
          <w:sz w:val="24"/>
          <w:szCs w:val="22"/>
        </w:rPr>
        <w:t>.</w:t>
      </w:r>
    </w:p>
    <w:p w14:paraId="490E24B1">
      <w:pPr>
        <w:tabs>
          <w:tab w:val="left" w:pos="703"/>
        </w:tabs>
      </w:pPr>
    </w:p>
    <w:p w14:paraId="658E80A1">
      <w:pPr>
        <w:tabs>
          <w:tab w:val="left" w:pos="703"/>
        </w:tabs>
      </w:pPr>
    </w:p>
    <w:p w14:paraId="66D5B0E0">
      <w:pPr>
        <w:tabs>
          <w:tab w:val="left" w:pos="703"/>
        </w:tabs>
      </w:pPr>
    </w:p>
    <w:p w14:paraId="3100CDD7">
      <w:pPr>
        <w:tabs>
          <w:tab w:val="left" w:pos="703"/>
        </w:tabs>
      </w:pPr>
    </w:p>
    <w:p w14:paraId="4E8AE870">
      <w:pPr>
        <w:tabs>
          <w:tab w:val="left" w:pos="703"/>
        </w:tabs>
        <w:rPr>
          <w:rFonts w:hint="eastAsia"/>
        </w:rPr>
      </w:pPr>
      <w:r>
        <w:drawing>
          <wp:inline distT="0" distB="0" distL="0" distR="0">
            <wp:extent cx="5279390" cy="7553325"/>
            <wp:effectExtent l="0" t="0" r="0" b="0"/>
            <wp:docPr id="1353094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09491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755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3DE662">
      <w:pPr>
        <w:rPr>
          <w:b/>
          <w:bCs/>
        </w:rPr>
      </w:pPr>
      <w:bookmarkStart w:id="1" w:name="_Ref218452139"/>
      <w:r>
        <w:t>Figure S</w:t>
      </w:r>
      <w:r>
        <w:fldChar w:fldCharType="begin"/>
      </w:r>
      <w:r>
        <w:instrText xml:space="preserve"> SEQ Figure_S \* ARABIC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bookmarkEnd w:id="1"/>
      <w:r>
        <w:t>: Glycolysis and Gluconeogenesis metabolic pathways. Red represents Strain NZZ1 vs. strain RB12</w:t>
      </w:r>
      <w:r>
        <w:rPr>
          <w:rFonts w:hint="eastAsia"/>
        </w:rPr>
        <w:t xml:space="preserve"> </w:t>
      </w:r>
      <w:r>
        <w:t>significantly upregulated and green represents significant downregulation KEGG Orthologys (KOs)</w:t>
      </w:r>
      <w:r>
        <w:rPr>
          <w:rFonts w:hint="eastAsia"/>
        </w:rPr>
        <w:t xml:space="preserve">. </w:t>
      </w:r>
      <w:r>
        <w:t>Red represents an upward adjustment, green represents a downward adjustment, and the darker the color, the more significant it is.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5A6E7E"/>
    <w:rsid w:val="001855EB"/>
    <w:rsid w:val="00294988"/>
    <w:rsid w:val="005A6E7E"/>
    <w:rsid w:val="005B1246"/>
    <w:rsid w:val="007C49C1"/>
    <w:rsid w:val="007D7539"/>
    <w:rsid w:val="00AE512A"/>
    <w:rsid w:val="6A22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496" w:themeColor="accent1" w:themeShade="BF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85858" w:themeColor="text1" w:themeTint="A6"/>
    </w:rPr>
  </w:style>
  <w:style w:type="character" w:default="1" w:styleId="17">
    <w:name w:val="Default Paragraph Font"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asciiTheme="minorHAnsi" w:hAnsiTheme="minorHAnsi" w:eastAsiaTheme="minorEastAsia" w:cstheme="majorBidi"/>
      <w:color w:val="2F5496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asciiTheme="minorHAnsi" w:hAnsiTheme="minorHAnsi" w:eastAsiaTheme="minorEastAsia" w:cstheme="majorBidi"/>
      <w:color w:val="2F5496" w:themeColor="accent1" w:themeShade="BF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asciiTheme="minorHAnsi" w:hAnsiTheme="minorHAnsi" w:eastAsiaTheme="minorEastAsia" w:cstheme="majorBidi"/>
      <w:b/>
      <w:bCs/>
      <w:color w:val="2F5496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85858" w:themeColor="text1" w:themeTint="A6"/>
    </w:rPr>
  </w:style>
  <w:style w:type="character" w:customStyle="1" w:styleId="26">
    <w:name w:val="标题 9 字符"/>
    <w:basedOn w:val="17"/>
    <w:link w:val="10"/>
    <w:semiHidden/>
    <w:uiPriority w:val="9"/>
    <w:rPr>
      <w:rFonts w:asciiTheme="minorHAnsi" w:hAnsiTheme="minorHAnsi"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49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496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table" w:customStyle="1" w:styleId="38">
    <w:name w:val="网格表 4 - 着色 31"/>
    <w:basedOn w:val="16"/>
    <w:qFormat/>
    <w:uiPriority w:val="49"/>
    <w:rPr>
      <w:kern w:val="0"/>
      <w:sz w:val="20"/>
      <w:szCs w:val="20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705</Characters>
  <Lines>6</Lines>
  <Paragraphs>1</Paragraphs>
  <TotalTime>4</TotalTime>
  <ScaleCrop>false</ScaleCrop>
  <LinksUpToDate>false</LinksUpToDate>
  <CharactersWithSpaces>801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2026-01-07T13:55:00Z</dcterms:created>
  <dc:creator>chuan zhang</dc:creator>
  <cp:lastModifiedBy>long.for倾城</cp:lastModifiedBy>
  <dcterms:modified xsi:type="dcterms:W3CDTF">2026-01-24T15:02:01Z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eyJoZGlkIjoiMzEwNTM5NzYwMDRjMzkwZTVkZjY2ODkwMGIxNGU0OTUiLCJ1c2VySWQiOiI4NzA2MzAyMDkifQ==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5B37F592D7A44CE1AD6BFB8886637C0A_12</vt:lpwstr>
  </property>
</Properties>
</file>