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CBE64" w14:textId="77777777" w:rsidR="00B44811" w:rsidRPr="00FA61C2" w:rsidRDefault="00B44811">
      <w:pPr>
        <w:rPr>
          <w:rFonts w:ascii="Helvetica" w:hAnsi="Helvetica"/>
          <w:sz w:val="22"/>
          <w:szCs w:val="22"/>
        </w:rPr>
      </w:pPr>
    </w:p>
    <w:p w14:paraId="182E0081" w14:textId="26303EB1" w:rsidR="00E3149B" w:rsidRPr="00FA61C2" w:rsidRDefault="00B44811">
      <w:pPr>
        <w:rPr>
          <w:rFonts w:ascii="Helvetica" w:hAnsi="Helvetica"/>
          <w:b/>
          <w:bCs/>
          <w:sz w:val="22"/>
          <w:szCs w:val="22"/>
        </w:rPr>
      </w:pPr>
      <w:r w:rsidRPr="00FA61C2">
        <w:rPr>
          <w:rFonts w:ascii="Helvetica" w:hAnsi="Helvetica"/>
          <w:b/>
          <w:bCs/>
          <w:sz w:val="22"/>
          <w:szCs w:val="22"/>
        </w:rPr>
        <w:t xml:space="preserve">Supplementary Figure 1: Parasites recrudescing after HFG-selection with mutations in </w:t>
      </w:r>
      <w:r w:rsidRPr="00FA61C2">
        <w:rPr>
          <w:rFonts w:ascii="Helvetica" w:hAnsi="Helvetica"/>
          <w:b/>
          <w:bCs/>
          <w:i/>
          <w:iCs/>
          <w:sz w:val="22"/>
          <w:szCs w:val="22"/>
        </w:rPr>
        <w:t>pfapiat2</w:t>
      </w:r>
      <w:r w:rsidRPr="00FA61C2">
        <w:rPr>
          <w:rFonts w:ascii="Helvetica" w:hAnsi="Helvetica"/>
          <w:b/>
          <w:bCs/>
          <w:sz w:val="22"/>
          <w:szCs w:val="22"/>
        </w:rPr>
        <w:t xml:space="preserve"> locus show increased survival under HFG pressure.</w:t>
      </w:r>
    </w:p>
    <w:p w14:paraId="73AC4550" w14:textId="46AED8F4" w:rsidR="00B44811" w:rsidRPr="00FA61C2" w:rsidRDefault="00B44811">
      <w:pPr>
        <w:rPr>
          <w:rFonts w:ascii="Helvetica" w:hAnsi="Helvetica"/>
          <w:sz w:val="22"/>
          <w:szCs w:val="22"/>
        </w:rPr>
      </w:pPr>
      <w:r w:rsidRPr="00FA61C2">
        <w:rPr>
          <w:rFonts w:ascii="Helvetica" w:hAnsi="Helvetica"/>
          <w:sz w:val="22"/>
          <w:szCs w:val="22"/>
        </w:rPr>
        <w:t>Ring stage parasites were assessed for survival under HFG drug pressure in a standard 72hr assay</w:t>
      </w:r>
      <w:r w:rsidR="007B13EA" w:rsidRPr="00FA61C2">
        <w:rPr>
          <w:rFonts w:ascii="Helvetica" w:hAnsi="Helvetica"/>
          <w:sz w:val="22"/>
          <w:szCs w:val="22"/>
        </w:rPr>
        <w:t xml:space="preserve"> and showed </w:t>
      </w:r>
      <w:r w:rsidR="00FA61C2" w:rsidRPr="00FA61C2">
        <w:rPr>
          <w:rFonts w:ascii="Helvetica" w:hAnsi="Helvetica"/>
          <w:sz w:val="22"/>
          <w:szCs w:val="22"/>
        </w:rPr>
        <w:t xml:space="preserve">a comparable shift in </w:t>
      </w:r>
      <w:r w:rsidR="007B13EA" w:rsidRPr="00FA61C2">
        <w:rPr>
          <w:rFonts w:ascii="Helvetica" w:hAnsi="Helvetica"/>
          <w:sz w:val="22"/>
          <w:szCs w:val="22"/>
        </w:rPr>
        <w:t>EC</w:t>
      </w:r>
      <w:r w:rsidR="007B13EA" w:rsidRPr="00FA61C2">
        <w:rPr>
          <w:rFonts w:ascii="Helvetica" w:hAnsi="Helvetica"/>
          <w:sz w:val="22"/>
          <w:szCs w:val="22"/>
          <w:vertAlign w:val="subscript"/>
        </w:rPr>
        <w:t>50</w:t>
      </w:r>
      <w:r w:rsidR="00FA61C2" w:rsidRPr="00FA61C2">
        <w:rPr>
          <w:rFonts w:ascii="Helvetica" w:hAnsi="Helvetica"/>
          <w:sz w:val="22"/>
          <w:szCs w:val="22"/>
        </w:rPr>
        <w:t xml:space="preserve"> as previously reported [20] and no shift in survival under control compounds atovaquone (ATQ) and </w:t>
      </w:r>
      <w:proofErr w:type="spellStart"/>
      <w:r w:rsidR="00FA61C2" w:rsidRPr="00FA61C2">
        <w:rPr>
          <w:rFonts w:ascii="Helvetica" w:hAnsi="Helvetica"/>
          <w:sz w:val="22"/>
          <w:szCs w:val="22"/>
        </w:rPr>
        <w:t>dihydroartemisinin</w:t>
      </w:r>
      <w:proofErr w:type="spellEnd"/>
      <w:r w:rsidR="00FA61C2" w:rsidRPr="00FA61C2">
        <w:rPr>
          <w:rFonts w:ascii="Helvetica" w:hAnsi="Helvetica"/>
          <w:sz w:val="22"/>
          <w:szCs w:val="22"/>
        </w:rPr>
        <w:t xml:space="preserve"> (DHA) (HFG WT vs G449R P&lt;0.0001, WT vs R345I P&lt;0.0001, One-way ANOVA, post-hoc Holm-</w:t>
      </w:r>
      <w:proofErr w:type="spellStart"/>
      <w:r w:rsidR="00FA61C2" w:rsidRPr="00FA61C2">
        <w:rPr>
          <w:rFonts w:ascii="Helvetica" w:hAnsi="Helvetica"/>
          <w:sz w:val="22"/>
          <w:szCs w:val="22"/>
        </w:rPr>
        <w:t>Šídák's</w:t>
      </w:r>
      <w:proofErr w:type="spellEnd"/>
      <w:r w:rsidR="00FA61C2" w:rsidRPr="00FA61C2">
        <w:rPr>
          <w:rFonts w:ascii="Helvetica" w:hAnsi="Helvetica"/>
          <w:sz w:val="22"/>
          <w:szCs w:val="22"/>
        </w:rPr>
        <w:t xml:space="preserve"> multiple comparisons correction). EC</w:t>
      </w:r>
      <w:r w:rsidR="00FA61C2" w:rsidRPr="00FA61C2">
        <w:rPr>
          <w:rFonts w:ascii="Helvetica" w:hAnsi="Helvetica"/>
          <w:sz w:val="22"/>
          <w:szCs w:val="22"/>
          <w:vertAlign w:val="subscript"/>
        </w:rPr>
        <w:t>50</w:t>
      </w:r>
      <w:r w:rsidR="00FA61C2" w:rsidRPr="00FA61C2">
        <w:rPr>
          <w:rFonts w:ascii="Helvetica" w:hAnsi="Helvetica"/>
          <w:sz w:val="22"/>
          <w:szCs w:val="22"/>
        </w:rPr>
        <w:t xml:space="preserve"> values from three independent biological replicates, measuring survival over a range of concentrations, with three technical replicates per concentration</w:t>
      </w:r>
      <w:r w:rsidR="0069175B" w:rsidRPr="00FA61C2">
        <w:rPr>
          <w:rFonts w:ascii="Helvetica" w:hAnsi="Helvetica"/>
          <w:sz w:val="22"/>
          <w:szCs w:val="22"/>
        </w:rPr>
        <w:t>.</w:t>
      </w:r>
      <w:r w:rsidR="00FA61C2" w:rsidRPr="00FA61C2">
        <w:rPr>
          <w:rFonts w:ascii="Helvetica" w:hAnsi="Helvetica"/>
          <w:sz w:val="22"/>
          <w:szCs w:val="22"/>
        </w:rPr>
        <w:t xml:space="preserve"> All comparisons and details of statistical tests provided in Supplementary Data 1.</w:t>
      </w:r>
    </w:p>
    <w:p w14:paraId="4266948A" w14:textId="77777777" w:rsidR="007B13EA" w:rsidRPr="00FA61C2" w:rsidRDefault="007B13EA">
      <w:pPr>
        <w:rPr>
          <w:rFonts w:ascii="Helvetica" w:hAnsi="Helvetica"/>
          <w:sz w:val="22"/>
          <w:szCs w:val="22"/>
        </w:rPr>
      </w:pPr>
    </w:p>
    <w:p w14:paraId="3D72CA18" w14:textId="6450078C" w:rsidR="0017164B" w:rsidRPr="00FA61C2" w:rsidRDefault="007B13EA">
      <w:pPr>
        <w:rPr>
          <w:rFonts w:ascii="Helvetica" w:hAnsi="Helvetica"/>
          <w:b/>
          <w:bCs/>
          <w:sz w:val="22"/>
          <w:szCs w:val="22"/>
        </w:rPr>
      </w:pPr>
      <w:r w:rsidRPr="00FA61C2">
        <w:rPr>
          <w:rFonts w:ascii="Helvetica" w:hAnsi="Helvetica"/>
          <w:b/>
          <w:bCs/>
          <w:sz w:val="22"/>
          <w:szCs w:val="22"/>
        </w:rPr>
        <w:t>Supplementary Figure 2: HFG-R oocysts do</w:t>
      </w:r>
      <w:r w:rsidR="00C177CB">
        <w:rPr>
          <w:rFonts w:ascii="Helvetica" w:hAnsi="Helvetica"/>
          <w:b/>
          <w:bCs/>
          <w:sz w:val="22"/>
          <w:szCs w:val="22"/>
        </w:rPr>
        <w:t xml:space="preserve"> not</w:t>
      </w:r>
      <w:r w:rsidRPr="00FA61C2">
        <w:rPr>
          <w:rFonts w:ascii="Helvetica" w:hAnsi="Helvetica"/>
          <w:b/>
          <w:bCs/>
          <w:sz w:val="22"/>
          <w:szCs w:val="22"/>
        </w:rPr>
        <w:t xml:space="preserve"> inc</w:t>
      </w:r>
      <w:r w:rsidR="00645C3B" w:rsidRPr="00FA61C2">
        <w:rPr>
          <w:rFonts w:ascii="Helvetica" w:hAnsi="Helvetica"/>
          <w:b/>
          <w:bCs/>
          <w:sz w:val="22"/>
          <w:szCs w:val="22"/>
        </w:rPr>
        <w:t>rease in size over an additional 7 or 14 days of development</w:t>
      </w:r>
      <w:r w:rsidR="00120D88" w:rsidRPr="00FA61C2">
        <w:rPr>
          <w:rFonts w:ascii="Helvetica" w:hAnsi="Helvetica"/>
          <w:b/>
          <w:bCs/>
          <w:sz w:val="22"/>
          <w:szCs w:val="22"/>
        </w:rPr>
        <w:t>.</w:t>
      </w:r>
    </w:p>
    <w:p w14:paraId="06FA6663" w14:textId="2E10CB2F" w:rsidR="00FA61C2" w:rsidRPr="00FA61C2" w:rsidRDefault="0017164B" w:rsidP="00FA61C2">
      <w:pPr>
        <w:rPr>
          <w:rFonts w:ascii="Helvetica" w:hAnsi="Helvetica"/>
          <w:sz w:val="22"/>
          <w:szCs w:val="22"/>
        </w:rPr>
      </w:pPr>
      <w:r w:rsidRPr="00FA61C2">
        <w:rPr>
          <w:rFonts w:ascii="Helvetica" w:hAnsi="Helvetica"/>
          <w:sz w:val="22"/>
          <w:szCs w:val="22"/>
        </w:rPr>
        <w:t>Oocyst development was assessed in mosquitoes infected with WT, G449R and R345I oocysts at 14</w:t>
      </w:r>
      <w:r w:rsidR="00FA61C2" w:rsidRPr="00FA61C2">
        <w:rPr>
          <w:rFonts w:ascii="Helvetica" w:hAnsi="Helvetica"/>
          <w:sz w:val="22"/>
          <w:szCs w:val="22"/>
        </w:rPr>
        <w:t xml:space="preserve"> (left)</w:t>
      </w:r>
      <w:r w:rsidRPr="00FA61C2">
        <w:rPr>
          <w:rFonts w:ascii="Helvetica" w:hAnsi="Helvetica"/>
          <w:sz w:val="22"/>
          <w:szCs w:val="22"/>
        </w:rPr>
        <w:t xml:space="preserve"> and 21dpi</w:t>
      </w:r>
      <w:r w:rsidR="00FA61C2" w:rsidRPr="00FA61C2">
        <w:rPr>
          <w:rFonts w:ascii="Helvetica" w:hAnsi="Helvetica"/>
          <w:sz w:val="22"/>
          <w:szCs w:val="22"/>
        </w:rPr>
        <w:t xml:space="preserve"> (right). </w:t>
      </w:r>
      <w:r w:rsidRPr="00FA61C2">
        <w:rPr>
          <w:rFonts w:ascii="Helvetica" w:hAnsi="Helvetica"/>
          <w:sz w:val="22"/>
          <w:szCs w:val="22"/>
        </w:rPr>
        <w:t>HFG-R oocysts do not show an increase in size, unable to catch up to WT</w:t>
      </w:r>
      <w:r w:rsidR="00FE7783">
        <w:rPr>
          <w:rFonts w:ascii="Helvetica" w:hAnsi="Helvetica"/>
          <w:sz w:val="22"/>
          <w:szCs w:val="22"/>
        </w:rPr>
        <w:t xml:space="preserve"> </w:t>
      </w:r>
      <w:r w:rsidR="00FA61C2" w:rsidRPr="00FA61C2">
        <w:rPr>
          <w:rFonts w:ascii="Helvetica" w:hAnsi="Helvetica"/>
          <w:sz w:val="22"/>
          <w:szCs w:val="22"/>
        </w:rPr>
        <w:t>(14dpi WT vs R345I P&lt;0.0001, WT vs G449R P&lt;0.0001; 21dpi 14dpi WT vs R345I P&lt;0.0001, WT vs G449R P&lt;0.0001, Kruskal-Wallis with post-hoc Dunn’s correction)</w:t>
      </w:r>
      <w:r w:rsidRPr="00FA61C2">
        <w:rPr>
          <w:rFonts w:ascii="Helvetica" w:hAnsi="Helvetica"/>
          <w:sz w:val="22"/>
          <w:szCs w:val="22"/>
        </w:rPr>
        <w:t xml:space="preserve">. </w:t>
      </w:r>
      <w:r w:rsidR="00FA61C2" w:rsidRPr="00FA61C2">
        <w:rPr>
          <w:rFonts w:ascii="Helvetica" w:hAnsi="Helvetica"/>
          <w:sz w:val="22"/>
          <w:szCs w:val="22"/>
        </w:rPr>
        <w:t>All comparisons and details of statistical tests provided in Supplementary Data 1.</w:t>
      </w:r>
    </w:p>
    <w:p w14:paraId="579A9D26" w14:textId="77777777" w:rsidR="0017164B" w:rsidRPr="00FA61C2" w:rsidRDefault="0017164B">
      <w:pPr>
        <w:rPr>
          <w:rFonts w:ascii="Helvetica" w:hAnsi="Helvetica"/>
          <w:sz w:val="22"/>
          <w:szCs w:val="22"/>
        </w:rPr>
      </w:pPr>
    </w:p>
    <w:p w14:paraId="45CEED36" w14:textId="45B6E9EC" w:rsidR="0017164B" w:rsidRPr="00FA61C2" w:rsidRDefault="0017164B">
      <w:pPr>
        <w:rPr>
          <w:rFonts w:ascii="Helvetica" w:hAnsi="Helvetica"/>
          <w:b/>
          <w:bCs/>
          <w:sz w:val="22"/>
          <w:szCs w:val="22"/>
        </w:rPr>
      </w:pPr>
      <w:r w:rsidRPr="00FA61C2">
        <w:rPr>
          <w:rFonts w:ascii="Helvetica" w:hAnsi="Helvetica"/>
          <w:b/>
          <w:bCs/>
          <w:sz w:val="22"/>
          <w:szCs w:val="22"/>
        </w:rPr>
        <w:t xml:space="preserve">Supplementary Figure 3: Successful genetic disruption of </w:t>
      </w:r>
      <w:r w:rsidRPr="00FA61C2">
        <w:rPr>
          <w:rFonts w:ascii="Helvetica" w:hAnsi="Helvetica"/>
          <w:b/>
          <w:bCs/>
          <w:i/>
          <w:iCs/>
          <w:sz w:val="22"/>
          <w:szCs w:val="22"/>
        </w:rPr>
        <w:t xml:space="preserve">pfapiat2 </w:t>
      </w:r>
      <w:r w:rsidRPr="00FA61C2">
        <w:rPr>
          <w:rFonts w:ascii="Helvetica" w:hAnsi="Helvetica"/>
          <w:b/>
          <w:bCs/>
          <w:sz w:val="22"/>
          <w:szCs w:val="22"/>
        </w:rPr>
        <w:t xml:space="preserve">was assessed via </w:t>
      </w:r>
      <w:r w:rsidR="0073650D" w:rsidRPr="00FA61C2">
        <w:rPr>
          <w:rFonts w:ascii="Helvetica" w:hAnsi="Helvetica"/>
          <w:b/>
          <w:bCs/>
          <w:sz w:val="22"/>
          <w:szCs w:val="22"/>
        </w:rPr>
        <w:t xml:space="preserve">PCR around integration site and </w:t>
      </w:r>
      <w:r w:rsidRPr="00FA61C2">
        <w:rPr>
          <w:rFonts w:ascii="Helvetica" w:hAnsi="Helvetica"/>
          <w:b/>
          <w:bCs/>
          <w:sz w:val="22"/>
          <w:szCs w:val="22"/>
        </w:rPr>
        <w:t>survival under HFG-pressure.</w:t>
      </w:r>
    </w:p>
    <w:p w14:paraId="01A62331" w14:textId="3026F3C1" w:rsidR="0017164B" w:rsidRPr="00FA61C2" w:rsidRDefault="00FA61C2">
      <w:pPr>
        <w:rPr>
          <w:rFonts w:ascii="Helvetica" w:hAnsi="Helvetica"/>
          <w:sz w:val="22"/>
          <w:szCs w:val="22"/>
        </w:rPr>
      </w:pPr>
      <w:r w:rsidRPr="00FA61C2">
        <w:rPr>
          <w:rFonts w:ascii="Helvetica" w:hAnsi="Helvetica"/>
          <w:sz w:val="22"/>
          <w:szCs w:val="22"/>
        </w:rPr>
        <w:t>A</w:t>
      </w:r>
      <w:r w:rsidR="0069175B" w:rsidRPr="00FA61C2">
        <w:rPr>
          <w:rFonts w:ascii="Helvetica" w:hAnsi="Helvetica"/>
          <w:sz w:val="22"/>
          <w:szCs w:val="22"/>
        </w:rPr>
        <w:t xml:space="preserve">: PCR of integration site, showing location of primers to confirm integration of </w:t>
      </w:r>
      <w:proofErr w:type="spellStart"/>
      <w:r w:rsidR="0069175B" w:rsidRPr="00FA61C2">
        <w:rPr>
          <w:rFonts w:ascii="Helvetica" w:hAnsi="Helvetica"/>
          <w:sz w:val="22"/>
          <w:szCs w:val="22"/>
        </w:rPr>
        <w:t>hDHFR</w:t>
      </w:r>
      <w:proofErr w:type="spellEnd"/>
      <w:r w:rsidR="0069175B" w:rsidRPr="00FA61C2">
        <w:rPr>
          <w:rFonts w:ascii="Helvetica" w:hAnsi="Helvetica"/>
          <w:sz w:val="22"/>
          <w:szCs w:val="22"/>
        </w:rPr>
        <w:t xml:space="preserve"> cassette in the </w:t>
      </w:r>
      <w:r w:rsidR="0069175B" w:rsidRPr="00FA61C2">
        <w:rPr>
          <w:rFonts w:ascii="Helvetica" w:hAnsi="Helvetica"/>
          <w:i/>
          <w:iCs/>
          <w:sz w:val="22"/>
          <w:szCs w:val="22"/>
        </w:rPr>
        <w:t xml:space="preserve">pfapiat2 </w:t>
      </w:r>
      <w:r w:rsidR="0069175B" w:rsidRPr="00FA61C2">
        <w:rPr>
          <w:rFonts w:ascii="Helvetica" w:hAnsi="Helvetica"/>
          <w:sz w:val="22"/>
          <w:szCs w:val="22"/>
        </w:rPr>
        <w:t xml:space="preserve">locus. Gel electrophoresis of PCR products confirmed the presence of transgenic DNA insert in </w:t>
      </w:r>
      <w:r w:rsidR="0069175B" w:rsidRPr="00FA61C2">
        <w:rPr>
          <w:rFonts w:ascii="Helvetica" w:hAnsi="Helvetica"/>
          <w:i/>
          <w:iCs/>
          <w:sz w:val="22"/>
          <w:szCs w:val="22"/>
        </w:rPr>
        <w:t xml:space="preserve">pfapiat2 </w:t>
      </w:r>
      <w:r w:rsidR="0069175B" w:rsidRPr="00FA61C2">
        <w:rPr>
          <w:rFonts w:ascii="Helvetica" w:hAnsi="Helvetica"/>
          <w:sz w:val="22"/>
          <w:szCs w:val="22"/>
        </w:rPr>
        <w:t xml:space="preserve">locus in the transgenic parasites, but not in the WT, and confirmed the absence of WT DNA in transgenic PfApiAT2-KO parasites. PCR products run on the same gel the same time, cropped for ease of visualizing. </w:t>
      </w:r>
      <w:r w:rsidRPr="00FA61C2">
        <w:rPr>
          <w:rFonts w:ascii="Helvetica" w:hAnsi="Helvetica"/>
          <w:sz w:val="22"/>
          <w:szCs w:val="22"/>
        </w:rPr>
        <w:t>B</w:t>
      </w:r>
      <w:r w:rsidR="0017164B" w:rsidRPr="00FA61C2">
        <w:rPr>
          <w:rFonts w:ascii="Helvetica" w:hAnsi="Helvetica"/>
          <w:sz w:val="22"/>
          <w:szCs w:val="22"/>
        </w:rPr>
        <w:t xml:space="preserve">: </w:t>
      </w:r>
      <w:r w:rsidRPr="00FA61C2">
        <w:rPr>
          <w:rFonts w:ascii="Helvetica" w:hAnsi="Helvetica"/>
          <w:sz w:val="22"/>
          <w:szCs w:val="22"/>
        </w:rPr>
        <w:t>PfApiAT2-KO asexual blood-stage parasites show increased s</w:t>
      </w:r>
      <w:r w:rsidR="0017164B" w:rsidRPr="00FA61C2">
        <w:rPr>
          <w:rFonts w:ascii="Helvetica" w:hAnsi="Helvetica"/>
          <w:sz w:val="22"/>
          <w:szCs w:val="22"/>
        </w:rPr>
        <w:t xml:space="preserve">urvival under HFG pressure </w:t>
      </w:r>
      <w:r w:rsidRPr="00FA61C2">
        <w:rPr>
          <w:rFonts w:ascii="Helvetica" w:hAnsi="Helvetica"/>
          <w:sz w:val="22"/>
          <w:szCs w:val="22"/>
        </w:rPr>
        <w:t xml:space="preserve">as previously reported [20] but not under control compounds atovaquone (ATQ) and </w:t>
      </w:r>
      <w:proofErr w:type="spellStart"/>
      <w:r w:rsidRPr="00FA61C2">
        <w:rPr>
          <w:rFonts w:ascii="Helvetica" w:hAnsi="Helvetica"/>
          <w:sz w:val="22"/>
          <w:szCs w:val="22"/>
        </w:rPr>
        <w:t>dihydroartemisinin</w:t>
      </w:r>
      <w:proofErr w:type="spellEnd"/>
      <w:r w:rsidRPr="00FA61C2">
        <w:rPr>
          <w:rFonts w:ascii="Helvetica" w:hAnsi="Helvetica"/>
          <w:sz w:val="22"/>
          <w:szCs w:val="22"/>
        </w:rPr>
        <w:t xml:space="preserve"> (DHA) (HFG WT vs PfApiAT2-KO P&lt;0.0001, One-way ANOVA, post-hoc Holm-</w:t>
      </w:r>
      <w:proofErr w:type="spellStart"/>
      <w:r w:rsidRPr="00FA61C2">
        <w:rPr>
          <w:rFonts w:ascii="Helvetica" w:hAnsi="Helvetica"/>
          <w:sz w:val="22"/>
          <w:szCs w:val="22"/>
        </w:rPr>
        <w:t>Šídák's</w:t>
      </w:r>
      <w:proofErr w:type="spellEnd"/>
      <w:r w:rsidRPr="00FA61C2">
        <w:rPr>
          <w:rFonts w:ascii="Helvetica" w:hAnsi="Helvetica"/>
          <w:sz w:val="22"/>
          <w:szCs w:val="22"/>
        </w:rPr>
        <w:t xml:space="preserve"> multiple comparisons correction). EC</w:t>
      </w:r>
      <w:r w:rsidRPr="00FA61C2">
        <w:rPr>
          <w:rFonts w:ascii="Helvetica" w:hAnsi="Helvetica"/>
          <w:sz w:val="22"/>
          <w:szCs w:val="22"/>
          <w:vertAlign w:val="subscript"/>
        </w:rPr>
        <w:t>50</w:t>
      </w:r>
      <w:r w:rsidRPr="00FA61C2">
        <w:rPr>
          <w:rFonts w:ascii="Helvetica" w:hAnsi="Helvetica"/>
          <w:sz w:val="22"/>
          <w:szCs w:val="22"/>
        </w:rPr>
        <w:t xml:space="preserve"> values from three independent biological replicates, measuring survival over a range of concentrations, with three technical replicates per concentration. All comparisons and details of statistical tests provided in Supplementary Data 1.</w:t>
      </w:r>
    </w:p>
    <w:p w14:paraId="2F224594" w14:textId="77777777" w:rsidR="00A23814" w:rsidRPr="00FA61C2" w:rsidRDefault="00A23814">
      <w:pPr>
        <w:rPr>
          <w:rFonts w:ascii="Helvetica" w:hAnsi="Helvetica"/>
          <w:sz w:val="22"/>
          <w:szCs w:val="22"/>
        </w:rPr>
      </w:pPr>
    </w:p>
    <w:p w14:paraId="727352FB" w14:textId="51D36D77" w:rsidR="00A23814" w:rsidRPr="00FA61C2" w:rsidRDefault="00A23814">
      <w:pPr>
        <w:rPr>
          <w:rFonts w:ascii="Helvetica" w:hAnsi="Helvetica"/>
          <w:b/>
          <w:bCs/>
          <w:sz w:val="22"/>
          <w:szCs w:val="22"/>
        </w:rPr>
      </w:pPr>
      <w:r w:rsidRPr="00FA61C2">
        <w:rPr>
          <w:rFonts w:ascii="Helvetica" w:hAnsi="Helvetica"/>
          <w:b/>
          <w:bCs/>
          <w:sz w:val="22"/>
          <w:szCs w:val="22"/>
        </w:rPr>
        <w:t xml:space="preserve">Supplementary Figure 4: Successful integration of </w:t>
      </w:r>
      <w:proofErr w:type="spellStart"/>
      <w:r w:rsidRPr="00FA61C2">
        <w:rPr>
          <w:rFonts w:ascii="Helvetica" w:hAnsi="Helvetica"/>
          <w:b/>
          <w:bCs/>
          <w:sz w:val="22"/>
          <w:szCs w:val="22"/>
        </w:rPr>
        <w:t>smHA</w:t>
      </w:r>
      <w:proofErr w:type="spellEnd"/>
      <w:r w:rsidRPr="00FA61C2">
        <w:rPr>
          <w:rFonts w:ascii="Helvetica" w:hAnsi="Helvetica"/>
          <w:b/>
          <w:bCs/>
          <w:sz w:val="22"/>
          <w:szCs w:val="22"/>
        </w:rPr>
        <w:t xml:space="preserve"> tag at the C-terminus of PfApiAT2</w:t>
      </w:r>
      <w:r w:rsidR="00120D88" w:rsidRPr="00FA61C2">
        <w:rPr>
          <w:rFonts w:ascii="Helvetica" w:hAnsi="Helvetica"/>
          <w:b/>
          <w:bCs/>
          <w:sz w:val="22"/>
          <w:szCs w:val="22"/>
        </w:rPr>
        <w:t xml:space="preserve"> and localization to the membrane in asexual blood-stage transgenic parasites.</w:t>
      </w:r>
    </w:p>
    <w:p w14:paraId="5A2DF891" w14:textId="2821BE97" w:rsidR="00120D88" w:rsidRPr="00FA61C2" w:rsidRDefault="00120D88">
      <w:pPr>
        <w:rPr>
          <w:rFonts w:ascii="Helvetica" w:hAnsi="Helvetica"/>
          <w:sz w:val="22"/>
          <w:szCs w:val="22"/>
        </w:rPr>
      </w:pPr>
      <w:r w:rsidRPr="00FA61C2">
        <w:rPr>
          <w:rFonts w:ascii="Helvetica" w:hAnsi="Helvetica"/>
          <w:sz w:val="22"/>
          <w:szCs w:val="22"/>
        </w:rPr>
        <w:t xml:space="preserve">A: Schema of integration showing cut site and repair with linearized donor plasmid downstream of the </w:t>
      </w:r>
      <w:r w:rsidRPr="00FA61C2">
        <w:rPr>
          <w:rFonts w:ascii="Helvetica" w:hAnsi="Helvetica"/>
          <w:i/>
          <w:iCs/>
          <w:sz w:val="22"/>
          <w:szCs w:val="22"/>
        </w:rPr>
        <w:t>pfapiat2</w:t>
      </w:r>
      <w:r w:rsidRPr="00FA61C2">
        <w:rPr>
          <w:rFonts w:ascii="Helvetica" w:hAnsi="Helvetica"/>
          <w:sz w:val="22"/>
          <w:szCs w:val="22"/>
        </w:rPr>
        <w:t xml:space="preserve"> locus. B: PCR of integration site, showing location of primers to confirm integration of </w:t>
      </w:r>
      <w:proofErr w:type="spellStart"/>
      <w:r w:rsidRPr="00FA61C2">
        <w:rPr>
          <w:rFonts w:ascii="Helvetica" w:hAnsi="Helvetica"/>
          <w:sz w:val="22"/>
          <w:szCs w:val="22"/>
        </w:rPr>
        <w:t>smHA</w:t>
      </w:r>
      <w:proofErr w:type="spellEnd"/>
      <w:r w:rsidRPr="00FA61C2">
        <w:rPr>
          <w:rFonts w:ascii="Helvetica" w:hAnsi="Helvetica"/>
          <w:sz w:val="22"/>
          <w:szCs w:val="22"/>
        </w:rPr>
        <w:t xml:space="preserve"> tag at the C-terminus of the </w:t>
      </w:r>
      <w:r w:rsidRPr="00FA61C2">
        <w:rPr>
          <w:rFonts w:ascii="Helvetica" w:hAnsi="Helvetica"/>
          <w:i/>
          <w:iCs/>
          <w:sz w:val="22"/>
          <w:szCs w:val="22"/>
        </w:rPr>
        <w:t xml:space="preserve">pfapiat2 </w:t>
      </w:r>
      <w:r w:rsidRPr="00FA61C2">
        <w:rPr>
          <w:rFonts w:ascii="Helvetica" w:hAnsi="Helvetica"/>
          <w:sz w:val="22"/>
          <w:szCs w:val="22"/>
        </w:rPr>
        <w:t xml:space="preserve">locus and the </w:t>
      </w:r>
      <w:proofErr w:type="spellStart"/>
      <w:r w:rsidRPr="00FA61C2">
        <w:rPr>
          <w:rFonts w:ascii="Helvetica" w:hAnsi="Helvetica"/>
          <w:sz w:val="22"/>
          <w:szCs w:val="22"/>
        </w:rPr>
        <w:t>hDHFR</w:t>
      </w:r>
      <w:proofErr w:type="spellEnd"/>
      <w:r w:rsidRPr="00FA61C2">
        <w:rPr>
          <w:rFonts w:ascii="Helvetica" w:hAnsi="Helvetica"/>
          <w:sz w:val="22"/>
          <w:szCs w:val="22"/>
        </w:rPr>
        <w:t xml:space="preserve"> downstream. Gel electrophoresis of PCR products confirmed the presence of transgenic DNA insert in the transgenic parasites, but not in the WT, and confirmed the absence of WT DNA in transgenic PfApiAT2-</w:t>
      </w:r>
      <w:r w:rsidR="00680218" w:rsidRPr="00FA61C2">
        <w:rPr>
          <w:rFonts w:ascii="Helvetica" w:hAnsi="Helvetica"/>
          <w:sz w:val="22"/>
          <w:szCs w:val="22"/>
        </w:rPr>
        <w:t>smHA</w:t>
      </w:r>
      <w:r w:rsidRPr="00FA61C2">
        <w:rPr>
          <w:rFonts w:ascii="Helvetica" w:hAnsi="Helvetica"/>
          <w:sz w:val="22"/>
          <w:szCs w:val="22"/>
        </w:rPr>
        <w:t xml:space="preserve"> parasites. C: Confocal microscopy IFA of asexual blood-stage PfApiAT2-smHA parasites showing signal when stained </w:t>
      </w:r>
      <w:r w:rsidR="00497026" w:rsidRPr="00FA61C2">
        <w:rPr>
          <w:rFonts w:ascii="Helvetica" w:hAnsi="Helvetica"/>
          <w:sz w:val="22"/>
          <w:szCs w:val="22"/>
        </w:rPr>
        <w:t>with</w:t>
      </w:r>
      <w:r w:rsidRPr="00FA61C2">
        <w:rPr>
          <w:rFonts w:ascii="Helvetica" w:hAnsi="Helvetica"/>
          <w:sz w:val="22"/>
          <w:szCs w:val="22"/>
        </w:rPr>
        <w:t xml:space="preserve"> </w:t>
      </w:r>
      <w:r w:rsidR="00497026" w:rsidRPr="00FA61C2">
        <w:rPr>
          <w:rFonts w:ascii="Helvetica" w:hAnsi="Helvetica"/>
          <w:sz w:val="22"/>
          <w:szCs w:val="22"/>
        </w:rPr>
        <w:t xml:space="preserve">an </w:t>
      </w:r>
      <w:r w:rsidRPr="00FA61C2">
        <w:rPr>
          <w:rFonts w:ascii="Helvetica" w:hAnsi="Helvetica"/>
          <w:sz w:val="22"/>
          <w:szCs w:val="22"/>
        </w:rPr>
        <w:t xml:space="preserve">anti-HA </w:t>
      </w:r>
      <w:r w:rsidR="00497026" w:rsidRPr="00FA61C2">
        <w:rPr>
          <w:rFonts w:ascii="Helvetica" w:hAnsi="Helvetica"/>
          <w:sz w:val="22"/>
          <w:szCs w:val="22"/>
        </w:rPr>
        <w:t xml:space="preserve">(magenta) </w:t>
      </w:r>
      <w:r w:rsidRPr="00FA61C2">
        <w:rPr>
          <w:rFonts w:ascii="Helvetica" w:hAnsi="Helvetica"/>
          <w:sz w:val="22"/>
          <w:szCs w:val="22"/>
        </w:rPr>
        <w:t xml:space="preserve">antibody at the periphery of the parasite. GAPDH (yellow, cytoplasm), Hoechst (cyan, DNA) and wheat germ agglutinin WGA (white, RBC membrane) </w:t>
      </w:r>
      <w:r w:rsidR="00A17C18" w:rsidRPr="00FA61C2">
        <w:rPr>
          <w:rFonts w:ascii="Helvetica" w:hAnsi="Helvetica"/>
          <w:sz w:val="22"/>
          <w:szCs w:val="22"/>
        </w:rPr>
        <w:t xml:space="preserve">also </w:t>
      </w:r>
      <w:r w:rsidRPr="00FA61C2">
        <w:rPr>
          <w:rFonts w:ascii="Helvetica" w:hAnsi="Helvetica"/>
          <w:sz w:val="22"/>
          <w:szCs w:val="22"/>
        </w:rPr>
        <w:t xml:space="preserve">visualized. No HA signal was observed in WT parasites confirming specificity of signal. </w:t>
      </w:r>
    </w:p>
    <w:p w14:paraId="1680A025" w14:textId="77777777" w:rsidR="00120D88" w:rsidRPr="00FA61C2" w:rsidRDefault="00120D88">
      <w:pPr>
        <w:rPr>
          <w:rFonts w:ascii="Helvetica" w:hAnsi="Helvetica"/>
          <w:sz w:val="22"/>
          <w:szCs w:val="22"/>
        </w:rPr>
      </w:pPr>
    </w:p>
    <w:p w14:paraId="28B77CCF" w14:textId="64BD4791" w:rsidR="00120D88" w:rsidRPr="00FA61C2" w:rsidRDefault="000E4B3C">
      <w:pPr>
        <w:rPr>
          <w:rFonts w:ascii="Helvetica" w:hAnsi="Helvetica"/>
          <w:b/>
          <w:bCs/>
          <w:sz w:val="22"/>
          <w:szCs w:val="22"/>
        </w:rPr>
      </w:pPr>
      <w:r w:rsidRPr="00FA61C2">
        <w:rPr>
          <w:rFonts w:ascii="Helvetica" w:hAnsi="Helvetica"/>
          <w:b/>
          <w:bCs/>
          <w:sz w:val="22"/>
          <w:szCs w:val="22"/>
        </w:rPr>
        <w:t xml:space="preserve">Supplementary Figure 5: Heterologous expression of PfApiAT2 and PfApiAT2-mNG in </w:t>
      </w:r>
      <w:r w:rsidR="005A2943">
        <w:rPr>
          <w:rFonts w:ascii="Helvetica" w:hAnsi="Helvetica"/>
          <w:b/>
          <w:bCs/>
          <w:i/>
          <w:iCs/>
          <w:sz w:val="22"/>
          <w:szCs w:val="22"/>
        </w:rPr>
        <w:t>X.</w:t>
      </w:r>
      <w:r w:rsidRPr="00FA61C2">
        <w:rPr>
          <w:rFonts w:ascii="Helvetica" w:hAnsi="Helvetica"/>
          <w:b/>
          <w:bCs/>
          <w:i/>
          <w:iCs/>
          <w:sz w:val="22"/>
          <w:szCs w:val="22"/>
        </w:rPr>
        <w:t xml:space="preserve"> laevis </w:t>
      </w:r>
      <w:r w:rsidRPr="00FA61C2">
        <w:rPr>
          <w:rFonts w:ascii="Helvetica" w:hAnsi="Helvetica"/>
          <w:b/>
          <w:bCs/>
          <w:sz w:val="22"/>
          <w:szCs w:val="22"/>
        </w:rPr>
        <w:t xml:space="preserve">oocytes show membrane localization of </w:t>
      </w:r>
      <w:r w:rsidR="00BD6168" w:rsidRPr="00FA61C2">
        <w:rPr>
          <w:rFonts w:ascii="Helvetica" w:hAnsi="Helvetica"/>
          <w:b/>
          <w:bCs/>
          <w:sz w:val="22"/>
          <w:szCs w:val="22"/>
        </w:rPr>
        <w:t>PfA</w:t>
      </w:r>
      <w:r w:rsidR="005A2943">
        <w:rPr>
          <w:rFonts w:ascii="Helvetica" w:hAnsi="Helvetica"/>
          <w:b/>
          <w:bCs/>
          <w:sz w:val="22"/>
          <w:szCs w:val="22"/>
        </w:rPr>
        <w:t>p</w:t>
      </w:r>
      <w:r w:rsidR="00BD6168" w:rsidRPr="00FA61C2">
        <w:rPr>
          <w:rFonts w:ascii="Helvetica" w:hAnsi="Helvetica"/>
          <w:b/>
          <w:bCs/>
          <w:sz w:val="22"/>
          <w:szCs w:val="22"/>
        </w:rPr>
        <w:t>i</w:t>
      </w:r>
      <w:r w:rsidR="005A2943">
        <w:rPr>
          <w:rFonts w:ascii="Helvetica" w:hAnsi="Helvetica"/>
          <w:b/>
          <w:bCs/>
          <w:sz w:val="22"/>
          <w:szCs w:val="22"/>
        </w:rPr>
        <w:t>A</w:t>
      </w:r>
      <w:r w:rsidR="00BD6168" w:rsidRPr="00FA61C2">
        <w:rPr>
          <w:rFonts w:ascii="Helvetica" w:hAnsi="Helvetica"/>
          <w:b/>
          <w:bCs/>
          <w:sz w:val="22"/>
          <w:szCs w:val="22"/>
        </w:rPr>
        <w:t>T2-mNG,</w:t>
      </w:r>
      <w:r w:rsidRPr="00FA61C2">
        <w:rPr>
          <w:rFonts w:ascii="Helvetica" w:hAnsi="Helvetica"/>
          <w:b/>
          <w:bCs/>
          <w:sz w:val="22"/>
          <w:szCs w:val="22"/>
        </w:rPr>
        <w:t xml:space="preserve"> electro-neutral</w:t>
      </w:r>
      <w:r w:rsidR="00FB769B" w:rsidRPr="00FA61C2">
        <w:rPr>
          <w:rFonts w:ascii="Helvetica" w:hAnsi="Helvetica"/>
          <w:b/>
          <w:bCs/>
          <w:sz w:val="22"/>
          <w:szCs w:val="22"/>
        </w:rPr>
        <w:t>ity during proline flux</w:t>
      </w:r>
      <w:r w:rsidR="00BD6168" w:rsidRPr="00FA61C2">
        <w:rPr>
          <w:rFonts w:ascii="Helvetica" w:hAnsi="Helvetica"/>
          <w:b/>
          <w:bCs/>
          <w:sz w:val="22"/>
          <w:szCs w:val="22"/>
        </w:rPr>
        <w:t xml:space="preserve"> and a predicted electro-neutral transport pore</w:t>
      </w:r>
      <w:r w:rsidRPr="00FA61C2">
        <w:rPr>
          <w:rFonts w:ascii="Helvetica" w:hAnsi="Helvetica"/>
          <w:b/>
          <w:bCs/>
          <w:sz w:val="22"/>
          <w:szCs w:val="22"/>
        </w:rPr>
        <w:t>.</w:t>
      </w:r>
    </w:p>
    <w:p w14:paraId="6D3A0D43" w14:textId="3B71420A" w:rsidR="00B93308" w:rsidRPr="00FA61C2" w:rsidRDefault="000E4B3C">
      <w:pPr>
        <w:rPr>
          <w:rFonts w:ascii="Helvetica" w:hAnsi="Helvetica"/>
          <w:sz w:val="22"/>
          <w:szCs w:val="22"/>
        </w:rPr>
      </w:pPr>
      <w:r w:rsidRPr="00FA61C2">
        <w:rPr>
          <w:rFonts w:ascii="Helvetica" w:hAnsi="Helvetica"/>
          <w:sz w:val="22"/>
          <w:szCs w:val="22"/>
        </w:rPr>
        <w:lastRenderedPageBreak/>
        <w:t>A: Constructs used for heterologous expression: PfApiAT2 and PfApiAT2-mNeonGreen (</w:t>
      </w:r>
      <w:proofErr w:type="spellStart"/>
      <w:r w:rsidRPr="00FA61C2">
        <w:rPr>
          <w:rFonts w:ascii="Helvetica" w:hAnsi="Helvetica"/>
          <w:sz w:val="22"/>
          <w:szCs w:val="22"/>
        </w:rPr>
        <w:t>mNG</w:t>
      </w:r>
      <w:proofErr w:type="spellEnd"/>
      <w:r w:rsidRPr="00FA61C2">
        <w:rPr>
          <w:rFonts w:ascii="Helvetica" w:hAnsi="Helvetica"/>
          <w:sz w:val="22"/>
          <w:szCs w:val="22"/>
        </w:rPr>
        <w:t xml:space="preserve">) driven by a T7 promoter and stabilized by 5’ and 3’ </w:t>
      </w:r>
      <w:r w:rsidRPr="00C177CB">
        <w:rPr>
          <w:rFonts w:ascii="Helvetica" w:hAnsi="Helvetica"/>
          <w:i/>
          <w:iCs/>
          <w:sz w:val="22"/>
          <w:szCs w:val="22"/>
        </w:rPr>
        <w:t>Xenopus</w:t>
      </w:r>
      <w:r w:rsidRPr="00FA61C2">
        <w:rPr>
          <w:rFonts w:ascii="Helvetica" w:hAnsi="Helvetica"/>
          <w:sz w:val="22"/>
          <w:szCs w:val="22"/>
        </w:rPr>
        <w:t xml:space="preserve"> globin UTRs upstream and downstream of the gene</w:t>
      </w:r>
      <w:r w:rsidR="00C177CB">
        <w:rPr>
          <w:rFonts w:ascii="Helvetica" w:hAnsi="Helvetica"/>
          <w:sz w:val="22"/>
          <w:szCs w:val="22"/>
        </w:rPr>
        <w:t xml:space="preserve"> [29]</w:t>
      </w:r>
      <w:r w:rsidRPr="00FA61C2">
        <w:rPr>
          <w:rFonts w:ascii="Helvetica" w:hAnsi="Helvetica"/>
          <w:sz w:val="22"/>
          <w:szCs w:val="22"/>
        </w:rPr>
        <w:t xml:space="preserve">. B: Membrane localization </w:t>
      </w:r>
      <w:r w:rsidR="00FB769B" w:rsidRPr="00FA61C2">
        <w:rPr>
          <w:rFonts w:ascii="Helvetica" w:hAnsi="Helvetica"/>
          <w:sz w:val="22"/>
          <w:szCs w:val="22"/>
        </w:rPr>
        <w:t xml:space="preserve">of PfApiAT2-mNG at the plasma membrane of </w:t>
      </w:r>
      <w:r w:rsidR="00FB769B" w:rsidRPr="00FA61C2">
        <w:rPr>
          <w:rFonts w:ascii="Helvetica" w:hAnsi="Helvetica"/>
          <w:i/>
          <w:iCs/>
          <w:sz w:val="22"/>
          <w:szCs w:val="22"/>
        </w:rPr>
        <w:t xml:space="preserve">Xenopus </w:t>
      </w:r>
      <w:r w:rsidR="00FB769B" w:rsidRPr="00FA61C2">
        <w:rPr>
          <w:rFonts w:ascii="Helvetica" w:hAnsi="Helvetica"/>
          <w:sz w:val="22"/>
          <w:szCs w:val="22"/>
        </w:rPr>
        <w:t xml:space="preserve">oocytes, co-stained with membrane dye FM4-64. C: Proline flux </w:t>
      </w:r>
      <w:r w:rsidR="005A2943">
        <w:rPr>
          <w:rFonts w:ascii="Helvetica" w:hAnsi="Helvetica"/>
          <w:sz w:val="22"/>
          <w:szCs w:val="22"/>
        </w:rPr>
        <w:t>into</w:t>
      </w:r>
      <w:r w:rsidR="00FB769B" w:rsidRPr="00FA61C2">
        <w:rPr>
          <w:rFonts w:ascii="Helvetica" w:hAnsi="Helvetica"/>
          <w:sz w:val="22"/>
          <w:szCs w:val="22"/>
        </w:rPr>
        <w:t xml:space="preserve"> </w:t>
      </w:r>
      <w:r w:rsidR="00FB769B" w:rsidRPr="00FA61C2">
        <w:rPr>
          <w:rFonts w:ascii="Helvetica" w:hAnsi="Helvetica"/>
          <w:i/>
          <w:iCs/>
          <w:sz w:val="22"/>
          <w:szCs w:val="22"/>
        </w:rPr>
        <w:t xml:space="preserve">Xenopus </w:t>
      </w:r>
      <w:r w:rsidR="00FB769B" w:rsidRPr="00FA61C2">
        <w:rPr>
          <w:rFonts w:ascii="Helvetica" w:hAnsi="Helvetica"/>
          <w:sz w:val="22"/>
          <w:szCs w:val="22"/>
        </w:rPr>
        <w:t xml:space="preserve">oocytes 4 days post-injection with </w:t>
      </w:r>
      <w:proofErr w:type="spellStart"/>
      <w:r w:rsidR="00FB769B" w:rsidRPr="00FA61C2">
        <w:rPr>
          <w:rFonts w:ascii="Helvetica" w:hAnsi="Helvetica"/>
          <w:sz w:val="22"/>
          <w:szCs w:val="22"/>
        </w:rPr>
        <w:t>cRNA</w:t>
      </w:r>
      <w:proofErr w:type="spellEnd"/>
      <w:r w:rsidR="00FB769B" w:rsidRPr="00FA61C2">
        <w:rPr>
          <w:rFonts w:ascii="Helvetica" w:hAnsi="Helvetica"/>
          <w:sz w:val="22"/>
          <w:szCs w:val="22"/>
        </w:rPr>
        <w:t xml:space="preserve"> encoding PfApiAT2 results in no change in membrane potential when probed with either (</w:t>
      </w:r>
      <w:proofErr w:type="spellStart"/>
      <w:r w:rsidR="00FB769B" w:rsidRPr="00FA61C2">
        <w:rPr>
          <w:rFonts w:ascii="Helvetica" w:hAnsi="Helvetica"/>
          <w:sz w:val="22"/>
          <w:szCs w:val="22"/>
        </w:rPr>
        <w:t>i</w:t>
      </w:r>
      <w:proofErr w:type="spellEnd"/>
      <w:r w:rsidR="00FB769B" w:rsidRPr="00FA61C2">
        <w:rPr>
          <w:rFonts w:ascii="Helvetica" w:hAnsi="Helvetica"/>
          <w:sz w:val="22"/>
          <w:szCs w:val="22"/>
        </w:rPr>
        <w:t>) -80mV or (ii) +80mV across the membrane.</w:t>
      </w:r>
      <w:r w:rsidR="00B65DE1" w:rsidRPr="00FA61C2">
        <w:rPr>
          <w:rFonts w:ascii="Helvetica" w:hAnsi="Helvetica"/>
          <w:sz w:val="22"/>
          <w:szCs w:val="22"/>
        </w:rPr>
        <w:t xml:space="preserve"> Data shown is representative of two biological replicates.</w:t>
      </w:r>
      <w:r w:rsidR="00FB769B" w:rsidRPr="00FA61C2">
        <w:rPr>
          <w:rFonts w:ascii="Helvetica" w:hAnsi="Helvetica"/>
          <w:sz w:val="22"/>
          <w:szCs w:val="22"/>
        </w:rPr>
        <w:t xml:space="preserve"> D: </w:t>
      </w:r>
      <w:r w:rsidR="000D034C" w:rsidRPr="00FA61C2">
        <w:rPr>
          <w:rFonts w:ascii="Helvetica" w:hAnsi="Helvetica"/>
          <w:sz w:val="22"/>
          <w:szCs w:val="22"/>
        </w:rPr>
        <w:t>(</w:t>
      </w:r>
      <w:proofErr w:type="spellStart"/>
      <w:r w:rsidR="000D034C" w:rsidRPr="00FA61C2">
        <w:rPr>
          <w:rFonts w:ascii="Helvetica" w:hAnsi="Helvetica"/>
          <w:sz w:val="22"/>
          <w:szCs w:val="22"/>
        </w:rPr>
        <w:t>i</w:t>
      </w:r>
      <w:proofErr w:type="spellEnd"/>
      <w:r w:rsidR="000D034C" w:rsidRPr="00FA61C2">
        <w:rPr>
          <w:rFonts w:ascii="Helvetica" w:hAnsi="Helvetica"/>
          <w:sz w:val="22"/>
          <w:szCs w:val="22"/>
        </w:rPr>
        <w:t xml:space="preserve">) </w:t>
      </w:r>
      <w:r w:rsidR="00FB769B" w:rsidRPr="00FA61C2">
        <w:rPr>
          <w:rFonts w:ascii="Helvetica" w:hAnsi="Helvetica"/>
          <w:sz w:val="22"/>
          <w:szCs w:val="22"/>
        </w:rPr>
        <w:t>AlphaFold structural prediction of PfApiAT2</w:t>
      </w:r>
      <w:r w:rsidR="000D034C" w:rsidRPr="00FA61C2">
        <w:rPr>
          <w:rFonts w:ascii="Helvetica" w:hAnsi="Helvetica"/>
          <w:sz w:val="22"/>
          <w:szCs w:val="22"/>
        </w:rPr>
        <w:t>. (ii, iii)</w:t>
      </w:r>
      <w:r w:rsidR="00FB769B" w:rsidRPr="00FA61C2">
        <w:rPr>
          <w:rFonts w:ascii="Helvetica" w:hAnsi="Helvetica"/>
          <w:sz w:val="22"/>
          <w:szCs w:val="22"/>
        </w:rPr>
        <w:t xml:space="preserve"> </w:t>
      </w:r>
      <w:r w:rsidR="000D034C" w:rsidRPr="00FA61C2">
        <w:rPr>
          <w:rFonts w:ascii="Helvetica" w:hAnsi="Helvetica"/>
          <w:sz w:val="22"/>
          <w:szCs w:val="22"/>
        </w:rPr>
        <w:t xml:space="preserve">A large electropositive bias is predicted on one face of the protein, likely to be the cytoplasmic side. (iv, v) Sections through the predicted structure (orange overlay in ii and iii) show </w:t>
      </w:r>
      <w:r w:rsidR="00BD6168" w:rsidRPr="00FA61C2">
        <w:rPr>
          <w:rFonts w:ascii="Helvetica" w:hAnsi="Helvetica"/>
          <w:sz w:val="22"/>
          <w:szCs w:val="22"/>
        </w:rPr>
        <w:t xml:space="preserve">both electro-positive and electro-neutral transport channel. </w:t>
      </w:r>
    </w:p>
    <w:p w14:paraId="15A53363" w14:textId="77777777" w:rsidR="00B93308" w:rsidRPr="00FA61C2" w:rsidRDefault="00B93308">
      <w:pPr>
        <w:rPr>
          <w:rFonts w:ascii="Helvetica" w:hAnsi="Helvetica"/>
          <w:sz w:val="22"/>
          <w:szCs w:val="22"/>
        </w:rPr>
      </w:pPr>
    </w:p>
    <w:p w14:paraId="698B794C" w14:textId="5FF3390B" w:rsidR="00BD6168" w:rsidRPr="00FA61C2" w:rsidRDefault="00FB769B">
      <w:pPr>
        <w:rPr>
          <w:rFonts w:ascii="Helvetica" w:hAnsi="Helvetica"/>
          <w:b/>
          <w:bCs/>
          <w:sz w:val="22"/>
          <w:szCs w:val="22"/>
        </w:rPr>
      </w:pPr>
      <w:r w:rsidRPr="00FA61C2">
        <w:rPr>
          <w:rFonts w:ascii="Helvetica" w:hAnsi="Helvetica"/>
          <w:b/>
          <w:bCs/>
          <w:sz w:val="22"/>
          <w:szCs w:val="22"/>
        </w:rPr>
        <w:t xml:space="preserve">Supplementary </w:t>
      </w:r>
      <w:r w:rsidR="00BD6168" w:rsidRPr="00FA61C2">
        <w:rPr>
          <w:rFonts w:ascii="Helvetica" w:hAnsi="Helvetica"/>
          <w:b/>
          <w:bCs/>
          <w:sz w:val="22"/>
          <w:szCs w:val="22"/>
        </w:rPr>
        <w:t xml:space="preserve">Figure </w:t>
      </w:r>
      <w:r w:rsidR="009603BE" w:rsidRPr="00FA61C2">
        <w:rPr>
          <w:rFonts w:ascii="Helvetica" w:hAnsi="Helvetica"/>
          <w:b/>
          <w:bCs/>
          <w:sz w:val="22"/>
          <w:szCs w:val="22"/>
        </w:rPr>
        <w:t>6</w:t>
      </w:r>
      <w:r w:rsidR="00BD6168" w:rsidRPr="00FA61C2">
        <w:rPr>
          <w:rFonts w:ascii="Helvetica" w:hAnsi="Helvetica"/>
          <w:b/>
          <w:bCs/>
          <w:sz w:val="22"/>
          <w:szCs w:val="22"/>
        </w:rPr>
        <w:t xml:space="preserve">: The </w:t>
      </w:r>
      <w:r w:rsidR="00BD6168" w:rsidRPr="00FA61C2">
        <w:rPr>
          <w:rFonts w:ascii="Helvetica" w:hAnsi="Helvetica"/>
          <w:b/>
          <w:bCs/>
          <w:i/>
          <w:iCs/>
          <w:sz w:val="22"/>
          <w:szCs w:val="22"/>
        </w:rPr>
        <w:t xml:space="preserve">pfapiat2 </w:t>
      </w:r>
      <w:r w:rsidR="00BD6168" w:rsidRPr="00FA61C2">
        <w:rPr>
          <w:rFonts w:ascii="Helvetica" w:hAnsi="Helvetica"/>
          <w:b/>
          <w:bCs/>
          <w:sz w:val="22"/>
          <w:szCs w:val="22"/>
        </w:rPr>
        <w:t xml:space="preserve">locus has fewer nonsynonymous to synonymous mutation rate compared to pan-genome median from clinical isolates. </w:t>
      </w:r>
    </w:p>
    <w:p w14:paraId="5823F1E3" w14:textId="76909FE4" w:rsidR="00BD6168" w:rsidRPr="00FA61C2" w:rsidRDefault="00BD6168">
      <w:pPr>
        <w:rPr>
          <w:rFonts w:ascii="Helvetica" w:hAnsi="Helvetica"/>
          <w:sz w:val="22"/>
          <w:szCs w:val="22"/>
        </w:rPr>
      </w:pPr>
      <w:r w:rsidRPr="00FA61C2">
        <w:rPr>
          <w:rFonts w:ascii="Helvetica" w:hAnsi="Helvetica"/>
          <w:sz w:val="22"/>
          <w:szCs w:val="22"/>
        </w:rPr>
        <w:t xml:space="preserve">A: Nonsynonymous to synonymous mutation values extracted from </w:t>
      </w:r>
      <w:proofErr w:type="spellStart"/>
      <w:r w:rsidRPr="00FA61C2">
        <w:rPr>
          <w:rFonts w:ascii="Helvetica" w:hAnsi="Helvetica"/>
          <w:sz w:val="22"/>
          <w:szCs w:val="22"/>
        </w:rPr>
        <w:t>PlasmoDB</w:t>
      </w:r>
      <w:proofErr w:type="spellEnd"/>
      <w:r w:rsidRPr="00FA61C2">
        <w:rPr>
          <w:rFonts w:ascii="Helvetica" w:hAnsi="Helvetica"/>
          <w:sz w:val="22"/>
          <w:szCs w:val="22"/>
        </w:rPr>
        <w:t xml:space="preserve"> were compared for all genes across the parasite genome. Median across the genome (black) is greater than </w:t>
      </w:r>
      <w:r w:rsidRPr="00FA61C2">
        <w:rPr>
          <w:rFonts w:ascii="Helvetica" w:hAnsi="Helvetica"/>
          <w:i/>
          <w:iCs/>
          <w:sz w:val="22"/>
          <w:szCs w:val="22"/>
        </w:rPr>
        <w:t xml:space="preserve">pfapiat2 </w:t>
      </w:r>
      <w:r w:rsidRPr="00FA61C2">
        <w:rPr>
          <w:rFonts w:ascii="Helvetica" w:hAnsi="Helvetica"/>
          <w:sz w:val="22"/>
          <w:szCs w:val="22"/>
        </w:rPr>
        <w:t xml:space="preserve">(red), confirming purifying selective pressure despite blood-stage dispensability. B: SNPs observed in </w:t>
      </w:r>
      <w:r w:rsidRPr="00FA61C2">
        <w:rPr>
          <w:rFonts w:ascii="Helvetica" w:hAnsi="Helvetica"/>
          <w:i/>
          <w:iCs/>
          <w:sz w:val="22"/>
          <w:szCs w:val="22"/>
        </w:rPr>
        <w:t xml:space="preserve">pfapiat2 </w:t>
      </w:r>
      <w:r w:rsidRPr="00FA61C2">
        <w:rPr>
          <w:rFonts w:ascii="Helvetica" w:hAnsi="Helvetica"/>
          <w:sz w:val="22"/>
          <w:szCs w:val="22"/>
        </w:rPr>
        <w:t>are rare and low abundance</w:t>
      </w:r>
      <w:r w:rsidR="003E4E58" w:rsidRPr="00FA61C2">
        <w:rPr>
          <w:rFonts w:ascii="Helvetica" w:hAnsi="Helvetica"/>
          <w:sz w:val="22"/>
          <w:szCs w:val="22"/>
        </w:rPr>
        <w:t xml:space="preserve">. </w:t>
      </w:r>
      <w:r w:rsidR="00415A57" w:rsidRPr="00FA61C2">
        <w:rPr>
          <w:rFonts w:ascii="Helvetica" w:hAnsi="Helvetica"/>
          <w:sz w:val="22"/>
          <w:szCs w:val="22"/>
        </w:rPr>
        <w:t xml:space="preserve">Mutations in </w:t>
      </w:r>
      <w:r w:rsidR="00415A57" w:rsidRPr="00FA61C2">
        <w:rPr>
          <w:rFonts w:ascii="Helvetica" w:hAnsi="Helvetica"/>
          <w:i/>
          <w:iCs/>
          <w:sz w:val="22"/>
          <w:szCs w:val="22"/>
        </w:rPr>
        <w:t xml:space="preserve">pfapiat2 </w:t>
      </w:r>
      <w:r w:rsidR="00415A57" w:rsidRPr="00FA61C2">
        <w:rPr>
          <w:rFonts w:ascii="Helvetica" w:hAnsi="Helvetica"/>
          <w:sz w:val="22"/>
          <w:szCs w:val="22"/>
        </w:rPr>
        <w:t>were extracted from the Pf8 database</w:t>
      </w:r>
      <w:r w:rsidR="007318E1" w:rsidRPr="00FA61C2">
        <w:rPr>
          <w:rFonts w:ascii="Helvetica" w:hAnsi="Helvetica"/>
          <w:sz w:val="22"/>
          <w:szCs w:val="22"/>
        </w:rPr>
        <w:t xml:space="preserve">, </w:t>
      </w:r>
      <w:r w:rsidR="00C16A4C">
        <w:rPr>
          <w:rFonts w:ascii="Helvetica" w:hAnsi="Helvetica"/>
          <w:sz w:val="22"/>
          <w:szCs w:val="22"/>
        </w:rPr>
        <w:t xml:space="preserve">and nonsynonymous mutations were found to be very </w:t>
      </w:r>
      <w:proofErr w:type="gramStart"/>
      <w:r w:rsidR="00C16A4C">
        <w:rPr>
          <w:rFonts w:ascii="Helvetica" w:hAnsi="Helvetica"/>
          <w:sz w:val="22"/>
          <w:szCs w:val="22"/>
        </w:rPr>
        <w:t>low-abundance</w:t>
      </w:r>
      <w:proofErr w:type="gramEnd"/>
      <w:r w:rsidR="00C16A4C">
        <w:rPr>
          <w:rFonts w:ascii="Helvetica" w:hAnsi="Helvetica"/>
          <w:sz w:val="22"/>
          <w:szCs w:val="22"/>
        </w:rPr>
        <w:t xml:space="preserve"> in the population </w:t>
      </w:r>
      <w:r w:rsidR="007318E1" w:rsidRPr="00FA61C2">
        <w:rPr>
          <w:rFonts w:ascii="Helvetica" w:hAnsi="Helvetica"/>
          <w:sz w:val="22"/>
          <w:szCs w:val="22"/>
        </w:rPr>
        <w:t>indicating a strong conservation of sequence across the locus</w:t>
      </w:r>
      <w:r w:rsidR="009C3D58" w:rsidRPr="00FA61C2">
        <w:rPr>
          <w:rFonts w:ascii="Helvetica" w:hAnsi="Helvetica"/>
          <w:sz w:val="22"/>
          <w:szCs w:val="22"/>
        </w:rPr>
        <w:t>.</w:t>
      </w:r>
    </w:p>
    <w:sectPr w:rsidR="00BD6168" w:rsidRPr="00FA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1B5"/>
    <w:multiLevelType w:val="hybridMultilevel"/>
    <w:tmpl w:val="45483372"/>
    <w:lvl w:ilvl="0" w:tplc="A24CC37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pStyle w:val="NotesTitle"/>
      <w:lvlText w:val="%2."/>
      <w:lvlJc w:val="left"/>
      <w:pPr>
        <w:ind w:left="1440" w:hanging="360"/>
      </w:pPr>
    </w:lvl>
    <w:lvl w:ilvl="2" w:tplc="0409001B">
      <w:start w:val="1"/>
      <w:numFmt w:val="lowerRoman"/>
      <w:pStyle w:val="Notesgeneraltext"/>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A52487"/>
    <w:multiLevelType w:val="hybridMultilevel"/>
    <w:tmpl w:val="F7F636BE"/>
    <w:lvl w:ilvl="0" w:tplc="070CD112">
      <w:start w:val="1"/>
      <w:numFmt w:val="lowerLetter"/>
      <w:pStyle w:val="Notessub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129978">
    <w:abstractNumId w:val="0"/>
  </w:num>
  <w:num w:numId="2" w16cid:durableId="1744137479">
    <w:abstractNumId w:val="0"/>
  </w:num>
  <w:num w:numId="3" w16cid:durableId="1835292049">
    <w:abstractNumId w:val="0"/>
  </w:num>
  <w:num w:numId="4" w16cid:durableId="1298032170">
    <w:abstractNumId w:val="0"/>
  </w:num>
  <w:num w:numId="5" w16cid:durableId="198469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11"/>
    <w:rsid w:val="00006DD9"/>
    <w:rsid w:val="000076FB"/>
    <w:rsid w:val="0002036F"/>
    <w:rsid w:val="0002555C"/>
    <w:rsid w:val="00032803"/>
    <w:rsid w:val="00032BE8"/>
    <w:rsid w:val="00045594"/>
    <w:rsid w:val="00062698"/>
    <w:rsid w:val="0006271D"/>
    <w:rsid w:val="0007619C"/>
    <w:rsid w:val="000926EB"/>
    <w:rsid w:val="00095141"/>
    <w:rsid w:val="000A146E"/>
    <w:rsid w:val="000A4B34"/>
    <w:rsid w:val="000C67BD"/>
    <w:rsid w:val="000D034C"/>
    <w:rsid w:val="000D1AE0"/>
    <w:rsid w:val="000D7DB8"/>
    <w:rsid w:val="000E3FD7"/>
    <w:rsid w:val="000E4B3C"/>
    <w:rsid w:val="000E7EC2"/>
    <w:rsid w:val="000F2694"/>
    <w:rsid w:val="000F5020"/>
    <w:rsid w:val="000F59A0"/>
    <w:rsid w:val="000F727F"/>
    <w:rsid w:val="00100ED6"/>
    <w:rsid w:val="00107DAE"/>
    <w:rsid w:val="00117ACE"/>
    <w:rsid w:val="001209EE"/>
    <w:rsid w:val="00120D88"/>
    <w:rsid w:val="00127881"/>
    <w:rsid w:val="0013023A"/>
    <w:rsid w:val="00132EBB"/>
    <w:rsid w:val="00137761"/>
    <w:rsid w:val="001420B1"/>
    <w:rsid w:val="0014337F"/>
    <w:rsid w:val="00146E8B"/>
    <w:rsid w:val="00162839"/>
    <w:rsid w:val="00163E1B"/>
    <w:rsid w:val="0017164B"/>
    <w:rsid w:val="00185D4E"/>
    <w:rsid w:val="00186893"/>
    <w:rsid w:val="00190AFC"/>
    <w:rsid w:val="001A2E3F"/>
    <w:rsid w:val="001B31F2"/>
    <w:rsid w:val="001B37DA"/>
    <w:rsid w:val="001B59BF"/>
    <w:rsid w:val="001C1DD5"/>
    <w:rsid w:val="001D0407"/>
    <w:rsid w:val="001D1F8D"/>
    <w:rsid w:val="001D4F9E"/>
    <w:rsid w:val="001D5DDD"/>
    <w:rsid w:val="001E28A1"/>
    <w:rsid w:val="001F46C7"/>
    <w:rsid w:val="001F4AC0"/>
    <w:rsid w:val="00202835"/>
    <w:rsid w:val="00203593"/>
    <w:rsid w:val="00207561"/>
    <w:rsid w:val="00211CF7"/>
    <w:rsid w:val="002202EA"/>
    <w:rsid w:val="00227030"/>
    <w:rsid w:val="00227E3C"/>
    <w:rsid w:val="00234367"/>
    <w:rsid w:val="00240449"/>
    <w:rsid w:val="00241ED5"/>
    <w:rsid w:val="00257ECD"/>
    <w:rsid w:val="0026747C"/>
    <w:rsid w:val="00271DE5"/>
    <w:rsid w:val="0027504A"/>
    <w:rsid w:val="002772CF"/>
    <w:rsid w:val="002836C4"/>
    <w:rsid w:val="00295860"/>
    <w:rsid w:val="002A0FE4"/>
    <w:rsid w:val="002B59D4"/>
    <w:rsid w:val="002D3126"/>
    <w:rsid w:val="002D3EE4"/>
    <w:rsid w:val="002D77DA"/>
    <w:rsid w:val="002E52D9"/>
    <w:rsid w:val="002F0515"/>
    <w:rsid w:val="00300DD3"/>
    <w:rsid w:val="0031188E"/>
    <w:rsid w:val="00315D38"/>
    <w:rsid w:val="00321EE7"/>
    <w:rsid w:val="00332BEE"/>
    <w:rsid w:val="003331EE"/>
    <w:rsid w:val="00341690"/>
    <w:rsid w:val="0034516E"/>
    <w:rsid w:val="003461BD"/>
    <w:rsid w:val="003477B6"/>
    <w:rsid w:val="00347A00"/>
    <w:rsid w:val="00347F79"/>
    <w:rsid w:val="0036191A"/>
    <w:rsid w:val="003628B7"/>
    <w:rsid w:val="003638BC"/>
    <w:rsid w:val="00364448"/>
    <w:rsid w:val="00365BE3"/>
    <w:rsid w:val="00373DC1"/>
    <w:rsid w:val="0037566B"/>
    <w:rsid w:val="00376F2A"/>
    <w:rsid w:val="00382480"/>
    <w:rsid w:val="00384222"/>
    <w:rsid w:val="00385381"/>
    <w:rsid w:val="003909BF"/>
    <w:rsid w:val="003A0344"/>
    <w:rsid w:val="003A25F0"/>
    <w:rsid w:val="003A2CB6"/>
    <w:rsid w:val="003A3649"/>
    <w:rsid w:val="003B59CD"/>
    <w:rsid w:val="003D0FC2"/>
    <w:rsid w:val="003D4186"/>
    <w:rsid w:val="003E053B"/>
    <w:rsid w:val="003E1134"/>
    <w:rsid w:val="003E3C7B"/>
    <w:rsid w:val="003E4E58"/>
    <w:rsid w:val="003F4107"/>
    <w:rsid w:val="00402FCC"/>
    <w:rsid w:val="00406D46"/>
    <w:rsid w:val="00415A57"/>
    <w:rsid w:val="00425719"/>
    <w:rsid w:val="004460BB"/>
    <w:rsid w:val="0045026C"/>
    <w:rsid w:val="00454134"/>
    <w:rsid w:val="0045562D"/>
    <w:rsid w:val="00464AC0"/>
    <w:rsid w:val="00465A42"/>
    <w:rsid w:val="0047229C"/>
    <w:rsid w:val="00473842"/>
    <w:rsid w:val="00476DA8"/>
    <w:rsid w:val="00477853"/>
    <w:rsid w:val="00487987"/>
    <w:rsid w:val="00496DF1"/>
    <w:rsid w:val="00497016"/>
    <w:rsid w:val="00497026"/>
    <w:rsid w:val="004B3174"/>
    <w:rsid w:val="004E049F"/>
    <w:rsid w:val="004E369A"/>
    <w:rsid w:val="004E6055"/>
    <w:rsid w:val="005055F3"/>
    <w:rsid w:val="005314AF"/>
    <w:rsid w:val="005314DD"/>
    <w:rsid w:val="00533C2B"/>
    <w:rsid w:val="005359AA"/>
    <w:rsid w:val="00535DE1"/>
    <w:rsid w:val="005371E9"/>
    <w:rsid w:val="005424E5"/>
    <w:rsid w:val="00544FD6"/>
    <w:rsid w:val="00554156"/>
    <w:rsid w:val="00554235"/>
    <w:rsid w:val="0055531F"/>
    <w:rsid w:val="00556DE8"/>
    <w:rsid w:val="00565800"/>
    <w:rsid w:val="00580EBB"/>
    <w:rsid w:val="005874E0"/>
    <w:rsid w:val="005907F8"/>
    <w:rsid w:val="00595E83"/>
    <w:rsid w:val="005A2943"/>
    <w:rsid w:val="005A7858"/>
    <w:rsid w:val="005B1842"/>
    <w:rsid w:val="005B6DB2"/>
    <w:rsid w:val="005C2F79"/>
    <w:rsid w:val="005E58B6"/>
    <w:rsid w:val="005E6850"/>
    <w:rsid w:val="006012AC"/>
    <w:rsid w:val="00605CE2"/>
    <w:rsid w:val="00622892"/>
    <w:rsid w:val="006231B9"/>
    <w:rsid w:val="00625821"/>
    <w:rsid w:val="0063333F"/>
    <w:rsid w:val="00634435"/>
    <w:rsid w:val="00634D22"/>
    <w:rsid w:val="00645C3B"/>
    <w:rsid w:val="00656497"/>
    <w:rsid w:val="00657630"/>
    <w:rsid w:val="00663876"/>
    <w:rsid w:val="00670DF4"/>
    <w:rsid w:val="00670F5B"/>
    <w:rsid w:val="00675A9E"/>
    <w:rsid w:val="00680218"/>
    <w:rsid w:val="00683DA7"/>
    <w:rsid w:val="0069175B"/>
    <w:rsid w:val="00691AC9"/>
    <w:rsid w:val="006A5C70"/>
    <w:rsid w:val="006B1DAC"/>
    <w:rsid w:val="006B4250"/>
    <w:rsid w:val="006C118D"/>
    <w:rsid w:val="006C177E"/>
    <w:rsid w:val="006C37DF"/>
    <w:rsid w:val="006C55F9"/>
    <w:rsid w:val="006C7260"/>
    <w:rsid w:val="006C78CA"/>
    <w:rsid w:val="006C7AD6"/>
    <w:rsid w:val="006D4099"/>
    <w:rsid w:val="006D5050"/>
    <w:rsid w:val="006E6AF8"/>
    <w:rsid w:val="00700FEA"/>
    <w:rsid w:val="00702E45"/>
    <w:rsid w:val="00703FDE"/>
    <w:rsid w:val="00711FF8"/>
    <w:rsid w:val="00715DEE"/>
    <w:rsid w:val="007318E1"/>
    <w:rsid w:val="0073650D"/>
    <w:rsid w:val="00751E9E"/>
    <w:rsid w:val="007631C6"/>
    <w:rsid w:val="00765C79"/>
    <w:rsid w:val="007669A2"/>
    <w:rsid w:val="007867F8"/>
    <w:rsid w:val="00786A32"/>
    <w:rsid w:val="00793453"/>
    <w:rsid w:val="007936D5"/>
    <w:rsid w:val="00793E2E"/>
    <w:rsid w:val="007971C7"/>
    <w:rsid w:val="007B13EA"/>
    <w:rsid w:val="007C6A96"/>
    <w:rsid w:val="007D1D63"/>
    <w:rsid w:val="007D4851"/>
    <w:rsid w:val="007E707C"/>
    <w:rsid w:val="007E7421"/>
    <w:rsid w:val="007E797F"/>
    <w:rsid w:val="007E7A4C"/>
    <w:rsid w:val="007E7FA1"/>
    <w:rsid w:val="00803AB3"/>
    <w:rsid w:val="008056AE"/>
    <w:rsid w:val="008170C1"/>
    <w:rsid w:val="00835B9C"/>
    <w:rsid w:val="00836B09"/>
    <w:rsid w:val="00837C97"/>
    <w:rsid w:val="00846EE4"/>
    <w:rsid w:val="008519FE"/>
    <w:rsid w:val="00853391"/>
    <w:rsid w:val="00860433"/>
    <w:rsid w:val="0086416F"/>
    <w:rsid w:val="00870273"/>
    <w:rsid w:val="00872595"/>
    <w:rsid w:val="00875CA8"/>
    <w:rsid w:val="008814CC"/>
    <w:rsid w:val="008B34FA"/>
    <w:rsid w:val="008C187E"/>
    <w:rsid w:val="008C33E1"/>
    <w:rsid w:val="008D2FE4"/>
    <w:rsid w:val="008D7238"/>
    <w:rsid w:val="008E0760"/>
    <w:rsid w:val="008E2312"/>
    <w:rsid w:val="008E4125"/>
    <w:rsid w:val="008E67E1"/>
    <w:rsid w:val="008E7AB8"/>
    <w:rsid w:val="008F673C"/>
    <w:rsid w:val="008F799A"/>
    <w:rsid w:val="0090510B"/>
    <w:rsid w:val="00907D33"/>
    <w:rsid w:val="009118A4"/>
    <w:rsid w:val="00922716"/>
    <w:rsid w:val="00924FCF"/>
    <w:rsid w:val="00931C69"/>
    <w:rsid w:val="009401CD"/>
    <w:rsid w:val="0094186D"/>
    <w:rsid w:val="009443F8"/>
    <w:rsid w:val="009579AF"/>
    <w:rsid w:val="009602D7"/>
    <w:rsid w:val="009603BE"/>
    <w:rsid w:val="00977C81"/>
    <w:rsid w:val="00982DE8"/>
    <w:rsid w:val="009871C9"/>
    <w:rsid w:val="00990792"/>
    <w:rsid w:val="0099092D"/>
    <w:rsid w:val="00994F4B"/>
    <w:rsid w:val="009B1E4F"/>
    <w:rsid w:val="009B7DC3"/>
    <w:rsid w:val="009C34C6"/>
    <w:rsid w:val="009C3D58"/>
    <w:rsid w:val="009D0549"/>
    <w:rsid w:val="009D2C75"/>
    <w:rsid w:val="009D4088"/>
    <w:rsid w:val="009D47FD"/>
    <w:rsid w:val="009D4DDE"/>
    <w:rsid w:val="009E6F16"/>
    <w:rsid w:val="00A04EBF"/>
    <w:rsid w:val="00A06209"/>
    <w:rsid w:val="00A13228"/>
    <w:rsid w:val="00A141B3"/>
    <w:rsid w:val="00A17C18"/>
    <w:rsid w:val="00A22199"/>
    <w:rsid w:val="00A23814"/>
    <w:rsid w:val="00A2536A"/>
    <w:rsid w:val="00A31CFF"/>
    <w:rsid w:val="00A328D7"/>
    <w:rsid w:val="00A34149"/>
    <w:rsid w:val="00A35659"/>
    <w:rsid w:val="00A4586F"/>
    <w:rsid w:val="00A645FB"/>
    <w:rsid w:val="00A6599C"/>
    <w:rsid w:val="00A670F4"/>
    <w:rsid w:val="00A7075D"/>
    <w:rsid w:val="00A711F3"/>
    <w:rsid w:val="00A7175F"/>
    <w:rsid w:val="00A71F06"/>
    <w:rsid w:val="00A852F1"/>
    <w:rsid w:val="00A8569A"/>
    <w:rsid w:val="00A904BB"/>
    <w:rsid w:val="00A91748"/>
    <w:rsid w:val="00A94B82"/>
    <w:rsid w:val="00AA1767"/>
    <w:rsid w:val="00AA777F"/>
    <w:rsid w:val="00AC58F8"/>
    <w:rsid w:val="00AC7651"/>
    <w:rsid w:val="00AD0420"/>
    <w:rsid w:val="00AD6012"/>
    <w:rsid w:val="00AD73A8"/>
    <w:rsid w:val="00AF5560"/>
    <w:rsid w:val="00B14674"/>
    <w:rsid w:val="00B25277"/>
    <w:rsid w:val="00B44811"/>
    <w:rsid w:val="00B50B08"/>
    <w:rsid w:val="00B56E85"/>
    <w:rsid w:val="00B60669"/>
    <w:rsid w:val="00B622F0"/>
    <w:rsid w:val="00B636A0"/>
    <w:rsid w:val="00B644DB"/>
    <w:rsid w:val="00B65DE1"/>
    <w:rsid w:val="00B70DCC"/>
    <w:rsid w:val="00B74CC7"/>
    <w:rsid w:val="00B75896"/>
    <w:rsid w:val="00B817A6"/>
    <w:rsid w:val="00B861D0"/>
    <w:rsid w:val="00B91B12"/>
    <w:rsid w:val="00B93167"/>
    <w:rsid w:val="00B93308"/>
    <w:rsid w:val="00B955A0"/>
    <w:rsid w:val="00B965E4"/>
    <w:rsid w:val="00BA6F1D"/>
    <w:rsid w:val="00BB1B3D"/>
    <w:rsid w:val="00BC049F"/>
    <w:rsid w:val="00BD6168"/>
    <w:rsid w:val="00BE3415"/>
    <w:rsid w:val="00C16A4C"/>
    <w:rsid w:val="00C177CB"/>
    <w:rsid w:val="00C17CE3"/>
    <w:rsid w:val="00C2133E"/>
    <w:rsid w:val="00C31FED"/>
    <w:rsid w:val="00C322CE"/>
    <w:rsid w:val="00C40323"/>
    <w:rsid w:val="00C45FE3"/>
    <w:rsid w:val="00C5570C"/>
    <w:rsid w:val="00C66ED7"/>
    <w:rsid w:val="00C71D81"/>
    <w:rsid w:val="00C7370C"/>
    <w:rsid w:val="00C82D6E"/>
    <w:rsid w:val="00CA4976"/>
    <w:rsid w:val="00CA5A5B"/>
    <w:rsid w:val="00CB6C8F"/>
    <w:rsid w:val="00CB703A"/>
    <w:rsid w:val="00CC20A9"/>
    <w:rsid w:val="00CC702B"/>
    <w:rsid w:val="00CD55B7"/>
    <w:rsid w:val="00CE3FA9"/>
    <w:rsid w:val="00CE63CE"/>
    <w:rsid w:val="00CE700D"/>
    <w:rsid w:val="00D0094D"/>
    <w:rsid w:val="00D0239B"/>
    <w:rsid w:val="00D059C1"/>
    <w:rsid w:val="00D0656E"/>
    <w:rsid w:val="00D202B2"/>
    <w:rsid w:val="00D35766"/>
    <w:rsid w:val="00D42896"/>
    <w:rsid w:val="00D44554"/>
    <w:rsid w:val="00D451FB"/>
    <w:rsid w:val="00D46306"/>
    <w:rsid w:val="00D56D86"/>
    <w:rsid w:val="00D62010"/>
    <w:rsid w:val="00D72E4E"/>
    <w:rsid w:val="00D73A95"/>
    <w:rsid w:val="00D73FD3"/>
    <w:rsid w:val="00D84ACB"/>
    <w:rsid w:val="00D85F0A"/>
    <w:rsid w:val="00D86A13"/>
    <w:rsid w:val="00D87065"/>
    <w:rsid w:val="00D9107A"/>
    <w:rsid w:val="00D9611F"/>
    <w:rsid w:val="00D9665B"/>
    <w:rsid w:val="00D969DC"/>
    <w:rsid w:val="00DA2BB1"/>
    <w:rsid w:val="00DA4CCB"/>
    <w:rsid w:val="00DA5949"/>
    <w:rsid w:val="00DB54CD"/>
    <w:rsid w:val="00DC0D6F"/>
    <w:rsid w:val="00DC5DAA"/>
    <w:rsid w:val="00DC60D3"/>
    <w:rsid w:val="00DD1875"/>
    <w:rsid w:val="00DE6FFA"/>
    <w:rsid w:val="00DF1DD3"/>
    <w:rsid w:val="00DF4467"/>
    <w:rsid w:val="00E203C7"/>
    <w:rsid w:val="00E30813"/>
    <w:rsid w:val="00E3149B"/>
    <w:rsid w:val="00E522F0"/>
    <w:rsid w:val="00E60E93"/>
    <w:rsid w:val="00E6167E"/>
    <w:rsid w:val="00E61B6D"/>
    <w:rsid w:val="00E64834"/>
    <w:rsid w:val="00E70A1B"/>
    <w:rsid w:val="00E84C23"/>
    <w:rsid w:val="00E87CAF"/>
    <w:rsid w:val="00E9315B"/>
    <w:rsid w:val="00E951AA"/>
    <w:rsid w:val="00E95AB6"/>
    <w:rsid w:val="00E964B1"/>
    <w:rsid w:val="00EA7A5F"/>
    <w:rsid w:val="00EC6D1B"/>
    <w:rsid w:val="00ED1376"/>
    <w:rsid w:val="00ED6DEF"/>
    <w:rsid w:val="00EE64F3"/>
    <w:rsid w:val="00EE72C9"/>
    <w:rsid w:val="00EF47F5"/>
    <w:rsid w:val="00EF6895"/>
    <w:rsid w:val="00F01679"/>
    <w:rsid w:val="00F2305B"/>
    <w:rsid w:val="00F23C4B"/>
    <w:rsid w:val="00F26D32"/>
    <w:rsid w:val="00F46671"/>
    <w:rsid w:val="00F70EBF"/>
    <w:rsid w:val="00F8608A"/>
    <w:rsid w:val="00FA2D8C"/>
    <w:rsid w:val="00FA61C2"/>
    <w:rsid w:val="00FB297E"/>
    <w:rsid w:val="00FB4B33"/>
    <w:rsid w:val="00FB769B"/>
    <w:rsid w:val="00FC1C36"/>
    <w:rsid w:val="00FC54A7"/>
    <w:rsid w:val="00FD018A"/>
    <w:rsid w:val="00FE1502"/>
    <w:rsid w:val="00FE7783"/>
    <w:rsid w:val="00FF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290A2"/>
  <w15:chartTrackingRefBased/>
  <w15:docId w15:val="{716054C4-BB3F-4C4A-8A23-257E38C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11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44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Title">
    <w:name w:val="Notes: Title"/>
    <w:basedOn w:val="Heading1"/>
    <w:autoRedefine/>
    <w:qFormat/>
    <w:rsid w:val="00D0239B"/>
    <w:pPr>
      <w:numPr>
        <w:ilvl w:val="1"/>
        <w:numId w:val="4"/>
      </w:numPr>
    </w:pPr>
    <w:rPr>
      <w:rFonts w:ascii="Verdana" w:hAnsi="Verdana"/>
      <w:color w:val="002060"/>
      <w:sz w:val="40"/>
      <w:szCs w:val="40"/>
      <w:u w:val="single"/>
    </w:rPr>
  </w:style>
  <w:style w:type="character" w:customStyle="1" w:styleId="Heading1Char">
    <w:name w:val="Heading 1 Char"/>
    <w:basedOn w:val="DefaultParagraphFont"/>
    <w:link w:val="Heading1"/>
    <w:uiPriority w:val="9"/>
    <w:rsid w:val="00D9611F"/>
    <w:rPr>
      <w:rFonts w:asciiTheme="majorHAnsi" w:eastAsiaTheme="majorEastAsia" w:hAnsiTheme="majorHAnsi" w:cstheme="majorBidi"/>
      <w:color w:val="0F4761" w:themeColor="accent1" w:themeShade="BF"/>
      <w:sz w:val="32"/>
      <w:szCs w:val="32"/>
    </w:rPr>
  </w:style>
  <w:style w:type="paragraph" w:customStyle="1" w:styleId="NotesHeading1">
    <w:name w:val="Notes: Heading 1"/>
    <w:basedOn w:val="NotesTitle"/>
    <w:autoRedefine/>
    <w:qFormat/>
    <w:rsid w:val="00D0239B"/>
    <w:pPr>
      <w:spacing w:before="360" w:after="120"/>
    </w:pPr>
    <w:rPr>
      <w:i/>
      <w:color w:val="595959" w:themeColor="text1" w:themeTint="A6"/>
      <w:sz w:val="32"/>
      <w:szCs w:val="32"/>
      <w:u w:val="none"/>
    </w:rPr>
  </w:style>
  <w:style w:type="paragraph" w:customStyle="1" w:styleId="Notessubheading1">
    <w:name w:val="Notes: subheading 1"/>
    <w:basedOn w:val="NotesHeading1"/>
    <w:autoRedefine/>
    <w:qFormat/>
    <w:rsid w:val="00D0239B"/>
    <w:pPr>
      <w:numPr>
        <w:ilvl w:val="0"/>
        <w:numId w:val="5"/>
      </w:numPr>
    </w:pPr>
    <w:rPr>
      <w:i w:val="0"/>
      <w:color w:val="35A9DE" w:themeColor="accent1" w:themeTint="A6"/>
      <w:u w:val="single"/>
    </w:rPr>
  </w:style>
  <w:style w:type="paragraph" w:customStyle="1" w:styleId="Notesgeneraltext">
    <w:name w:val="Notes: general text"/>
    <w:basedOn w:val="Notessubheading1"/>
    <w:autoRedefine/>
    <w:qFormat/>
    <w:rsid w:val="00D0239B"/>
    <w:pPr>
      <w:numPr>
        <w:ilvl w:val="2"/>
        <w:numId w:val="4"/>
      </w:numPr>
      <w:jc w:val="both"/>
    </w:pPr>
    <w:rPr>
      <w:color w:val="000000" w:themeColor="text1"/>
      <w:u w:val="none"/>
      <w14:textFill>
        <w14:solidFill>
          <w14:schemeClr w14:val="tx1">
            <w14:lumMod w14:val="95000"/>
            <w14:lumOff w14:val="5000"/>
            <w14:lumMod w14:val="65000"/>
            <w14:lumOff w14:val="35000"/>
          </w14:schemeClr>
        </w14:solidFill>
      </w14:textFill>
    </w:rPr>
  </w:style>
  <w:style w:type="character" w:customStyle="1" w:styleId="Heading2Char">
    <w:name w:val="Heading 2 Char"/>
    <w:basedOn w:val="DefaultParagraphFont"/>
    <w:link w:val="Heading2"/>
    <w:uiPriority w:val="9"/>
    <w:semiHidden/>
    <w:rsid w:val="00B44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811"/>
    <w:rPr>
      <w:rFonts w:eastAsiaTheme="majorEastAsia" w:cstheme="majorBidi"/>
      <w:color w:val="272727" w:themeColor="text1" w:themeTint="D8"/>
    </w:rPr>
  </w:style>
  <w:style w:type="paragraph" w:styleId="Title">
    <w:name w:val="Title"/>
    <w:basedOn w:val="Normal"/>
    <w:next w:val="Normal"/>
    <w:link w:val="TitleChar"/>
    <w:uiPriority w:val="10"/>
    <w:qFormat/>
    <w:rsid w:val="00B44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8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8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811"/>
    <w:rPr>
      <w:i/>
      <w:iCs/>
      <w:color w:val="404040" w:themeColor="text1" w:themeTint="BF"/>
    </w:rPr>
  </w:style>
  <w:style w:type="paragraph" w:styleId="ListParagraph">
    <w:name w:val="List Paragraph"/>
    <w:basedOn w:val="Normal"/>
    <w:uiPriority w:val="34"/>
    <w:qFormat/>
    <w:rsid w:val="00B44811"/>
    <w:pPr>
      <w:ind w:left="720"/>
      <w:contextualSpacing/>
    </w:pPr>
  </w:style>
  <w:style w:type="character" w:styleId="IntenseEmphasis">
    <w:name w:val="Intense Emphasis"/>
    <w:basedOn w:val="DefaultParagraphFont"/>
    <w:uiPriority w:val="21"/>
    <w:qFormat/>
    <w:rsid w:val="00B44811"/>
    <w:rPr>
      <w:i/>
      <w:iCs/>
      <w:color w:val="0F4761" w:themeColor="accent1" w:themeShade="BF"/>
    </w:rPr>
  </w:style>
  <w:style w:type="paragraph" w:styleId="IntenseQuote">
    <w:name w:val="Intense Quote"/>
    <w:basedOn w:val="Normal"/>
    <w:next w:val="Normal"/>
    <w:link w:val="IntenseQuoteChar"/>
    <w:uiPriority w:val="30"/>
    <w:qFormat/>
    <w:rsid w:val="00B44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811"/>
    <w:rPr>
      <w:i/>
      <w:iCs/>
      <w:color w:val="0F4761" w:themeColor="accent1" w:themeShade="BF"/>
    </w:rPr>
  </w:style>
  <w:style w:type="character" w:styleId="IntenseReference">
    <w:name w:val="Intense Reference"/>
    <w:basedOn w:val="DefaultParagraphFont"/>
    <w:uiPriority w:val="32"/>
    <w:qFormat/>
    <w:rsid w:val="00B44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Khushu, Malhar</dc:creator>
  <cp:keywords/>
  <dc:description/>
  <cp:lastModifiedBy>Khushu, Malhar</cp:lastModifiedBy>
  <cp:revision>2</cp:revision>
  <dcterms:created xsi:type="dcterms:W3CDTF">2026-01-14T19:20:00Z</dcterms:created>
  <dcterms:modified xsi:type="dcterms:W3CDTF">2026-01-14T19:20:00Z</dcterms:modified>
</cp:coreProperties>
</file>