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E10C0">
      <w:pPr>
        <w:pStyle w:val="3"/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Supplementary File </w:t>
      </w:r>
      <w:r>
        <w:rPr>
          <w:rFonts w:hint="eastAsia" w:ascii="Arial" w:hAnsi="Arial" w:eastAsia="宋体" w:cs="Arial"/>
          <w:lang w:val="en-US" w:eastAsia="zh-CN"/>
        </w:rPr>
        <w:t>X</w:t>
      </w:r>
      <w:r>
        <w:rPr>
          <w:rFonts w:hint="default" w:ascii="Arial" w:hAnsi="Arial" w:cs="Arial"/>
        </w:rPr>
        <w:t>. Full-length uncropped western blots</w:t>
      </w:r>
    </w:p>
    <w:p w14:paraId="5FCEDA70"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5029200" cy="4116070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1655">
      <w:pPr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FLAG-FMR1. Full-length, uncropped, unprocessed western blot corresponding to Figure 1B (FMR1 overexpression).</w:t>
      </w:r>
    </w:p>
    <w:p w14:paraId="36A93DAE">
      <w:pPr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drawing>
          <wp:inline distT="0" distB="0" distL="114300" distR="114300">
            <wp:extent cx="5029200" cy="4116070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FA56">
      <w:pPr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FLAG-GAPDH. Full-length, uncropped, unprocessed GAPDH loading control blot corresponding to Figure 1B.</w:t>
      </w:r>
    </w:p>
    <w:p w14:paraId="3AF16980">
      <w:pPr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drawing>
          <wp:inline distT="0" distB="0" distL="114300" distR="114300">
            <wp:extent cx="5029200" cy="7111365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E757">
      <w:pPr>
        <w:rPr>
          <w:rFonts w:hint="eastAsia" w:ascii="Arial" w:hAnsi="Arial" w:eastAsia="宋体" w:cs="Arial"/>
          <w:sz w:val="22"/>
          <w:szCs w:val="22"/>
          <w:lang w:val="en-US" w:eastAsia="zh-CN"/>
        </w:rPr>
      </w:pPr>
      <w:r>
        <w:rPr>
          <w:rFonts w:hint="default" w:ascii="Arial" w:hAnsi="Arial" w:cs="Arial"/>
          <w:sz w:val="22"/>
          <w:szCs w:val="22"/>
        </w:rPr>
        <w:t>KGN-FMR1. Representative western blot showing endogenous FMR1 protein expression in KGN cells</w:t>
      </w:r>
      <w:r>
        <w:rPr>
          <w:rFonts w:hint="eastAsia" w:ascii="Arial" w:hAnsi="Arial" w:eastAsia="宋体" w:cs="Arial"/>
          <w:sz w:val="22"/>
          <w:szCs w:val="22"/>
          <w:lang w:val="en-US" w:eastAsia="zh-CN"/>
        </w:rPr>
        <w:t xml:space="preserve"> shown in </w:t>
      </w:r>
      <w:r>
        <w:rPr>
          <w:rFonts w:hint="default" w:ascii="Arial" w:hAnsi="Arial" w:cs="Arial"/>
          <w:sz w:val="22"/>
          <w:szCs w:val="22"/>
        </w:rPr>
        <w:t>Figure 1B</w:t>
      </w:r>
      <w:r>
        <w:rPr>
          <w:rFonts w:hint="eastAsia" w:ascii="Arial" w:hAnsi="Arial" w:eastAsia="宋体" w:cs="Arial"/>
          <w:sz w:val="22"/>
          <w:szCs w:val="22"/>
          <w:lang w:val="en-US" w:eastAsia="zh-CN"/>
        </w:rPr>
        <w:t>.</w:t>
      </w:r>
      <w:bookmarkStart w:id="0" w:name="_GoBack"/>
      <w:bookmarkEnd w:id="0"/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13DD7ADC"/>
    <w:rsid w:val="4750422A"/>
    <w:rsid w:val="6054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qFormat="1"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qFormat="1" w:unhideWhenUsed="0" w:uiPriority="71" w:semiHidden="0" w:name="Colorful Shading Accent 4"/>
    <w:lsdException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</Words>
  <Characters>322</Characters>
  <Lines>0</Lines>
  <Paragraphs>0</Paragraphs>
  <TotalTime>0</TotalTime>
  <ScaleCrop>false</ScaleCrop>
  <LinksUpToDate>false</LinksUpToDate>
  <CharactersWithSpaces>361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赵sure</cp:lastModifiedBy>
  <dcterms:modified xsi:type="dcterms:W3CDTF">2026-02-07T02:31:05Z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eyJoZGlkIjoiODViY2JkMjU3NGYzZTEwMzZmMGFkZWViYmNkYWU3NDIiLCJ1c2VySWQiOiI3NDYyNjcyNDkifQ==</vt:lpwstr>
  </property>
  <property fmtid="{D5CDD505-2E9C-101B-9397-08002B2CF9AE}" pid="3" name="KSOProductBuildVer">
    <vt:lpwstr>2052-12.1.0.24657</vt:lpwstr>
  </property>
  <property fmtid="{D5CDD505-2E9C-101B-9397-08002B2CF9AE}" pid="4" name="ICV">
    <vt:lpwstr>18A5BA056FE54E8B9CE4F28FF8B24687_12</vt:lpwstr>
  </property>
</Properties>
</file>