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F71B6F">
      <w:pPr>
        <w:spacing w:before="156" w:beforeLines="50" w:after="156" w:afterLines="50" w:line="300" w:lineRule="auto"/>
        <w:rPr>
          <w:rFonts w:hint="default" w:cs="Times New Roman" w:asciiTheme="minorAscii" w:hAnsiTheme="minorAscii"/>
          <w:b/>
          <w:sz w:val="22"/>
        </w:rPr>
      </w:pPr>
      <w:r>
        <w:rPr>
          <w:rFonts w:hint="default" w:cs="Times New Roman" w:asciiTheme="minorAscii" w:hAnsiTheme="minorAscii"/>
          <w:b/>
          <w:sz w:val="22"/>
        </w:rPr>
        <w:drawing>
          <wp:inline distT="0" distB="0" distL="114300" distR="114300">
            <wp:extent cx="5373370" cy="3215640"/>
            <wp:effectExtent l="0" t="0" r="635" b="3810"/>
            <wp:docPr id="4" name="图片 4"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1"/>
                    <pic:cNvPicPr>
                      <a:picLocks noChangeAspect="1"/>
                    </pic:cNvPicPr>
                  </pic:nvPicPr>
                  <pic:blipFill>
                    <a:blip r:embed="rId4"/>
                    <a:stretch>
                      <a:fillRect/>
                    </a:stretch>
                  </pic:blipFill>
                  <pic:spPr>
                    <a:xfrm>
                      <a:off x="0" y="0"/>
                      <a:ext cx="5373370" cy="3215640"/>
                    </a:xfrm>
                    <a:prstGeom prst="rect">
                      <a:avLst/>
                    </a:prstGeom>
                  </pic:spPr>
                </pic:pic>
              </a:graphicData>
            </a:graphic>
          </wp:inline>
        </w:drawing>
      </w:r>
    </w:p>
    <w:p w14:paraId="43694F19">
      <w:pPr>
        <w:pStyle w:val="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Figure 1. FMR1 regulates gene expression in KGN cells</w:t>
      </w:r>
    </w:p>
    <w:p w14:paraId="1B359587">
      <w:pPr>
        <w:pStyle w:val="3"/>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sz w:val="24"/>
          <w:szCs w:val="24"/>
        </w:rPr>
        <w:t>(A)</w:t>
      </w:r>
      <w:r>
        <w:rPr>
          <w:rFonts w:hint="default" w:ascii="Times New Roman" w:hAnsi="Times New Roman" w:cs="Times New Roman"/>
          <w:sz w:val="24"/>
          <w:szCs w:val="24"/>
        </w:rPr>
        <w:t xml:space="preserve"> RT-qPCR results comparing control and FMR1-overexpressing samples. Error bars represent mean ± SEM. ***P &lt; 0.001.</w:t>
      </w:r>
    </w:p>
    <w:p w14:paraId="449D2F27">
      <w:pPr>
        <w:pStyle w:val="3"/>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sz w:val="24"/>
          <w:szCs w:val="24"/>
        </w:rPr>
        <w:t>(B)</w:t>
      </w:r>
      <w:r>
        <w:rPr>
          <w:rFonts w:hint="default" w:ascii="Times New Roman" w:hAnsi="Times New Roman" w:cs="Times New Roman"/>
          <w:sz w:val="24"/>
          <w:szCs w:val="24"/>
        </w:rPr>
        <w:t xml:space="preserve"> Western blot analysis confirming successful FMR1 overexpression.</w:t>
      </w:r>
    </w:p>
    <w:p w14:paraId="249C51CF">
      <w:pPr>
        <w:pStyle w:val="3"/>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sz w:val="24"/>
          <w:szCs w:val="24"/>
        </w:rPr>
        <w:t>(C)</w:t>
      </w:r>
      <w:r>
        <w:rPr>
          <w:rFonts w:hint="default" w:ascii="Times New Roman" w:hAnsi="Times New Roman" w:cs="Times New Roman"/>
          <w:sz w:val="24"/>
          <w:szCs w:val="24"/>
        </w:rPr>
        <w:t xml:space="preserve"> Principal component analysis (PCA) based on FPKM values of all detected genes in FMR1-overexpressing cells. The ellipse for each group represents the confidence ellipse.</w:t>
      </w:r>
    </w:p>
    <w:p w14:paraId="0D018137">
      <w:pPr>
        <w:pStyle w:val="3"/>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sz w:val="24"/>
          <w:szCs w:val="24"/>
        </w:rPr>
        <w:t>(D)</w:t>
      </w:r>
      <w:r>
        <w:rPr>
          <w:rFonts w:hint="default" w:ascii="Times New Roman" w:hAnsi="Times New Roman" w:cs="Times New Roman"/>
          <w:sz w:val="24"/>
          <w:szCs w:val="24"/>
        </w:rPr>
        <w:t xml:space="preserve"> Volcano plot displaying all differentially expressed genes (DEGs) between overexpression (OE) and control (Ctrl) samples.</w:t>
      </w:r>
    </w:p>
    <w:p w14:paraId="51F6CD1A">
      <w:pPr>
        <w:pStyle w:val="3"/>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sz w:val="24"/>
          <w:szCs w:val="24"/>
        </w:rPr>
        <w:t>(E)</w:t>
      </w:r>
      <w:r>
        <w:rPr>
          <w:rFonts w:hint="default" w:ascii="Times New Roman" w:hAnsi="Times New Roman" w:cs="Times New Roman"/>
          <w:sz w:val="24"/>
          <w:szCs w:val="24"/>
        </w:rPr>
        <w:t xml:space="preserve"> Hierarchical clustering heatmap showing expression levels of all DEGs.</w:t>
      </w:r>
    </w:p>
    <w:p w14:paraId="52D5929E">
      <w:pPr>
        <w:numPr>
          <w:ilvl w:val="0"/>
          <w:numId w:val="0"/>
        </w:numPr>
        <w:spacing w:before="156" w:beforeLines="50" w:after="156" w:afterLines="50" w:line="300" w:lineRule="auto"/>
        <w:rPr>
          <w:rFonts w:hint="default" w:cs="Times New Roman" w:asciiTheme="minorAscii" w:hAnsiTheme="minorAscii"/>
          <w:b/>
          <w:sz w:val="22"/>
        </w:rPr>
      </w:pPr>
    </w:p>
    <w:p w14:paraId="268804D2">
      <w:pPr>
        <w:rPr>
          <w:rFonts w:hint="default" w:cs="Times New Roman" w:asciiTheme="minorAscii" w:hAnsiTheme="minorAscii"/>
          <w:b/>
          <w:sz w:val="22"/>
        </w:rPr>
      </w:pPr>
      <w:r>
        <w:rPr>
          <w:rFonts w:hint="default" w:cs="Times New Roman" w:asciiTheme="minorAscii" w:hAnsiTheme="minorAscii"/>
          <w:b/>
          <w:sz w:val="22"/>
        </w:rPr>
        <w:br w:type="page"/>
      </w:r>
    </w:p>
    <w:p w14:paraId="46D68357">
      <w:pPr>
        <w:spacing w:before="156" w:beforeLines="50" w:after="156" w:afterLines="50" w:line="300" w:lineRule="auto"/>
        <w:rPr>
          <w:rFonts w:hint="default" w:cs="Times New Roman" w:asciiTheme="minorAscii" w:hAnsiTheme="minorAscii"/>
          <w:b/>
          <w:sz w:val="22"/>
        </w:rPr>
      </w:pPr>
      <w:r>
        <w:rPr>
          <w:rFonts w:hint="default" w:cs="Times New Roman" w:asciiTheme="minorAscii" w:hAnsiTheme="minorAscii"/>
          <w:b/>
          <w:sz w:val="22"/>
        </w:rPr>
        <w:drawing>
          <wp:inline distT="0" distB="0" distL="0" distR="0">
            <wp:extent cx="5400040" cy="4885055"/>
            <wp:effectExtent l="0" t="0" r="6985" b="1905"/>
            <wp:docPr id="1" name="图片 1" descr="E:\亮点挖掘\FMR1(KGN)OE RNA-seq数据挖掘\验证实验\图例更新\组图结果\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亮点挖掘\FMR1(KGN)OE RNA-seq数据挖掘\验证实验\图例更新\组图结果\fig2.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400040" cy="4885093"/>
                    </a:xfrm>
                    <a:prstGeom prst="rect">
                      <a:avLst/>
                    </a:prstGeom>
                    <a:noFill/>
                    <a:ln>
                      <a:noFill/>
                    </a:ln>
                  </pic:spPr>
                </pic:pic>
              </a:graphicData>
            </a:graphic>
          </wp:inline>
        </w:drawing>
      </w:r>
    </w:p>
    <w:p w14:paraId="47A2B133">
      <w:pPr>
        <w:pStyle w:val="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Figure 2. Validation of FMR1-regulated DEGs</w:t>
      </w:r>
    </w:p>
    <w:p w14:paraId="0925B4D4">
      <w:pPr>
        <w:pStyle w:val="3"/>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sz w:val="24"/>
          <w:szCs w:val="24"/>
        </w:rPr>
        <w:t>(A)</w:t>
      </w:r>
      <w:r>
        <w:rPr>
          <w:rFonts w:hint="default" w:ascii="Times New Roman" w:hAnsi="Times New Roman" w:cs="Times New Roman"/>
          <w:sz w:val="24"/>
          <w:szCs w:val="24"/>
        </w:rPr>
        <w:t xml:space="preserve"> Scatter plot exhibiting the most enriched GO biological process results of upregulated (left panel) and downregulated (right panel) DEGs.</w:t>
      </w:r>
    </w:p>
    <w:p w14:paraId="19D19AE0">
      <w:pPr>
        <w:pStyle w:val="3"/>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sz w:val="24"/>
          <w:szCs w:val="24"/>
        </w:rPr>
        <w:t>(B)</w:t>
      </w:r>
      <w:r>
        <w:rPr>
          <w:rFonts w:hint="default" w:ascii="Times New Roman" w:hAnsi="Times New Roman" w:cs="Times New Roman"/>
          <w:sz w:val="24"/>
          <w:szCs w:val="24"/>
        </w:rPr>
        <w:t xml:space="preserve"> Bar plot showing expression patterns and statistical differences for selected upregulated genes. Error bars represent mean ± SEM. ***P &lt; 0.001.</w:t>
      </w:r>
    </w:p>
    <w:p w14:paraId="5FB99AE9">
      <w:pPr>
        <w:pStyle w:val="3"/>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sz w:val="24"/>
          <w:szCs w:val="24"/>
        </w:rPr>
        <w:t>(C)</w:t>
      </w:r>
      <w:r>
        <w:rPr>
          <w:rFonts w:hint="default" w:ascii="Times New Roman" w:hAnsi="Times New Roman" w:cs="Times New Roman"/>
          <w:sz w:val="24"/>
          <w:szCs w:val="24"/>
        </w:rPr>
        <w:t xml:space="preserve"> Bar plot showing expression patterns and statistical differences for selected downregulated genes. Error bars represent mean ± SEM. ***P &lt; 0.001.</w:t>
      </w:r>
    </w:p>
    <w:p w14:paraId="24782D43">
      <w:pPr>
        <w:numPr>
          <w:ilvl w:val="0"/>
          <w:numId w:val="0"/>
        </w:numPr>
        <w:spacing w:before="156" w:beforeLines="50" w:after="156" w:afterLines="50" w:line="300" w:lineRule="auto"/>
        <w:rPr>
          <w:rFonts w:hint="default" w:cs="Times New Roman" w:asciiTheme="minorAscii" w:hAnsiTheme="minorAscii"/>
          <w:bCs/>
          <w:sz w:val="22"/>
        </w:rPr>
      </w:pPr>
    </w:p>
    <w:p w14:paraId="6B6880AC">
      <w:pPr>
        <w:numPr>
          <w:ilvl w:val="0"/>
          <w:numId w:val="0"/>
        </w:numPr>
        <w:spacing w:before="156" w:beforeLines="50" w:after="156" w:afterLines="50" w:line="300" w:lineRule="auto"/>
        <w:rPr>
          <w:rFonts w:hint="eastAsia" w:cs="Times New Roman" w:asciiTheme="minorAscii" w:hAnsiTheme="minorAscii" w:eastAsiaTheme="minorEastAsia"/>
          <w:bCs/>
          <w:sz w:val="22"/>
          <w:lang w:eastAsia="zh-CN"/>
        </w:rPr>
      </w:pPr>
      <w:r>
        <w:rPr>
          <w:rFonts w:hint="eastAsia" w:cs="Times New Roman" w:asciiTheme="minorAscii" w:hAnsiTheme="minorAscii" w:eastAsiaTheme="minorEastAsia"/>
          <w:bCs/>
          <w:sz w:val="22"/>
          <w:lang w:eastAsia="zh-CN"/>
        </w:rPr>
        <w:drawing>
          <wp:inline distT="0" distB="0" distL="114300" distR="114300">
            <wp:extent cx="6140450" cy="1516380"/>
            <wp:effectExtent l="0" t="0" r="0" b="317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6"/>
                    <a:stretch>
                      <a:fillRect/>
                    </a:stretch>
                  </pic:blipFill>
                  <pic:spPr>
                    <a:xfrm>
                      <a:off x="0" y="0"/>
                      <a:ext cx="6140450" cy="1516380"/>
                    </a:xfrm>
                    <a:prstGeom prst="rect">
                      <a:avLst/>
                    </a:prstGeom>
                  </pic:spPr>
                </pic:pic>
              </a:graphicData>
            </a:graphic>
          </wp:inline>
        </w:drawing>
      </w:r>
    </w:p>
    <w:p w14:paraId="3697BBE0">
      <w:pPr>
        <w:pStyle w:val="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Supplementary Figure S1. KEGG pathway enrichment of FMR1-regulated DEGs</w:t>
      </w:r>
    </w:p>
    <w:p w14:paraId="7B605C23">
      <w:pPr>
        <w:pStyle w:val="3"/>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Bar plot exhibiting the top 10 most enriched KEGG pathways for upregulated (left panel) and downregulated (right panel) DEGs.</w:t>
      </w:r>
    </w:p>
    <w:p w14:paraId="17358865">
      <w:pPr>
        <w:numPr>
          <w:ilvl w:val="0"/>
          <w:numId w:val="0"/>
        </w:numPr>
        <w:spacing w:before="156" w:beforeLines="50" w:after="156" w:afterLines="50" w:line="300" w:lineRule="auto"/>
        <w:rPr>
          <w:rFonts w:hint="default" w:cs="Times New Roman" w:asciiTheme="minorAscii" w:hAnsiTheme="minorAscii"/>
          <w:bCs/>
          <w:sz w:val="22"/>
          <w:lang w:val="en-US" w:eastAsia="zh-CN"/>
        </w:rPr>
      </w:pPr>
    </w:p>
    <w:p w14:paraId="6B20F1AE">
      <w:pPr>
        <w:numPr>
          <w:ilvl w:val="0"/>
          <w:numId w:val="0"/>
        </w:numPr>
        <w:spacing w:before="156" w:beforeLines="50" w:after="156" w:afterLines="50" w:line="300" w:lineRule="auto"/>
        <w:rPr>
          <w:rFonts w:hint="default" w:cs="Times New Roman" w:asciiTheme="minorAscii" w:hAnsiTheme="minorAscii"/>
          <w:bCs/>
          <w:sz w:val="22"/>
        </w:rPr>
      </w:pPr>
    </w:p>
    <w:p w14:paraId="2990ED45">
      <w:pPr>
        <w:rPr>
          <w:rFonts w:hint="default" w:cs="Times New Roman" w:asciiTheme="minorAscii" w:hAnsiTheme="minorAscii"/>
          <w:b/>
          <w:sz w:val="22"/>
        </w:rPr>
      </w:pPr>
      <w:r>
        <w:rPr>
          <w:rFonts w:hint="default" w:cs="Times New Roman" w:asciiTheme="minorAscii" w:hAnsiTheme="minorAscii"/>
          <w:b/>
          <w:sz w:val="22"/>
        </w:rPr>
        <w:br w:type="page"/>
      </w:r>
    </w:p>
    <w:p w14:paraId="59592F23">
      <w:pPr>
        <w:spacing w:before="156" w:beforeLines="50" w:after="156" w:afterLines="50" w:line="300" w:lineRule="auto"/>
        <w:rPr>
          <w:rFonts w:hint="default" w:cs="Times New Roman" w:asciiTheme="minorAscii" w:hAnsiTheme="minorAscii"/>
          <w:b/>
          <w:sz w:val="22"/>
        </w:rPr>
      </w:pPr>
      <w:r>
        <w:rPr>
          <w:rFonts w:hint="default" w:cs="Times New Roman" w:asciiTheme="minorAscii" w:hAnsiTheme="minorAscii"/>
          <w:b/>
          <w:sz w:val="22"/>
        </w:rPr>
        <w:drawing>
          <wp:inline distT="0" distB="0" distL="0" distR="0">
            <wp:extent cx="5400040" cy="5641340"/>
            <wp:effectExtent l="0" t="0" r="6985" b="5080"/>
            <wp:docPr id="7" name="图片 7" descr="E:\亮点挖掘\FMR1(KGN)OE RNA-seq数据挖掘\验证实验\图例更新\组图结果\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亮点挖掘\FMR1(KGN)OE RNA-seq数据挖掘\验证实验\图例更新\组图结果\fig3.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00040" cy="5641767"/>
                    </a:xfrm>
                    <a:prstGeom prst="rect">
                      <a:avLst/>
                    </a:prstGeom>
                    <a:noFill/>
                    <a:ln>
                      <a:noFill/>
                    </a:ln>
                  </pic:spPr>
                </pic:pic>
              </a:graphicData>
            </a:graphic>
          </wp:inline>
        </w:drawing>
      </w:r>
    </w:p>
    <w:p w14:paraId="76EE78A4">
      <w:pPr>
        <w:pStyle w:val="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Figure 3. FMR1 regulates alternative splicing</w:t>
      </w:r>
    </w:p>
    <w:p w14:paraId="2B5852DA">
      <w:pPr>
        <w:pStyle w:val="3"/>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sz w:val="24"/>
          <w:szCs w:val="24"/>
        </w:rPr>
        <w:t>(A)</w:t>
      </w:r>
      <w:r>
        <w:rPr>
          <w:rFonts w:hint="default" w:ascii="Times New Roman" w:hAnsi="Times New Roman" w:cs="Times New Roman"/>
          <w:sz w:val="24"/>
          <w:szCs w:val="24"/>
        </w:rPr>
        <w:t xml:space="preserve"> Bar plot showing the statistical distribution of FMR1-regulated alternative splicing events (RASEs) by event type.</w:t>
      </w:r>
    </w:p>
    <w:p w14:paraId="2750BBEF">
      <w:pPr>
        <w:pStyle w:val="3"/>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sz w:val="24"/>
          <w:szCs w:val="24"/>
        </w:rPr>
        <w:t>(B)</w:t>
      </w:r>
      <w:r>
        <w:rPr>
          <w:rFonts w:hint="default" w:ascii="Times New Roman" w:hAnsi="Times New Roman" w:cs="Times New Roman"/>
          <w:sz w:val="24"/>
          <w:szCs w:val="24"/>
        </w:rPr>
        <w:t xml:space="preserve"> Venn diagram showing 208 overlapping genes between 2,300 RASGs (regulated alternative splicing genes) and 3,008 DEGs (differentially expressed genes), indicating dual-layer regulation by FMR1.</w:t>
      </w:r>
    </w:p>
    <w:p w14:paraId="44E63F56">
      <w:pPr>
        <w:pStyle w:val="3"/>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sz w:val="24"/>
          <w:szCs w:val="24"/>
        </w:rPr>
        <w:t>(C)</w:t>
      </w:r>
      <w:r>
        <w:rPr>
          <w:rFonts w:hint="default" w:ascii="Times New Roman" w:hAnsi="Times New Roman" w:cs="Times New Roman"/>
          <w:sz w:val="24"/>
          <w:szCs w:val="24"/>
        </w:rPr>
        <w:t xml:space="preserve"> Scatter plot exhibiting the most enriched GO biological process results of the 208 overlapping genes between RASGs and DEGs, highlighting enrichment in innate immune response, response to virus, and immune system processes.</w:t>
      </w:r>
    </w:p>
    <w:p w14:paraId="47751E97">
      <w:pPr>
        <w:pStyle w:val="3"/>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sz w:val="24"/>
          <w:szCs w:val="24"/>
        </w:rPr>
        <w:t>(D)</w:t>
      </w:r>
      <w:r>
        <w:rPr>
          <w:rFonts w:hint="default" w:ascii="Times New Roman" w:hAnsi="Times New Roman" w:cs="Times New Roman"/>
          <w:sz w:val="24"/>
          <w:szCs w:val="24"/>
        </w:rPr>
        <w:t xml:space="preserve"> FMR1 regulates alternative splicing of CSF1. Left panel: IGV-sashimi plot showing regulated alternative splicing events and binding sites across mRNA. Reads distribution of RASE is plotted in the upper panel and transcripts are shown below. Right panel: Schematic diagrams depicting ASE structures with RT-qPCR validation shown at bottom. Error bars represent mean ± SEM. ***P &lt; 0.001, **P &lt; 0.01, *P &lt; 0.05.</w:t>
      </w:r>
    </w:p>
    <w:p w14:paraId="31840AF6">
      <w:pPr>
        <w:pStyle w:val="3"/>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sz w:val="24"/>
          <w:szCs w:val="24"/>
        </w:rPr>
        <w:t>(E)</w:t>
      </w:r>
      <w:r>
        <w:rPr>
          <w:rFonts w:hint="default" w:ascii="Times New Roman" w:hAnsi="Times New Roman" w:cs="Times New Roman"/>
          <w:sz w:val="24"/>
          <w:szCs w:val="24"/>
        </w:rPr>
        <w:t xml:space="preserve"> FMR1 regulates alternative splicing of IRF7. Layout and annotations as in panel D.</w:t>
      </w:r>
    </w:p>
    <w:p w14:paraId="1B14E302">
      <w:pPr>
        <w:spacing w:before="156" w:beforeLines="50" w:after="156" w:afterLines="50" w:line="300" w:lineRule="auto"/>
        <w:rPr>
          <w:rFonts w:hint="default" w:cs="Times New Roman" w:asciiTheme="minorAscii" w:hAnsiTheme="minorAscii"/>
          <w:bCs/>
          <w:sz w:val="22"/>
        </w:rPr>
      </w:pPr>
      <w:r>
        <w:rPr>
          <w:rFonts w:hint="default" w:cs="Times New Roman" w:asciiTheme="minorAscii" w:hAnsiTheme="minorAscii"/>
          <w:bCs/>
          <w:sz w:val="22"/>
        </w:rPr>
        <w:drawing>
          <wp:inline distT="0" distB="0" distL="0" distR="0">
            <wp:extent cx="5400040" cy="4217670"/>
            <wp:effectExtent l="0" t="0" r="6985" b="635"/>
            <wp:docPr id="8" name="图片 8" descr="E:\亮点挖掘\FMR1(KGN)OE RNA-seq数据挖掘\验证实验\图例更新\组图结果\fig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亮点挖掘\FMR1(KGN)OE RNA-seq数据挖掘\验证实验\图例更新\组图结果\figS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00040" cy="4217903"/>
                    </a:xfrm>
                    <a:prstGeom prst="rect">
                      <a:avLst/>
                    </a:prstGeom>
                    <a:noFill/>
                    <a:ln>
                      <a:noFill/>
                    </a:ln>
                  </pic:spPr>
                </pic:pic>
              </a:graphicData>
            </a:graphic>
          </wp:inline>
        </w:drawing>
      </w:r>
    </w:p>
    <w:p w14:paraId="2F1A0EDF">
      <w:pPr>
        <w:pStyle w:val="2"/>
        <w:keepNext w:val="0"/>
        <w:keepLines w:val="0"/>
        <w:widowControl/>
        <w:suppressLineNumbers w:val="0"/>
        <w:rPr>
          <w:rFonts w:hint="default" w:ascii="Times New Roman" w:hAnsi="Times New Roman" w:cs="Times New Roman"/>
          <w:sz w:val="24"/>
          <w:szCs w:val="24"/>
        </w:rPr>
      </w:pPr>
      <w:r>
        <w:rPr>
          <w:rFonts w:hint="default" w:ascii="Times New Roman" w:hAnsi="Times New Roman" w:cs="Times New Roman"/>
          <w:sz w:val="24"/>
          <w:szCs w:val="24"/>
        </w:rPr>
        <w:t>Supplementary Figure S2. FMR1 regulates LAMC2 and IFI27 splicing</w:t>
      </w:r>
    </w:p>
    <w:p w14:paraId="202C9A25">
      <w:pPr>
        <w:pStyle w:val="3"/>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sz w:val="24"/>
          <w:szCs w:val="24"/>
        </w:rPr>
        <w:t>(A)</w:t>
      </w:r>
      <w:r>
        <w:rPr>
          <w:rFonts w:hint="default" w:ascii="Times New Roman" w:hAnsi="Times New Roman" w:cs="Times New Roman"/>
          <w:sz w:val="24"/>
          <w:szCs w:val="24"/>
        </w:rPr>
        <w:t xml:space="preserve"> FMR1 regulates alternative splicing of LAMC2. Left panel: IGV-sashimi plot showing regulated alternative splicing events and binding sites across mRNA. Reads distribution of RASE is plotted in the upper panel and transcripts are shown below. Right panel: Schematic diagrams depicting ASE structures with RT-qPCR validation shown at bottom. Error bars represent mean ± SEM. ***P &lt; 0.001, **P &lt; 0.01, *P &lt; 0.05.</w:t>
      </w:r>
    </w:p>
    <w:p w14:paraId="0E46B0AA">
      <w:pPr>
        <w:pStyle w:val="3"/>
        <w:keepNext w:val="0"/>
        <w:keepLines w:val="0"/>
        <w:widowControl/>
        <w:suppressLineNumbers w:val="0"/>
        <w:rPr>
          <w:rFonts w:hint="default" w:ascii="Times New Roman" w:hAnsi="Times New Roman" w:cs="Times New Roman"/>
          <w:sz w:val="24"/>
          <w:szCs w:val="24"/>
        </w:rPr>
      </w:pPr>
      <w:r>
        <w:rPr>
          <w:rStyle w:val="6"/>
          <w:rFonts w:hint="default" w:ascii="Times New Roman" w:hAnsi="Times New Roman" w:cs="Times New Roman"/>
          <w:sz w:val="24"/>
          <w:szCs w:val="24"/>
        </w:rPr>
        <w:t>(B)</w:t>
      </w:r>
      <w:r>
        <w:rPr>
          <w:rFonts w:hint="default" w:ascii="Times New Roman" w:hAnsi="Times New Roman" w:cs="Times New Roman"/>
          <w:sz w:val="24"/>
          <w:szCs w:val="24"/>
        </w:rPr>
        <w:t xml:space="preserve"> FMR1 regulates alternative splicing of IFI27. Layout and annotations as in panel A.</w:t>
      </w:r>
    </w:p>
    <w:p w14:paraId="6D9329A9">
      <w:pPr>
        <w:spacing w:before="156" w:beforeLines="50" w:after="156" w:afterLines="50" w:line="300" w:lineRule="auto"/>
        <w:rPr>
          <w:rFonts w:hint="default" w:cs="Times New Roman" w:asciiTheme="minorAscii" w:hAnsiTheme="minorAscii"/>
          <w:b/>
          <w:sz w:val="22"/>
        </w:rPr>
      </w:pPr>
      <w:bookmarkStart w:id="0" w:name="_GoBack"/>
      <w:bookmarkEnd w:id="0"/>
    </w:p>
    <w:p w14:paraId="2EC4A37B"/>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286F91"/>
    <w:rsid w:val="03655221"/>
    <w:rsid w:val="06286F91"/>
    <w:rsid w:val="113D5D77"/>
    <w:rsid w:val="208244E5"/>
    <w:rsid w:val="3BD63107"/>
    <w:rsid w:val="3D37507E"/>
    <w:rsid w:val="40C758C1"/>
    <w:rsid w:val="61086440"/>
    <w:rsid w:val="619947EB"/>
    <w:rsid w:val="65251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png"/><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436</Words>
  <Characters>2587</Characters>
  <Lines>0</Lines>
  <Paragraphs>0</Paragraphs>
  <TotalTime>0</TotalTime>
  <ScaleCrop>false</ScaleCrop>
  <LinksUpToDate>false</LinksUpToDate>
  <CharactersWithSpaces>3002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2025-12-16T07:21:00Z</dcterms:created>
  <dc:creator>赵sure</dc:creator>
  <cp:lastModifiedBy>赵sure</cp:lastModifiedBy>
  <dcterms:modified xsi:type="dcterms:W3CDTF">2026-01-19T03:07:28Z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523C150EF0B54B5BBA6D9CB82E924E8F_13</vt:lpwstr>
  </property>
  <property fmtid="{D5CDD505-2E9C-101B-9397-08002B2CF9AE}" pid="4" name="KSOTemplateDocerSaveRecord">
    <vt:lpwstr>eyJoZGlkIjoiODViY2JkMjU3NGYzZTEwMzZmMGFkZWViYmNkYWU3NDIiLCJ1c2VySWQiOiI3NDYyNjcyNDkifQ==</vt:lpwstr>
  </property>
</Properties>
</file>