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7337" w14:textId="261D5D65" w:rsidR="00321101" w:rsidRPr="00321101" w:rsidRDefault="005035D6">
      <w:pPr>
        <w:pStyle w:val="Pardfaut"/>
        <w:spacing w:before="0" w:after="120" w:line="480" w:lineRule="auto"/>
        <w:jc w:val="both"/>
        <w:rPr>
          <w:rFonts w:ascii="Arial" w:eastAsia="Arial" w:hAnsi="Arial" w:cs="Arial"/>
          <w:b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Material and </w:t>
      </w:r>
      <w:r w:rsidR="00321101" w:rsidRPr="00321101">
        <w:rPr>
          <w:rFonts w:ascii="Arial" w:eastAsia="Arial" w:hAnsi="Arial" w:cs="Arial"/>
          <w:b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Methods</w:t>
      </w:r>
    </w:p>
    <w:p w14:paraId="3A803B4E" w14:textId="6C82221E" w:rsidR="000A65B2" w:rsidRDefault="000A65B2" w:rsidP="000A65B2">
      <w:pPr>
        <w:pStyle w:val="PardfautAA"/>
        <w:spacing w:before="0" w:after="120" w:line="480" w:lineRule="auto"/>
        <w:jc w:val="both"/>
        <w:rPr>
          <w:rStyle w:val="Aucun"/>
          <w:rFonts w:ascii="Arial" w:hAnsi="Arial"/>
          <w:i/>
          <w:iCs/>
          <w:color w:val="auto"/>
          <w:lang w:val="en-CA"/>
        </w:rPr>
      </w:pPr>
      <w:r w:rsidRPr="00851C66">
        <w:rPr>
          <w:rStyle w:val="Aucun"/>
          <w:rFonts w:ascii="Arial" w:hAnsi="Arial"/>
          <w:i/>
          <w:iCs/>
          <w:color w:val="auto"/>
          <w:lang w:val="en-CA"/>
        </w:rPr>
        <w:t xml:space="preserve">Participants and study design  </w:t>
      </w:r>
    </w:p>
    <w:p w14:paraId="646FEFBB" w14:textId="7604719F" w:rsidR="000A65B2" w:rsidRDefault="00F1716F" w:rsidP="000A65B2">
      <w:pPr>
        <w:pStyle w:val="PardfautAA"/>
        <w:spacing w:after="120" w:line="480" w:lineRule="auto"/>
        <w:jc w:val="both"/>
        <w:rPr>
          <w:rStyle w:val="Aucun"/>
          <w:rFonts w:ascii="Arial" w:hAnsi="Arial"/>
          <w:color w:val="auto"/>
          <w:lang w:val="en-CA"/>
        </w:rPr>
      </w:pPr>
      <w:r w:rsidRPr="00F13A74">
        <w:rPr>
          <w:rStyle w:val="Aucun"/>
          <w:rFonts w:ascii="Arial" w:eastAsia="Arial" w:hAnsi="Arial" w:cs="Arial"/>
          <w:bCs/>
          <w:color w:val="auto"/>
          <w:lang w:val="en-CA"/>
        </w:rPr>
        <w:t xml:space="preserve">Human kidney histological features and tubular COX2 expression were examined </w:t>
      </w:r>
      <w:r w:rsidR="000A65B2" w:rsidRPr="00851C66">
        <w:rPr>
          <w:rStyle w:val="Aucun"/>
          <w:rFonts w:ascii="Arial" w:hAnsi="Arial"/>
          <w:color w:val="auto"/>
          <w:lang w:val="en-CA"/>
        </w:rPr>
        <w:t>the biopsy of a patient with xanthinuria and chronic kidney disease (CKD</w:t>
      </w:r>
      <w:r w:rsidR="00C40231" w:rsidRPr="00851C66">
        <w:rPr>
          <w:rStyle w:val="Aucun"/>
          <w:rFonts w:ascii="Arial" w:hAnsi="Arial"/>
          <w:color w:val="auto"/>
          <w:lang w:val="en-CA"/>
        </w:rPr>
        <w:t>) and</w:t>
      </w:r>
      <w:r w:rsidR="000A65B2" w:rsidRPr="00851C66">
        <w:rPr>
          <w:rStyle w:val="Aucun"/>
          <w:rFonts w:ascii="Arial" w:hAnsi="Arial"/>
          <w:color w:val="auto"/>
          <w:lang w:val="en-CA"/>
        </w:rPr>
        <w:t xml:space="preserve"> </w:t>
      </w:r>
      <w:bookmarkStart w:id="0" w:name="_Hlk172176765"/>
      <w:r w:rsidR="000A65B2" w:rsidRPr="00851C66">
        <w:rPr>
          <w:rStyle w:val="Aucun"/>
          <w:rFonts w:ascii="Arial" w:hAnsi="Arial"/>
          <w:color w:val="auto"/>
          <w:lang w:val="en-CA"/>
        </w:rPr>
        <w:t xml:space="preserve">compared </w:t>
      </w:r>
      <w:r w:rsidR="006017D8">
        <w:rPr>
          <w:rStyle w:val="Aucun"/>
          <w:rFonts w:ascii="Arial" w:hAnsi="Arial"/>
          <w:color w:val="auto"/>
          <w:lang w:val="en-CA"/>
        </w:rPr>
        <w:t xml:space="preserve">to </w:t>
      </w:r>
      <w:r w:rsidR="000A65B2" w:rsidRPr="00851C66">
        <w:rPr>
          <w:rStyle w:val="Aucun"/>
          <w:rFonts w:ascii="Arial" w:hAnsi="Arial"/>
          <w:color w:val="auto"/>
          <w:lang w:val="en-CA"/>
        </w:rPr>
        <w:t>biopsies from healthy controls (n</w:t>
      </w:r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>=</w:t>
      </w:r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>4) or CKD patients</w:t>
      </w:r>
      <w:bookmarkEnd w:id="0"/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>(n</w:t>
      </w:r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>=</w:t>
      </w:r>
      <w:r w:rsidR="000A65B2">
        <w:rPr>
          <w:rStyle w:val="Aucun"/>
          <w:rFonts w:ascii="Arial" w:hAnsi="Arial"/>
          <w:color w:val="auto"/>
          <w:lang w:val="en-CA"/>
        </w:rPr>
        <w:t xml:space="preserve"> 12</w:t>
      </w:r>
      <w:r w:rsidR="000A65B2" w:rsidRPr="00851C66">
        <w:rPr>
          <w:rStyle w:val="Aucun"/>
          <w:rFonts w:ascii="Arial" w:hAnsi="Arial"/>
          <w:color w:val="auto"/>
          <w:lang w:val="en-CA"/>
        </w:rPr>
        <w:t xml:space="preserve">). CKD biopsies were from patients </w:t>
      </w:r>
      <w:r w:rsidR="00607038">
        <w:rPr>
          <w:rStyle w:val="Aucun"/>
          <w:rFonts w:ascii="Arial" w:hAnsi="Arial"/>
          <w:color w:val="auto"/>
          <w:lang w:val="en-CA"/>
        </w:rPr>
        <w:t xml:space="preserve">diagnosed </w:t>
      </w:r>
      <w:r w:rsidR="000A65B2" w:rsidRPr="00851C66">
        <w:rPr>
          <w:rStyle w:val="Aucun"/>
          <w:rFonts w:ascii="Arial" w:hAnsi="Arial"/>
          <w:color w:val="auto"/>
          <w:lang w:val="en-CA"/>
        </w:rPr>
        <w:t>with diabetic nephropathy (n</w:t>
      </w:r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>=</w:t>
      </w:r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 xml:space="preserve">4), </w:t>
      </w:r>
      <w:r w:rsidR="00A15013">
        <w:rPr>
          <w:rFonts w:ascii="Arial" w:hAnsi="Arial" w:cs="Arial"/>
          <w:lang w:val="en-CA"/>
        </w:rPr>
        <w:t xml:space="preserve">non-specific </w:t>
      </w:r>
      <w:r w:rsidR="000A65B2" w:rsidRPr="00851C66">
        <w:rPr>
          <w:rStyle w:val="Aucun"/>
          <w:rFonts w:ascii="Arial" w:hAnsi="Arial"/>
          <w:color w:val="auto"/>
          <w:lang w:val="en-CA"/>
        </w:rPr>
        <w:t>focal segmental glomerulosclerosis (FSGS) and/or interstitial fibrosis tubular atrophy (IFTA) (n</w:t>
      </w:r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>=</w:t>
      </w:r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 xml:space="preserve">4), </w:t>
      </w:r>
      <w:r w:rsidR="00625908">
        <w:rPr>
          <w:rStyle w:val="Aucun"/>
          <w:rFonts w:ascii="Arial" w:hAnsi="Arial"/>
          <w:color w:val="auto"/>
          <w:lang w:val="en-CA"/>
        </w:rPr>
        <w:t>and</w:t>
      </w:r>
      <w:r w:rsidR="000A65B2" w:rsidRPr="00851C66">
        <w:rPr>
          <w:rStyle w:val="Aucun"/>
          <w:rFonts w:ascii="Arial" w:hAnsi="Arial"/>
          <w:color w:val="auto"/>
          <w:lang w:val="en-CA"/>
        </w:rPr>
        <w:t xml:space="preserve"> glomerulosclerosis of un</w:t>
      </w:r>
      <w:r w:rsidR="00F13C30">
        <w:rPr>
          <w:rStyle w:val="Aucun"/>
          <w:rFonts w:ascii="Arial" w:hAnsi="Arial"/>
          <w:color w:val="auto"/>
          <w:lang w:val="en-CA"/>
        </w:rPr>
        <w:t>identified</w:t>
      </w:r>
      <w:r w:rsidR="000A65B2" w:rsidRPr="00851C66">
        <w:rPr>
          <w:rStyle w:val="Aucun"/>
          <w:rFonts w:ascii="Arial" w:hAnsi="Arial"/>
          <w:color w:val="auto"/>
          <w:lang w:val="en-CA"/>
        </w:rPr>
        <w:t xml:space="preserve"> cause or attributed to hypertensive nephropathy (n</w:t>
      </w:r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>=</w:t>
      </w:r>
      <w:r w:rsidR="000A65B2">
        <w:rPr>
          <w:rStyle w:val="Aucun"/>
          <w:rFonts w:ascii="Arial" w:hAnsi="Arial"/>
          <w:color w:val="auto"/>
          <w:lang w:val="en-CA"/>
        </w:rPr>
        <w:t xml:space="preserve"> </w:t>
      </w:r>
      <w:r w:rsidR="000A65B2" w:rsidRPr="00851C66">
        <w:rPr>
          <w:rStyle w:val="Aucun"/>
          <w:rFonts w:ascii="Arial" w:hAnsi="Arial"/>
          <w:color w:val="auto"/>
          <w:lang w:val="en-CA"/>
        </w:rPr>
        <w:t xml:space="preserve">4). </w:t>
      </w:r>
    </w:p>
    <w:p w14:paraId="11650BCB" w14:textId="3C21DFD2" w:rsidR="000A65B2" w:rsidRDefault="005035D6" w:rsidP="000A65B2">
      <w:pPr>
        <w:pStyle w:val="PardfautAA"/>
        <w:spacing w:before="0" w:after="120" w:line="480" w:lineRule="auto"/>
        <w:jc w:val="both"/>
        <w:rPr>
          <w:rStyle w:val="Aucun"/>
          <w:rFonts w:ascii="Arial" w:hAnsi="Arial"/>
          <w:i/>
          <w:iCs/>
          <w:color w:val="auto"/>
          <w:lang w:val="en-CA"/>
        </w:rPr>
      </w:pPr>
      <w:r>
        <w:rPr>
          <w:rStyle w:val="Aucun"/>
          <w:rFonts w:ascii="Arial" w:hAnsi="Arial"/>
          <w:i/>
          <w:iCs/>
          <w:color w:val="auto"/>
          <w:lang w:val="en-CA"/>
        </w:rPr>
        <w:t>I</w:t>
      </w:r>
      <w:r w:rsidR="000A65B2" w:rsidRPr="00851C66">
        <w:rPr>
          <w:rStyle w:val="Aucun"/>
          <w:rFonts w:ascii="Arial" w:hAnsi="Arial"/>
          <w:i/>
          <w:iCs/>
          <w:color w:val="auto"/>
          <w:lang w:val="en-CA"/>
        </w:rPr>
        <w:t xml:space="preserve">mmunohistochemistry </w:t>
      </w:r>
      <w:bookmarkStart w:id="1" w:name="_Hlk171599118"/>
    </w:p>
    <w:bookmarkEnd w:id="1"/>
    <w:p w14:paraId="29886A86" w14:textId="1B8FA7AE" w:rsidR="0009384C" w:rsidRPr="00E447B6" w:rsidRDefault="00E30D5A" w:rsidP="00E447B6">
      <w:pPr>
        <w:pStyle w:val="Pardfaut"/>
        <w:spacing w:after="120" w:line="480" w:lineRule="auto"/>
        <w:jc w:val="both"/>
        <w:rPr>
          <w:rFonts w:ascii="Arial" w:hAnsi="Arial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P</w:t>
      </w:r>
      <w:r w:rsidR="004F11CE" w:rsidRPr="00B1150E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araffin-embedded </w:t>
      </w:r>
      <w:r w:rsidR="00DA6D21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human </w:t>
      </w:r>
      <w:r w:rsidR="004F11CE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kidney biops</w:t>
      </w:r>
      <w:r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y sections of 4</w:t>
      </w:r>
      <w:r>
        <w:rPr>
          <w:rFonts w:ascii="Arial" w:hAnsi="Arial" w:cs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μ</w:t>
      </w:r>
      <w:r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</w:t>
      </w:r>
      <w:r w:rsidR="004F11CE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were de</w:t>
      </w:r>
      <w:r w:rsidR="00BF344C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waxed </w:t>
      </w:r>
      <w:r w:rsidR="00F119A0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and hydrated </w:t>
      </w:r>
      <w:r w:rsidR="00301543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before staining with</w:t>
      </w:r>
      <w:r w:rsidR="001E3FF3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Mason’s Trichrome or</w:t>
      </w:r>
      <w:r w:rsidR="00301543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962DC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primary </w:t>
      </w:r>
      <w:r w:rsidR="00D962DC" w:rsidRPr="00D962DC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antibod</w:t>
      </w:r>
      <w:r w:rsidR="00E447B6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="00D962DC" w:rsidRPr="00D962DC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65F48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anti-</w:t>
      </w:r>
      <w:r w:rsidR="00FB526C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="00F149CA" w:rsidRPr="00F149CA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yclooxygenase</w:t>
      </w:r>
      <w:r w:rsidR="00607038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-</w:t>
      </w:r>
      <w:r w:rsidR="00F149CA" w:rsidRPr="00F149CA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607038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/COX2</w:t>
      </w:r>
      <w:r w:rsidR="00F149CA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01543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="00F149CA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ab15191, 1:1000, Abcam, Cambridge, UK)</w:t>
      </w:r>
      <w:r w:rsidR="00301543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DA6D21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Stained biopsy slides were scanned </w:t>
      </w:r>
      <w:r w:rsidR="00917078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at a magnification of 200X using Leica Aperio Versa 200 scanner</w:t>
      </w:r>
      <w:r w:rsidR="00474622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917078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visualized and analysed using </w:t>
      </w:r>
      <w:r w:rsidR="00917078" w:rsidRPr="00917078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image analysis software</w:t>
      </w:r>
      <w:r w:rsidR="00917078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ImageScope from Leica. </w:t>
      </w:r>
      <w:r w:rsidR="001E3FF3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Quantification of glomerulosclerosis was assessed on routine whole Masson’s Trichrome stained slides by evaluating the ratio of </w:t>
      </w:r>
      <w:r w:rsidR="001E3FF3" w:rsidRPr="00917078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sclerosed glomeruli</w:t>
      </w:r>
      <w:r w:rsidR="001E3FF3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total glomeruli. Also using Mason’s Trichrome stained slides, tubulointerstitial fibrosis percentage was evaluated on up to ten randomly chosen fields at a magnification of 200X by manually identifying the areas positive for fibrosis over total field area. </w:t>
      </w:r>
      <w:r w:rsidR="00AF6730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Quantification of COX2 staining was done by evaluating the ratio of COX2 positive tubules to total tubule number in up to ten high </w:t>
      </w:r>
      <w:r w:rsidR="00AF6730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power fie</w:t>
      </w:r>
      <w:r w:rsidR="00E447B6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lds at a magnification of 200X.</w:t>
      </w:r>
      <w:r w:rsidR="00E447B6">
        <w:rPr>
          <w:rFonts w:ascii="Arial" w:hAnsi="Arial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5761E" w:rsidRPr="00A5761E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All evaluations </w:t>
      </w:r>
      <w:r w:rsidR="00A5761E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were done by </w:t>
      </w:r>
      <w:r w:rsidR="00F64332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 investigator </w:t>
      </w:r>
      <w:r w:rsidR="00F64332" w:rsidRPr="00F64332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blinded to the experimental conditions</w:t>
      </w:r>
      <w:r w:rsidR="00AF6730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confirmed by </w:t>
      </w:r>
      <w:r w:rsidR="00470C72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two</w:t>
      </w:r>
      <w:r w:rsidR="00AF6730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pathologist</w:t>
      </w:r>
      <w:r w:rsidR="00470C72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s</w:t>
      </w:r>
      <w:r w:rsidR="00AF6730"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F200351" w14:textId="77777777" w:rsidR="000A65B2" w:rsidRPr="00A5761E" w:rsidRDefault="000A65B2" w:rsidP="00321101">
      <w:pPr>
        <w:pStyle w:val="Pardfaut"/>
        <w:spacing w:before="0" w:after="120" w:line="480" w:lineRule="auto"/>
        <w:jc w:val="both"/>
        <w:rPr>
          <w:rFonts w:ascii="Arial" w:hAnsi="Arial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8686B0" w14:textId="4B57951F" w:rsidR="006747BF" w:rsidRPr="0099240B" w:rsidRDefault="006747BF">
      <w:pPr>
        <w:pStyle w:val="Pardfaut"/>
        <w:spacing w:before="0" w:after="120" w:line="480" w:lineRule="auto"/>
        <w:jc w:val="both"/>
        <w:rPr>
          <w:lang w:val="en-CA"/>
        </w:rPr>
      </w:pPr>
    </w:p>
    <w:sectPr w:rsidR="006747BF" w:rsidRPr="0099240B">
      <w:foot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C661" w14:textId="77777777" w:rsidR="0056147B" w:rsidRDefault="0056147B">
      <w:r>
        <w:separator/>
      </w:r>
    </w:p>
  </w:endnote>
  <w:endnote w:type="continuationSeparator" w:id="0">
    <w:p w14:paraId="75C36972" w14:textId="77777777" w:rsidR="0056147B" w:rsidRDefault="0056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9910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0CA0128" w14:textId="36FD7883" w:rsidR="002776EC" w:rsidRPr="002776EC" w:rsidRDefault="002776EC">
        <w:pPr>
          <w:pStyle w:val="Footer"/>
          <w:jc w:val="right"/>
          <w:rPr>
            <w:rFonts w:ascii="Arial" w:hAnsi="Arial" w:cs="Arial"/>
          </w:rPr>
        </w:pPr>
        <w:r w:rsidRPr="002776EC">
          <w:rPr>
            <w:rFonts w:ascii="Arial" w:hAnsi="Arial" w:cs="Arial"/>
          </w:rPr>
          <w:fldChar w:fldCharType="begin"/>
        </w:r>
        <w:r w:rsidRPr="002776EC">
          <w:rPr>
            <w:rFonts w:ascii="Arial" w:hAnsi="Arial" w:cs="Arial"/>
          </w:rPr>
          <w:instrText xml:space="preserve"> PAGE   \* MERGEFORMAT </w:instrText>
        </w:r>
        <w:r w:rsidRPr="002776EC">
          <w:rPr>
            <w:rFonts w:ascii="Arial" w:hAnsi="Arial" w:cs="Arial"/>
          </w:rPr>
          <w:fldChar w:fldCharType="separate"/>
        </w:r>
        <w:r w:rsidRPr="002776EC">
          <w:rPr>
            <w:rFonts w:ascii="Arial" w:hAnsi="Arial" w:cs="Arial"/>
            <w:noProof/>
          </w:rPr>
          <w:t>2</w:t>
        </w:r>
        <w:r w:rsidRPr="002776EC">
          <w:rPr>
            <w:rFonts w:ascii="Arial" w:hAnsi="Arial" w:cs="Arial"/>
            <w:noProof/>
          </w:rPr>
          <w:fldChar w:fldCharType="end"/>
        </w:r>
      </w:p>
    </w:sdtContent>
  </w:sdt>
  <w:p w14:paraId="22D9C45E" w14:textId="77777777" w:rsidR="006747BF" w:rsidRDefault="006747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74A4" w14:textId="77777777" w:rsidR="0056147B" w:rsidRDefault="0056147B">
      <w:r>
        <w:separator/>
      </w:r>
    </w:p>
  </w:footnote>
  <w:footnote w:type="continuationSeparator" w:id="0">
    <w:p w14:paraId="6FB9A185" w14:textId="77777777" w:rsidR="0056147B" w:rsidRDefault="0056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BF"/>
    <w:rsid w:val="00041140"/>
    <w:rsid w:val="0009384C"/>
    <w:rsid w:val="000A65B2"/>
    <w:rsid w:val="0014279F"/>
    <w:rsid w:val="00142E88"/>
    <w:rsid w:val="001E1322"/>
    <w:rsid w:val="001E3FF3"/>
    <w:rsid w:val="002776EC"/>
    <w:rsid w:val="002A32B6"/>
    <w:rsid w:val="002A639C"/>
    <w:rsid w:val="002B4337"/>
    <w:rsid w:val="002E21EB"/>
    <w:rsid w:val="00301543"/>
    <w:rsid w:val="00321101"/>
    <w:rsid w:val="003A5874"/>
    <w:rsid w:val="00470960"/>
    <w:rsid w:val="00470C72"/>
    <w:rsid w:val="004732DA"/>
    <w:rsid w:val="00474622"/>
    <w:rsid w:val="00474C0F"/>
    <w:rsid w:val="004F11CE"/>
    <w:rsid w:val="005035D6"/>
    <w:rsid w:val="00552C26"/>
    <w:rsid w:val="0056147B"/>
    <w:rsid w:val="00565F48"/>
    <w:rsid w:val="00575D4E"/>
    <w:rsid w:val="005911DF"/>
    <w:rsid w:val="00595F89"/>
    <w:rsid w:val="005F3582"/>
    <w:rsid w:val="006017D8"/>
    <w:rsid w:val="00607038"/>
    <w:rsid w:val="00625908"/>
    <w:rsid w:val="006747BF"/>
    <w:rsid w:val="007402EC"/>
    <w:rsid w:val="00772E70"/>
    <w:rsid w:val="00815389"/>
    <w:rsid w:val="0083573C"/>
    <w:rsid w:val="00866D74"/>
    <w:rsid w:val="00885159"/>
    <w:rsid w:val="00896D0B"/>
    <w:rsid w:val="008A0A1C"/>
    <w:rsid w:val="00917078"/>
    <w:rsid w:val="0099240B"/>
    <w:rsid w:val="0099658B"/>
    <w:rsid w:val="00A15013"/>
    <w:rsid w:val="00A5761E"/>
    <w:rsid w:val="00AF6730"/>
    <w:rsid w:val="00AF746C"/>
    <w:rsid w:val="00B1150E"/>
    <w:rsid w:val="00B1445D"/>
    <w:rsid w:val="00B30A0A"/>
    <w:rsid w:val="00B54ABD"/>
    <w:rsid w:val="00BF344C"/>
    <w:rsid w:val="00C15C86"/>
    <w:rsid w:val="00C24571"/>
    <w:rsid w:val="00C40231"/>
    <w:rsid w:val="00C65D75"/>
    <w:rsid w:val="00C72CEC"/>
    <w:rsid w:val="00C73EDD"/>
    <w:rsid w:val="00CC548C"/>
    <w:rsid w:val="00D42991"/>
    <w:rsid w:val="00D626BF"/>
    <w:rsid w:val="00D750EC"/>
    <w:rsid w:val="00D962DC"/>
    <w:rsid w:val="00DA6D21"/>
    <w:rsid w:val="00DE0D00"/>
    <w:rsid w:val="00E01DAF"/>
    <w:rsid w:val="00E30D5A"/>
    <w:rsid w:val="00E41E65"/>
    <w:rsid w:val="00E447B6"/>
    <w:rsid w:val="00F119A0"/>
    <w:rsid w:val="00F13C30"/>
    <w:rsid w:val="00F149CA"/>
    <w:rsid w:val="00F1716F"/>
    <w:rsid w:val="00F5612E"/>
    <w:rsid w:val="00F64332"/>
    <w:rsid w:val="00FA58D9"/>
    <w:rsid w:val="00F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4E81"/>
  <w15:docId w15:val="{953EFA9C-45BA-401B-9F72-2F038B56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740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2E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2E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2EC"/>
    <w:rPr>
      <w:rFonts w:ascii="Segoe UI" w:hAnsi="Segoe UI" w:cs="Segoe UI"/>
      <w:sz w:val="18"/>
      <w:szCs w:val="18"/>
      <w:lang w:val="en-US" w:eastAsia="en-US"/>
    </w:rPr>
  </w:style>
  <w:style w:type="paragraph" w:customStyle="1" w:styleId="PardfautAA">
    <w:name w:val="Par défaut A A"/>
    <w:link w:val="PardfautAAChar"/>
    <w:rsid w:val="000A65B2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ardfautAAChar">
    <w:name w:val="Par défaut A A Char"/>
    <w:basedOn w:val="DefaultParagraphFont"/>
    <w:link w:val="PardfautAA"/>
    <w:rsid w:val="000A65B2"/>
    <w:rPr>
      <w:rFonts w:ascii="Helvetica Neue" w:eastAsia="Helvetica Neue" w:hAnsi="Helvetica Neue" w:cs="Helvetica Neue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277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6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77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6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0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705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889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9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55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1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1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0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43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41223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94878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319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3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7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7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5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18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341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74248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1844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8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19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CHUM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Marie-Hélène Normand</cp:lastModifiedBy>
  <cp:revision>52</cp:revision>
  <dcterms:created xsi:type="dcterms:W3CDTF">2023-12-05T18:48:00Z</dcterms:created>
  <dcterms:modified xsi:type="dcterms:W3CDTF">2025-08-01T14:41:00Z</dcterms:modified>
</cp:coreProperties>
</file>