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0E3B" w14:textId="330CD768" w:rsidR="00512400" w:rsidRPr="001D1E98" w:rsidRDefault="00512400" w:rsidP="00512400">
      <w:pPr>
        <w:rPr>
          <w:rFonts w:ascii="Arial" w:hAnsi="Arial" w:cs="Arial"/>
          <w:i/>
          <w:iCs/>
          <w:sz w:val="22"/>
          <w:szCs w:val="22"/>
        </w:rPr>
      </w:pPr>
      <w:r w:rsidRPr="001D1E98">
        <w:rPr>
          <w:rFonts w:ascii="Arial" w:hAnsi="Arial" w:cs="Arial"/>
          <w:i/>
          <w:iCs/>
        </w:rPr>
        <w:t xml:space="preserve">Table S1: </w:t>
      </w:r>
      <w:r w:rsidRPr="001D1E98">
        <w:rPr>
          <w:rFonts w:ascii="Arial" w:hAnsi="Arial" w:cs="Arial"/>
        </w:rPr>
        <w:t xml:space="preserve">Antibodies and </w:t>
      </w:r>
      <w:r w:rsidR="00386403">
        <w:rPr>
          <w:rFonts w:ascii="Arial" w:hAnsi="Arial" w:cs="Arial"/>
        </w:rPr>
        <w:t xml:space="preserve">fluorescent </w:t>
      </w:r>
      <w:r w:rsidRPr="001D1E98">
        <w:rPr>
          <w:rFonts w:ascii="Arial" w:hAnsi="Arial" w:cs="Arial"/>
        </w:rPr>
        <w:t>dye</w:t>
      </w:r>
      <w:r w:rsidR="002F57EB">
        <w:rPr>
          <w:rFonts w:ascii="Arial" w:hAnsi="Arial" w:cs="Arial"/>
        </w:rPr>
        <w:t>s used in this work</w:t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2965"/>
        <w:gridCol w:w="999"/>
        <w:gridCol w:w="889"/>
        <w:gridCol w:w="1220"/>
        <w:gridCol w:w="3035"/>
      </w:tblGrid>
      <w:tr w:rsidR="00512400" w:rsidRPr="001D1E98" w14:paraId="1D3BC89E" w14:textId="77777777" w:rsidTr="001B6F44">
        <w:trPr>
          <w:trHeight w:val="460"/>
        </w:trPr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62E000" w14:textId="77777777" w:rsidR="00512400" w:rsidRPr="001D1E98" w:rsidRDefault="00512400" w:rsidP="005124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Antibody/Dye target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382F6D" w14:textId="77777777" w:rsidR="00512400" w:rsidRPr="001D1E98" w:rsidRDefault="00512400" w:rsidP="005124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8030C1" w14:textId="77777777" w:rsidR="00512400" w:rsidRPr="001D1E98" w:rsidRDefault="00512400" w:rsidP="005124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Dilution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DB32E1" w14:textId="77777777" w:rsidR="00512400" w:rsidRPr="001D1E98" w:rsidRDefault="00512400" w:rsidP="005124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Company (Catalog #)</w:t>
            </w:r>
          </w:p>
        </w:tc>
      </w:tr>
      <w:tr w:rsidR="00512400" w:rsidRPr="001D1E98" w14:paraId="1B0F3494" w14:textId="77777777" w:rsidTr="001B6F44">
        <w:trPr>
          <w:trHeight w:val="54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17F0" w14:textId="77777777" w:rsidR="00512400" w:rsidRPr="001D1E98" w:rsidRDefault="00512400" w:rsidP="005124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F110E" w14:textId="77777777" w:rsidR="00512400" w:rsidRPr="001D1E98" w:rsidRDefault="00512400" w:rsidP="005124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E08C5" w14:textId="77777777" w:rsidR="00512400" w:rsidRPr="001D1E98" w:rsidRDefault="00512400" w:rsidP="005124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IF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60BC" w14:textId="77777777" w:rsidR="00512400" w:rsidRPr="001D1E98" w:rsidRDefault="00512400" w:rsidP="005124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WB</w:t>
            </w: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2C6BE" w14:textId="77777777" w:rsidR="00512400" w:rsidRPr="001D1E98" w:rsidRDefault="00512400" w:rsidP="005124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05A00" w:rsidRPr="001D1E98" w14:paraId="2A8CB45E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60C52B" w14:textId="5DCFDD59" w:rsidR="00005A00" w:rsidRPr="001D1E98" w:rsidRDefault="00005A00" w:rsidP="00005A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Anti-Map2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78CD53" w14:textId="0A6B9739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Rabbit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69C6A9" w14:textId="5C950ACC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1:200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F7359B" w14:textId="5CCC0A93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D07105" w14:textId="1ABE9AC5" w:rsidR="00005A00" w:rsidRPr="001D1E98" w:rsidRDefault="00005A00" w:rsidP="00005A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Abcam (ab32454)</w:t>
            </w:r>
          </w:p>
        </w:tc>
      </w:tr>
      <w:tr w:rsidR="00005A00" w:rsidRPr="001D1E98" w14:paraId="237A6824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F0552F" w14:textId="7F6A431D" w:rsidR="00005A00" w:rsidRPr="001D1E98" w:rsidRDefault="00005A00" w:rsidP="00005A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Anti-Synaptophysin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00E084" w14:textId="2A9DAEB1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Rabbit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B1E5EC" w14:textId="01DEE6F6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1:</w:t>
            </w:r>
            <w:r w:rsidR="00F56821"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CE4A88" w14:textId="7D8E26AB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1:1000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6E5958" w14:textId="77777777" w:rsidR="00005A00" w:rsidRPr="001D1E98" w:rsidRDefault="00005A00" w:rsidP="00005A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Santa Cruz Biotechnology</w:t>
            </w:r>
          </w:p>
          <w:p w14:paraId="250DF4F0" w14:textId="11665C1D" w:rsidR="00005A00" w:rsidRPr="001D1E98" w:rsidRDefault="00005A00" w:rsidP="00005A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(sc-17750)</w:t>
            </w:r>
          </w:p>
        </w:tc>
      </w:tr>
      <w:tr w:rsidR="00005A00" w:rsidRPr="001D1E98" w14:paraId="50900B5D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F9F576" w14:textId="3F34C5C4" w:rsidR="00005A00" w:rsidRPr="001D1E98" w:rsidRDefault="00F56821" w:rsidP="00005A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Anti-Alpha-synuclein (phospho S129)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4A752C" w14:textId="21BA761D" w:rsidR="00005A00" w:rsidRPr="001D1E98" w:rsidRDefault="001D1E98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Rabbit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7E19DC" w14:textId="42CC80A7" w:rsidR="00005A00" w:rsidRPr="001D1E98" w:rsidRDefault="001D1E98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1/200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B2F6F2" w14:textId="24F86DCD" w:rsidR="00005A00" w:rsidRPr="001D1E98" w:rsidRDefault="00005A00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1:1000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B87C94" w14:textId="29EDC1C3" w:rsidR="00005A00" w:rsidRPr="001D1E98" w:rsidRDefault="00005A00" w:rsidP="00005A0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Abcam (</w:t>
            </w:r>
            <w:r w:rsidR="001D1E98"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ab51253</w:t>
            </w: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005A00" w:rsidRPr="001D1E98" w14:paraId="6A723143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10C135" w14:textId="2ECFCAE8" w:rsidR="00005A00" w:rsidRPr="001D1E98" w:rsidRDefault="00005A00" w:rsidP="00005A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Anti-alpha Synuclein (Syn 211)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D0E09A" w14:textId="74A7F866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Mouse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453F52" w14:textId="1090FEF5" w:rsidR="00005A00" w:rsidRPr="001D1E98" w:rsidRDefault="00F56821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9B22A7" w14:textId="499FED8D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1:1000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8D2FDE" w14:textId="17690F45" w:rsidR="00005A00" w:rsidRPr="001D1E98" w:rsidRDefault="00005A00" w:rsidP="00005A0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Invitrogen (32-8100)</w:t>
            </w:r>
          </w:p>
        </w:tc>
      </w:tr>
      <w:tr w:rsidR="00005A00" w:rsidRPr="001D1E98" w14:paraId="39E22CFD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D8BA78" w14:textId="347B83C3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Anti-PSD95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767359" w14:textId="017AA470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Mouse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33EA6F" w14:textId="590312EF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B57AA5" w14:textId="65FA4825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1:1000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2EC902" w14:textId="4DAE9945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Abcam (ab18258)</w:t>
            </w:r>
          </w:p>
        </w:tc>
      </w:tr>
      <w:tr w:rsidR="00005A00" w:rsidRPr="001D1E98" w14:paraId="672E5C57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E4C8E4" w14:textId="6EE9D0E9" w:rsidR="00005A00" w:rsidRPr="001D1E98" w:rsidRDefault="00005A00" w:rsidP="00005A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Anti-Biotin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BAAA5" w14:textId="78343984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Mouse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CE514A" w14:textId="48096D24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113317" w14:textId="7CAAD223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1BD77" w14:textId="516FE516" w:rsidR="00005A00" w:rsidRPr="001D1E98" w:rsidRDefault="00005A00" w:rsidP="00005A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 xml:space="preserve"> (4967S)</w:t>
            </w:r>
          </w:p>
        </w:tc>
      </w:tr>
      <w:tr w:rsidR="00005A00" w:rsidRPr="001D1E98" w14:paraId="6E79AB36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9954D6" w14:textId="188B596E" w:rsidR="00005A00" w:rsidRPr="001D1E98" w:rsidRDefault="00005A00" w:rsidP="00005A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Anti-β-Actin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5890C7" w14:textId="3C0476F4" w:rsidR="00005A00" w:rsidRPr="001D1E98" w:rsidRDefault="00005A00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Mouse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B6DFA9" w14:textId="125449D5" w:rsidR="00005A00" w:rsidRPr="001D1E98" w:rsidRDefault="00005A00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AF272B" w14:textId="46A12607" w:rsidR="00005A00" w:rsidRPr="001D1E98" w:rsidRDefault="00005A00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1:2000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7E6F1E" w14:textId="61C877D8" w:rsidR="00005A00" w:rsidRPr="001D1E98" w:rsidRDefault="00005A00" w:rsidP="00005A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Cell Signaling (4967)</w:t>
            </w:r>
          </w:p>
        </w:tc>
      </w:tr>
      <w:tr w:rsidR="00005A00" w:rsidRPr="001D1E98" w14:paraId="4F7EF3FD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AA243D" w14:textId="4C7C1CC2" w:rsidR="00005A00" w:rsidRPr="001D1E98" w:rsidRDefault="00005A00" w:rsidP="00005A0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bCs/>
                <w:sz w:val="22"/>
                <w:szCs w:val="22"/>
              </w:rPr>
              <w:t>DAPI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3D081C" w14:textId="444E8F0A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6CECBE" w14:textId="607F4A24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1/5000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3154F" w14:textId="0E4C214C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153AD6" w14:textId="119CF5D8" w:rsidR="00005A00" w:rsidRPr="001D1E98" w:rsidRDefault="00005A00" w:rsidP="00005A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Invitrogen(D1306)</w:t>
            </w:r>
          </w:p>
        </w:tc>
      </w:tr>
      <w:tr w:rsidR="00005A00" w:rsidRPr="001D1E98" w14:paraId="197A0BF0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CD623E" w14:textId="7A28BF8A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Alexa Fluor 488-phalloidin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3ECBA0" w14:textId="6A253729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169091" w14:textId="57442187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1:500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B4E38B" w14:textId="6BC71BC5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8A0F4F" w14:textId="494E87E4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 xml:space="preserve"> (A12379)</w:t>
            </w:r>
          </w:p>
        </w:tc>
      </w:tr>
      <w:tr w:rsidR="00005A00" w:rsidRPr="001D1E98" w14:paraId="0D4EA7E6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631F5B" w14:textId="556CE919" w:rsidR="00005A00" w:rsidRPr="001D1E98" w:rsidRDefault="00005A00" w:rsidP="00005A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Fluo-4-AM cell permanent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B6B5DB" w14:textId="4E3750BA" w:rsidR="00005A00" w:rsidRPr="001D1E98" w:rsidRDefault="00005A00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6B7D8E" w14:textId="3B20D7F2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10μM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BC991C" w14:textId="7D07862C" w:rsidR="00005A00" w:rsidRPr="001D1E98" w:rsidRDefault="00005A00" w:rsidP="00005A0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4AAFFF" w14:textId="760939B9" w:rsidR="00005A00" w:rsidRPr="001D1E98" w:rsidRDefault="00005A00" w:rsidP="00005A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 xml:space="preserve"> F14201 (2836715)</w:t>
            </w:r>
          </w:p>
        </w:tc>
      </w:tr>
      <w:tr w:rsidR="00005A00" w:rsidRPr="001D1E98" w14:paraId="617E6845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8BE95D" w14:textId="1DB4DCD6" w:rsidR="00005A00" w:rsidRPr="001D1E98" w:rsidRDefault="00005A00" w:rsidP="00005A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Anti-HA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846137" w14:textId="088AFA11" w:rsidR="00005A00" w:rsidRPr="001D1E98" w:rsidRDefault="00005A00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Mouse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9238F2" w14:textId="269F4ACA" w:rsidR="00005A00" w:rsidRPr="001D1E98" w:rsidRDefault="00F56821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1/200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9F7E12" w14:textId="08C2A4F5" w:rsidR="00005A00" w:rsidRPr="001D1E98" w:rsidRDefault="00005A00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B4506E" w14:textId="2E3EF1AB" w:rsidR="00005A00" w:rsidRPr="001D1E98" w:rsidRDefault="00005A00" w:rsidP="00005A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Thermo-Fisher (26183)</w:t>
            </w:r>
          </w:p>
        </w:tc>
      </w:tr>
      <w:tr w:rsidR="00005A00" w:rsidRPr="001D1E98" w14:paraId="010F4E5E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97316E0" w14:textId="3FC9FC78" w:rsidR="00005A00" w:rsidRPr="001D1E98" w:rsidRDefault="00005A00" w:rsidP="00005A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sz w:val="22"/>
                <w:szCs w:val="22"/>
              </w:rPr>
              <w:t>Lysotracker Deep red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417A39" w14:textId="42E76F25" w:rsidR="00005A00" w:rsidRPr="001D1E98" w:rsidRDefault="00005A00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FAB74B" w14:textId="439FB954" w:rsidR="00005A00" w:rsidRPr="001D1E98" w:rsidRDefault="00005A00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1μM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56A93D" w14:textId="640546A9" w:rsidR="00005A00" w:rsidRPr="001D1E98" w:rsidRDefault="00005A00" w:rsidP="00005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A75FB5" w14:textId="6195B204" w:rsidR="00005A00" w:rsidRPr="001D1E98" w:rsidRDefault="00005A00" w:rsidP="00005A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Thermo-Fisher (L12492)</w:t>
            </w:r>
          </w:p>
        </w:tc>
      </w:tr>
      <w:tr w:rsidR="00005A00" w:rsidRPr="001D1E98" w14:paraId="0A2282D1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3E14AF" w14:textId="64842110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Anti-rabbit IgG, HRP-linked Antibody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AC61AE" w14:textId="3BF54B7D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Rabbit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2C28ED" w14:textId="4C5DCABC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2AE855" w14:textId="45375D59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1:2000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1FF5B8" w14:textId="4931776C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Cell Signaling (</w:t>
            </w:r>
            <w:r w:rsidRPr="001D1E98">
              <w:rPr>
                <w:rFonts w:ascii="Arial" w:hAnsi="Arial" w:cs="Arial"/>
                <w:color w:val="000000" w:themeColor="text1"/>
                <w:sz w:val="22"/>
                <w:szCs w:val="22"/>
              </w:rPr>
              <w:t>7074</w:t>
            </w:r>
            <w:r w:rsidRPr="001D1E9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005A00" w:rsidRPr="001D1E98" w14:paraId="03A16DAE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013FC6" w14:textId="6FB89719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 xml:space="preserve"> Alexa Flour 488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F88371" w14:textId="17897F2A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Mouse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D77133" w14:textId="10E02316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1:200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1E81C8" w14:textId="01AEB8A5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657760" w14:textId="26EE4784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Invitrogen (A32766)</w:t>
            </w:r>
          </w:p>
        </w:tc>
      </w:tr>
      <w:tr w:rsidR="00005A00" w:rsidRPr="001D1E98" w14:paraId="63674271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FE2E7A" w14:textId="1E3A67ED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Alexa Flour 647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49CB6B" w14:textId="41B1B8D4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Rabbit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0DC48D" w14:textId="5A0C6CAA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1:200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3A38A8" w14:textId="29B192D2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9C39EE" w14:textId="1C5A4CB2" w:rsidR="00005A00" w:rsidRPr="001D1E98" w:rsidRDefault="00005A00" w:rsidP="00005A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Invitrogen (</w:t>
            </w:r>
            <w:r w:rsidRPr="001D1E98">
              <w:rPr>
                <w:rFonts w:ascii="Arial" w:hAnsi="Arial" w:cs="Arial"/>
                <w:bCs/>
                <w:sz w:val="22"/>
                <w:szCs w:val="22"/>
              </w:rPr>
              <w:t>A-32733</w:t>
            </w: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05A00" w:rsidRPr="001D1E98" w14:paraId="23B510B3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F9617C" w14:textId="4F3D0A4D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IRDye</w:t>
            </w:r>
            <w:proofErr w:type="spellEnd"/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 xml:space="preserve"> 680DR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1DB182" w14:textId="73C10A4E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Rabbit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2F8B70" w14:textId="4FB54679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051EE8" w14:textId="785D7EC6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1:10000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7F6E3E" w14:textId="35D56492" w:rsidR="00005A00" w:rsidRPr="001D1E98" w:rsidRDefault="00005A00" w:rsidP="00005A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LI-COR (926-68073)</w:t>
            </w:r>
          </w:p>
        </w:tc>
      </w:tr>
      <w:tr w:rsidR="00005A00" w:rsidRPr="001D1E98" w14:paraId="0513A13E" w14:textId="77777777" w:rsidTr="001B6F44">
        <w:trPr>
          <w:trHeight w:val="58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44E6423" w14:textId="56800B95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IRDye</w:t>
            </w:r>
            <w:proofErr w:type="spellEnd"/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 xml:space="preserve"> 800CW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648CFF" w14:textId="0949251B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Mouse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81FD42" w14:textId="59A25A7B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DDB918" w14:textId="56212558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1:10000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12D21D" w14:textId="50A28512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E98">
              <w:rPr>
                <w:rFonts w:ascii="Arial" w:hAnsi="Arial" w:cs="Arial"/>
                <w:color w:val="000000"/>
                <w:sz w:val="22"/>
                <w:szCs w:val="22"/>
              </w:rPr>
              <w:t>LI-COR (926-32212)</w:t>
            </w:r>
          </w:p>
        </w:tc>
      </w:tr>
      <w:tr w:rsidR="00005A00" w:rsidRPr="005D3C1E" w14:paraId="2DC9A87F" w14:textId="77777777" w:rsidTr="001B6F44">
        <w:trPr>
          <w:trHeight w:val="32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5BCB" w14:textId="34C8ACE1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648D" w14:textId="2456E62A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149D" w14:textId="1B4D6F55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CF5C" w14:textId="20B6EAB5" w:rsidR="00005A00" w:rsidRPr="001D1E98" w:rsidRDefault="00005A00" w:rsidP="00005A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FCDDE" w14:textId="3970353B" w:rsidR="00005A00" w:rsidRPr="001D1E98" w:rsidRDefault="00005A00" w:rsidP="00005A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66FE246" w14:textId="77777777" w:rsidR="00512400" w:rsidRDefault="00512400" w:rsidP="00512400"/>
    <w:p w14:paraId="38AFA33A" w14:textId="77777777" w:rsidR="0057358B" w:rsidRDefault="0057358B" w:rsidP="00512400"/>
    <w:p w14:paraId="6F18D52D" w14:textId="6C76CC1F" w:rsidR="0057358B" w:rsidRPr="00E119C3" w:rsidRDefault="0074373D" w:rsidP="005124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Specific r</w:t>
      </w:r>
      <w:r w:rsidR="0057358B" w:rsidRPr="00E119C3">
        <w:rPr>
          <w:b/>
          <w:bCs/>
          <w:sz w:val="28"/>
          <w:szCs w:val="28"/>
        </w:rPr>
        <w:t>eagents</w:t>
      </w:r>
      <w:r w:rsidR="00A5773A">
        <w:rPr>
          <w:b/>
          <w:bCs/>
          <w:sz w:val="28"/>
          <w:szCs w:val="28"/>
        </w:rPr>
        <w:t>:</w:t>
      </w:r>
    </w:p>
    <w:p w14:paraId="42D3D518" w14:textId="53B30FBF" w:rsidR="00302E24" w:rsidRPr="00543A39" w:rsidRDefault="00302E24" w:rsidP="00512400">
      <w:pPr>
        <w:rPr>
          <w:b/>
          <w:bCs/>
          <w:color w:val="EE0000"/>
        </w:rPr>
      </w:pPr>
      <w:r w:rsidRPr="00302E24">
        <w:t>Sodium 2-mercaptoethanesulfonate (MESNA)</w:t>
      </w:r>
      <w:r>
        <w:t xml:space="preserve"> was purchased from Millipore Sigma</w:t>
      </w:r>
      <w:r w:rsidR="00A04984">
        <w:t xml:space="preserve"> (USA)</w:t>
      </w:r>
      <w:r>
        <w:t xml:space="preserve">. </w:t>
      </w:r>
      <w:r w:rsidRPr="00302E24">
        <w:t>Chitin resin</w:t>
      </w:r>
      <w:r>
        <w:t xml:space="preserve"> was </w:t>
      </w:r>
      <w:r w:rsidR="006F0EA3">
        <w:t>purchased</w:t>
      </w:r>
      <w:r>
        <w:t xml:space="preserve"> from New England Biolabs</w:t>
      </w:r>
      <w:r w:rsidR="00A04984">
        <w:t xml:space="preserve"> (USA)</w:t>
      </w:r>
      <w:r>
        <w:t>.</w:t>
      </w:r>
      <w:r w:rsidR="006F0EA3">
        <w:t xml:space="preserve"> </w:t>
      </w:r>
      <w:r w:rsidR="00322A73" w:rsidRPr="00322A73">
        <w:t xml:space="preserve">Rink amide resin, </w:t>
      </w:r>
      <w:r w:rsidR="00E02241">
        <w:t xml:space="preserve">Fmoc </w:t>
      </w:r>
      <w:r w:rsidR="00322A73" w:rsidRPr="00322A73">
        <w:t xml:space="preserve">amino acids, and HATU were purchased from P3 </w:t>
      </w:r>
      <w:proofErr w:type="spellStart"/>
      <w:r w:rsidR="00322A73" w:rsidRPr="00322A73">
        <w:t>BioSystems</w:t>
      </w:r>
      <w:proofErr w:type="spellEnd"/>
      <w:r w:rsidR="00322A73" w:rsidRPr="00322A73">
        <w:t xml:space="preserve"> (USA). Solvents (DMF, DCM, DIEA, TFA) were purchased from Sigma-Aldrich (USA). IPTG, Dithiothreitol and </w:t>
      </w:r>
      <w:proofErr w:type="spellStart"/>
      <w:r w:rsidR="00322A73" w:rsidRPr="00322A73">
        <w:t>ProBlock</w:t>
      </w:r>
      <w:proofErr w:type="spellEnd"/>
      <w:r w:rsidR="00322A73" w:rsidRPr="00322A73">
        <w:t>™ Protease Inhibitor Cocktail</w:t>
      </w:r>
      <w:r w:rsidR="00E02241">
        <w:t xml:space="preserve"> tablets</w:t>
      </w:r>
      <w:r w:rsidR="00322A73" w:rsidRPr="00322A73">
        <w:t xml:space="preserve"> were purchased from </w:t>
      </w:r>
      <w:proofErr w:type="spellStart"/>
      <w:r w:rsidR="00322A73" w:rsidRPr="00322A73">
        <w:t>GoldBio</w:t>
      </w:r>
      <w:proofErr w:type="spellEnd"/>
      <w:r w:rsidR="00322A73" w:rsidRPr="00322A73">
        <w:t xml:space="preserve"> (USA).  </w:t>
      </w:r>
      <w:r w:rsidR="006F0EA3" w:rsidRPr="006F0EA3">
        <w:t>Thalidomide</w:t>
      </w:r>
      <w:r w:rsidR="00101395">
        <w:t xml:space="preserve"> (</w:t>
      </w:r>
      <w:r w:rsidR="00101395" w:rsidRPr="00101395">
        <w:t>BP-24453)</w:t>
      </w:r>
      <w:r w:rsidR="00101395">
        <w:t xml:space="preserve"> </w:t>
      </w:r>
      <w:r w:rsidR="006A02BA">
        <w:t>and AHPC</w:t>
      </w:r>
      <w:r w:rsidR="00101395">
        <w:t xml:space="preserve"> (</w:t>
      </w:r>
      <w:r w:rsidR="003C1941" w:rsidRPr="003C1941">
        <w:t>BP-25120</w:t>
      </w:r>
      <w:r w:rsidR="003C1941">
        <w:t>)</w:t>
      </w:r>
      <w:r w:rsidR="006A02BA">
        <w:t xml:space="preserve"> NHS ester</w:t>
      </w:r>
      <w:r w:rsidR="00DE5059">
        <w:t>s</w:t>
      </w:r>
      <w:r w:rsidR="006A02BA">
        <w:t xml:space="preserve">, </w:t>
      </w:r>
      <w:proofErr w:type="spellStart"/>
      <w:r w:rsidR="006A02BA">
        <w:t>Sulfo</w:t>
      </w:r>
      <w:proofErr w:type="spellEnd"/>
      <w:r w:rsidR="006A02BA">
        <w:t>-DBCO-amine</w:t>
      </w:r>
      <w:r w:rsidR="00101395">
        <w:t xml:space="preserve"> (</w:t>
      </w:r>
      <w:r w:rsidR="00101395" w:rsidRPr="00101395">
        <w:t>BP-23309</w:t>
      </w:r>
      <w:r w:rsidR="00101395">
        <w:t>)</w:t>
      </w:r>
      <w:r w:rsidR="00F960C5">
        <w:t xml:space="preserve"> and Biotin-NHS ester</w:t>
      </w:r>
      <w:r w:rsidR="006F0EA3" w:rsidRPr="006F0EA3">
        <w:t xml:space="preserve"> </w:t>
      </w:r>
      <w:r w:rsidR="00F960C5">
        <w:t>(</w:t>
      </w:r>
      <w:r w:rsidR="00F960C5" w:rsidRPr="00F960C5">
        <w:t>BP-22106</w:t>
      </w:r>
      <w:r w:rsidR="00F960C5">
        <w:t xml:space="preserve">) </w:t>
      </w:r>
      <w:r w:rsidR="006F0EA3" w:rsidRPr="006F0EA3">
        <w:t>w</w:t>
      </w:r>
      <w:r w:rsidR="006A02BA">
        <w:t>ere</w:t>
      </w:r>
      <w:r w:rsidR="006F0EA3" w:rsidRPr="006F0EA3">
        <w:t xml:space="preserve"> purchased from </w:t>
      </w:r>
      <w:proofErr w:type="spellStart"/>
      <w:r w:rsidR="006F0EA3" w:rsidRPr="006F0EA3">
        <w:t>BroadPharm</w:t>
      </w:r>
      <w:proofErr w:type="spellEnd"/>
      <w:r w:rsidR="00A04984">
        <w:t xml:space="preserve"> (California, USA)</w:t>
      </w:r>
      <w:r w:rsidR="006F0EA3">
        <w:t>.</w:t>
      </w:r>
      <w:r w:rsidR="00BF3D15">
        <w:t xml:space="preserve"> TAMRA carboxylic acid, </w:t>
      </w:r>
      <w:r w:rsidR="003A372E">
        <w:t>5</w:t>
      </w:r>
      <w:r w:rsidR="00BF3D15">
        <w:t xml:space="preserve">-isoform </w:t>
      </w:r>
      <w:r w:rsidR="003A372E">
        <w:t xml:space="preserve">(67190) </w:t>
      </w:r>
      <w:r w:rsidR="00BF3D15">
        <w:t xml:space="preserve">was purchased from </w:t>
      </w:r>
      <w:proofErr w:type="spellStart"/>
      <w:r w:rsidR="00BF3D15">
        <w:t>Lumiprobe</w:t>
      </w:r>
      <w:proofErr w:type="spellEnd"/>
      <w:r w:rsidR="00BF3D15">
        <w:t xml:space="preserve"> (USA).</w:t>
      </w:r>
      <w:r w:rsidR="00FA6E3D">
        <w:t xml:space="preserve"> </w:t>
      </w:r>
    </w:p>
    <w:sectPr w:rsidR="00302E24" w:rsidRPr="0054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00"/>
    <w:rsid w:val="00005A00"/>
    <w:rsid w:val="0002042A"/>
    <w:rsid w:val="000B52C6"/>
    <w:rsid w:val="000C565A"/>
    <w:rsid w:val="000F1638"/>
    <w:rsid w:val="00101395"/>
    <w:rsid w:val="00127D2B"/>
    <w:rsid w:val="00157B56"/>
    <w:rsid w:val="00185045"/>
    <w:rsid w:val="001B6F44"/>
    <w:rsid w:val="001D1E98"/>
    <w:rsid w:val="002414A0"/>
    <w:rsid w:val="002B4E7E"/>
    <w:rsid w:val="002F52FA"/>
    <w:rsid w:val="002F57EB"/>
    <w:rsid w:val="00302E24"/>
    <w:rsid w:val="00311A2B"/>
    <w:rsid w:val="00317182"/>
    <w:rsid w:val="00322A73"/>
    <w:rsid w:val="0035698F"/>
    <w:rsid w:val="00386403"/>
    <w:rsid w:val="0039449E"/>
    <w:rsid w:val="003A372E"/>
    <w:rsid w:val="003C1941"/>
    <w:rsid w:val="003E5A55"/>
    <w:rsid w:val="004E16EE"/>
    <w:rsid w:val="0050167F"/>
    <w:rsid w:val="00512400"/>
    <w:rsid w:val="00530709"/>
    <w:rsid w:val="00543A39"/>
    <w:rsid w:val="005540FE"/>
    <w:rsid w:val="005563D6"/>
    <w:rsid w:val="0057358B"/>
    <w:rsid w:val="0058259C"/>
    <w:rsid w:val="005B4196"/>
    <w:rsid w:val="005D3C1E"/>
    <w:rsid w:val="006132A1"/>
    <w:rsid w:val="0063590C"/>
    <w:rsid w:val="006A02BA"/>
    <w:rsid w:val="006B7B78"/>
    <w:rsid w:val="006F0EA3"/>
    <w:rsid w:val="006F2239"/>
    <w:rsid w:val="0074373D"/>
    <w:rsid w:val="00755ED2"/>
    <w:rsid w:val="007A1E96"/>
    <w:rsid w:val="007D1578"/>
    <w:rsid w:val="007E2BDC"/>
    <w:rsid w:val="00915D13"/>
    <w:rsid w:val="00A04984"/>
    <w:rsid w:val="00A1328E"/>
    <w:rsid w:val="00A25D7A"/>
    <w:rsid w:val="00A5773A"/>
    <w:rsid w:val="00B7562B"/>
    <w:rsid w:val="00BA7957"/>
    <w:rsid w:val="00BF3D15"/>
    <w:rsid w:val="00C7143B"/>
    <w:rsid w:val="00C73AB8"/>
    <w:rsid w:val="00CE4E01"/>
    <w:rsid w:val="00D46AF9"/>
    <w:rsid w:val="00DA1617"/>
    <w:rsid w:val="00DE5059"/>
    <w:rsid w:val="00E02241"/>
    <w:rsid w:val="00E119C3"/>
    <w:rsid w:val="00E34B9D"/>
    <w:rsid w:val="00E92783"/>
    <w:rsid w:val="00F56821"/>
    <w:rsid w:val="00F960C5"/>
    <w:rsid w:val="00FA6E3D"/>
    <w:rsid w:val="00FC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4998"/>
  <w15:chartTrackingRefBased/>
  <w15:docId w15:val="{D587E169-DA2E-D141-AD12-4D18EDF9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E9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E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ED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ED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C31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1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3172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39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3981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Nhat</dc:creator>
  <cp:keywords/>
  <dc:description/>
  <cp:lastModifiedBy>Chu, Nam</cp:lastModifiedBy>
  <cp:revision>29</cp:revision>
  <dcterms:created xsi:type="dcterms:W3CDTF">2025-10-05T21:31:00Z</dcterms:created>
  <dcterms:modified xsi:type="dcterms:W3CDTF">2026-01-20T01:54:00Z</dcterms:modified>
</cp:coreProperties>
</file>