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32E1ED" w14:textId="799F5A2B" w:rsidR="00CD3196" w:rsidRPr="006912F6" w:rsidRDefault="00945F75" w:rsidP="00945F75">
      <w:pPr>
        <w:pStyle w:val="a4"/>
        <w:spacing w:line="480" w:lineRule="auto"/>
        <w:jc w:val="both"/>
        <w:rPr>
          <w:b/>
          <w:bCs/>
          <w:i w:val="0"/>
          <w:iCs w:val="0"/>
          <w:color w:val="auto"/>
          <w:sz w:val="20"/>
          <w:szCs w:val="14"/>
        </w:rPr>
      </w:pPr>
      <w:bookmarkStart w:id="0" w:name="_Hlk506733595"/>
      <w:r w:rsidRPr="006912F6">
        <w:rPr>
          <w:b/>
          <w:bCs/>
          <w:i w:val="0"/>
          <w:iCs w:val="0"/>
          <w:color w:val="auto"/>
          <w:sz w:val="20"/>
          <w:szCs w:val="14"/>
        </w:rPr>
        <w:t xml:space="preserve">Supplement </w:t>
      </w:r>
      <w:r w:rsidR="00CD3196" w:rsidRPr="006912F6">
        <w:rPr>
          <w:b/>
          <w:bCs/>
          <w:i w:val="0"/>
          <w:iCs w:val="0"/>
          <w:color w:val="auto"/>
          <w:sz w:val="20"/>
          <w:szCs w:val="14"/>
        </w:rPr>
        <w:t>1</w:t>
      </w:r>
      <w:r w:rsidRPr="006912F6">
        <w:rPr>
          <w:b/>
          <w:bCs/>
          <w:i w:val="0"/>
          <w:iCs w:val="0"/>
          <w:color w:val="auto"/>
          <w:sz w:val="20"/>
          <w:szCs w:val="14"/>
        </w:rPr>
        <w:t xml:space="preserve">. </w:t>
      </w:r>
      <w:r w:rsidR="00CD3196" w:rsidRPr="006912F6">
        <w:rPr>
          <w:b/>
          <w:bCs/>
          <w:i w:val="0"/>
          <w:iCs w:val="0"/>
          <w:color w:val="auto"/>
          <w:sz w:val="20"/>
          <w:szCs w:val="14"/>
        </w:rPr>
        <w:t>Estimation of expected annual benefit (EAB) for coastal defence against rising sea levels</w:t>
      </w:r>
    </w:p>
    <w:p w14:paraId="10CF3C4F" w14:textId="06B0A038" w:rsidR="00B866B4" w:rsidRPr="006912F6" w:rsidRDefault="00B866B4" w:rsidP="001612D9">
      <w:pPr>
        <w:pStyle w:val="a7"/>
        <w:ind w:left="0"/>
        <w:rPr>
          <w:sz w:val="20"/>
          <w:szCs w:val="20"/>
        </w:rPr>
      </w:pPr>
      <w:r w:rsidRPr="006912F6">
        <w:rPr>
          <w:sz w:val="20"/>
          <w:szCs w:val="20"/>
        </w:rPr>
        <w:t xml:space="preserve">Flood risk analysis examines how the risk of coastal flooding changes over time under different sea-level rise scenarios with a focus on the relation between climatic variables (e.g. extreme still water level or sea-level rise) and risks, the latter being hereafter represented by expected monetized flood damages or expected annual damages. This analysis defines avoided risk as benefit from an adaptation option, following conventional flood risk assessments and studies (Grossi and Kunrether, 2005; Hall and Solomartine, 2008). The </w:t>
      </w:r>
      <w:r w:rsidR="00AB7E4B" w:rsidRPr="006912F6">
        <w:rPr>
          <w:sz w:val="20"/>
          <w:szCs w:val="20"/>
        </w:rPr>
        <w:t>flood risk analysis</w:t>
      </w:r>
      <w:r w:rsidRPr="006912F6">
        <w:rPr>
          <w:sz w:val="20"/>
          <w:szCs w:val="20"/>
        </w:rPr>
        <w:t xml:space="preserve"> assumes that a certain magnitude of coastal event leads to a certain amount of flood damage. Coastal flooding is the consequence of the combining effects of storm surge events and astronomical tides (McMillian et al., 2011). The extents and damages of coastal flood events associated with the possible magnitude of climatic variables (i.e. ESWL+SLR+WAVE) are estimated, assuming for both the current and upgraded defences each year. Hence, this estimation provides a couple of damage curves and a benefit curve for an intervention measure (i.e. raising the crest level of coastal defence) over all the possible climatic variables. Based on that, we have statistically estimated the expected flood damages for both cases and the expected benefit from the intervention each year. This process has been conducted for each SLR scenario. The procedure is summarized in Figure </w:t>
      </w:r>
      <w:r w:rsidR="007671DA" w:rsidRPr="006912F6">
        <w:rPr>
          <w:sz w:val="20"/>
          <w:szCs w:val="20"/>
        </w:rPr>
        <w:t>1</w:t>
      </w:r>
      <w:r w:rsidRPr="006912F6">
        <w:rPr>
          <w:sz w:val="20"/>
          <w:szCs w:val="20"/>
        </w:rPr>
        <w:t>.1.</w:t>
      </w:r>
    </w:p>
    <w:p w14:paraId="7949544C" w14:textId="77777777" w:rsidR="00B866B4" w:rsidRPr="006912F6" w:rsidRDefault="00B866B4" w:rsidP="00B866B4">
      <w:pPr>
        <w:pStyle w:val="a7"/>
        <w:ind w:left="0"/>
        <w:rPr>
          <w:sz w:val="20"/>
          <w:szCs w:val="20"/>
        </w:rPr>
      </w:pPr>
    </w:p>
    <w:p w14:paraId="0D33F142" w14:textId="77777777" w:rsidR="00B866B4" w:rsidRPr="006912F6" w:rsidRDefault="00B866B4" w:rsidP="00B866B4">
      <w:pPr>
        <w:spacing w:line="240" w:lineRule="auto"/>
        <w:jc w:val="center"/>
        <w:rPr>
          <w:sz w:val="20"/>
          <w:szCs w:val="20"/>
        </w:rPr>
      </w:pPr>
      <w:r w:rsidRPr="006912F6">
        <w:rPr>
          <w:rFonts w:cs="Times New Roman"/>
          <w:noProof/>
          <w:sz w:val="20"/>
          <w:szCs w:val="20"/>
        </w:rPr>
        <w:drawing>
          <wp:inline distT="0" distB="0" distL="0" distR="0" wp14:anchorId="1D8BBCC1" wp14:editId="14D4E838">
            <wp:extent cx="5595666" cy="2019868"/>
            <wp:effectExtent l="0" t="0" r="5080" b="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33580" cy="2033554"/>
                    </a:xfrm>
                    <a:prstGeom prst="rect">
                      <a:avLst/>
                    </a:prstGeom>
                    <a:noFill/>
                  </pic:spPr>
                </pic:pic>
              </a:graphicData>
            </a:graphic>
          </wp:inline>
        </w:drawing>
      </w:r>
    </w:p>
    <w:p w14:paraId="1CBB1804" w14:textId="4E68EDC1" w:rsidR="00B866B4" w:rsidRPr="006912F6" w:rsidRDefault="00B866B4" w:rsidP="00B866B4">
      <w:pPr>
        <w:jc w:val="both"/>
        <w:rPr>
          <w:noProof/>
          <w:sz w:val="20"/>
          <w:szCs w:val="20"/>
        </w:rPr>
      </w:pPr>
      <w:bookmarkStart w:id="1" w:name="_Toc18071660"/>
      <w:r w:rsidRPr="006912F6">
        <w:rPr>
          <w:b/>
          <w:sz w:val="20"/>
          <w:szCs w:val="20"/>
        </w:rPr>
        <w:t xml:space="preserve">Figure </w:t>
      </w:r>
      <w:r w:rsidR="00857D49" w:rsidRPr="006912F6">
        <w:rPr>
          <w:b/>
          <w:sz w:val="20"/>
          <w:szCs w:val="20"/>
        </w:rPr>
        <w:t>1.</w:t>
      </w:r>
      <w:r w:rsidR="001612D9" w:rsidRPr="006912F6">
        <w:rPr>
          <w:b/>
          <w:sz w:val="20"/>
          <w:szCs w:val="20"/>
        </w:rPr>
        <w:t>1</w:t>
      </w:r>
      <w:r w:rsidRPr="006912F6">
        <w:rPr>
          <w:sz w:val="20"/>
          <w:szCs w:val="20"/>
        </w:rPr>
        <w:t xml:space="preserve"> </w:t>
      </w:r>
      <w:r w:rsidRPr="006912F6">
        <w:rPr>
          <w:noProof/>
          <w:sz w:val="20"/>
          <w:szCs w:val="20"/>
        </w:rPr>
        <w:t>The framework of flood risk analysis for evaluating statistically expected monetised damages and benefits in sea-level rise.</w:t>
      </w:r>
      <w:bookmarkEnd w:id="1"/>
    </w:p>
    <w:p w14:paraId="00263950" w14:textId="77777777" w:rsidR="00E4377C" w:rsidRPr="006912F6" w:rsidRDefault="00E4377C" w:rsidP="00B866B4">
      <w:pPr>
        <w:jc w:val="both"/>
        <w:rPr>
          <w:noProof/>
          <w:sz w:val="20"/>
          <w:szCs w:val="20"/>
        </w:rPr>
      </w:pPr>
    </w:p>
    <w:p w14:paraId="4965AB46" w14:textId="0B67F83F" w:rsidR="00E4377C" w:rsidRPr="006912F6" w:rsidRDefault="00E4377C" w:rsidP="001612D9">
      <w:pPr>
        <w:pStyle w:val="a7"/>
        <w:numPr>
          <w:ilvl w:val="1"/>
          <w:numId w:val="35"/>
        </w:numPr>
        <w:jc w:val="both"/>
        <w:outlineLvl w:val="0"/>
        <w:rPr>
          <w:rFonts w:eastAsia="맑은 고딕" w:cs="Times New Roman"/>
          <w:b/>
          <w:sz w:val="20"/>
          <w:szCs w:val="20"/>
        </w:rPr>
      </w:pPr>
      <w:r w:rsidRPr="006912F6">
        <w:rPr>
          <w:rFonts w:eastAsia="맑은 고딕" w:cs="Times New Roman"/>
          <w:b/>
          <w:sz w:val="20"/>
          <w:szCs w:val="20"/>
        </w:rPr>
        <w:t xml:space="preserve">The effect of sea level rise on coastal flooding  </w:t>
      </w:r>
    </w:p>
    <w:p w14:paraId="5C687FEF" w14:textId="559D0E62" w:rsidR="00E4377C" w:rsidRPr="006912F6" w:rsidRDefault="00E4377C" w:rsidP="00E4377C">
      <w:pPr>
        <w:jc w:val="both"/>
        <w:rPr>
          <w:rFonts w:eastAsia="맑은 고딕" w:cs="Times New Roman"/>
          <w:sz w:val="20"/>
          <w:szCs w:val="20"/>
        </w:rPr>
      </w:pPr>
      <w:r w:rsidRPr="006912F6">
        <w:rPr>
          <w:rFonts w:eastAsia="맑은 고딕" w:cs="Times New Roman"/>
          <w:sz w:val="20"/>
          <w:szCs w:val="20"/>
        </w:rPr>
        <w:t xml:space="preserve">The distributions of extreme still water levels (ESWL) are available every 2km along the UK coastline from the Environment Agency for England and Wales (McMillian et al., 2011; Batstone et al., 2013). The locations of the data points around Lymington </w:t>
      </w:r>
      <w:r w:rsidRPr="006912F6">
        <w:rPr>
          <w:rFonts w:eastAsia="맑은 고딕" w:cs="Times New Roman"/>
          <w:noProof/>
          <w:sz w:val="20"/>
          <w:szCs w:val="20"/>
        </w:rPr>
        <w:t>are shown</w:t>
      </w:r>
      <w:r w:rsidRPr="006912F6">
        <w:rPr>
          <w:rFonts w:eastAsia="맑은 고딕" w:cs="Times New Roman"/>
          <w:sz w:val="20"/>
          <w:szCs w:val="20"/>
        </w:rPr>
        <w:t xml:space="preserve"> in Figure </w:t>
      </w:r>
      <w:r w:rsidR="001612D9" w:rsidRPr="006912F6">
        <w:rPr>
          <w:rFonts w:eastAsia="맑은 고딕" w:cs="Times New Roman"/>
          <w:sz w:val="20"/>
          <w:szCs w:val="20"/>
        </w:rPr>
        <w:t>1.2 a</w:t>
      </w:r>
      <w:r w:rsidRPr="006912F6">
        <w:rPr>
          <w:rFonts w:eastAsia="맑은 고딕" w:cs="Times New Roman"/>
          <w:sz w:val="20"/>
          <w:szCs w:val="20"/>
        </w:rPr>
        <w:t>. We assume that the cumulative distribution function (CDF) of ESWL follows an exponential curve for the convenience of data fitting and calculation (R</w:t>
      </w:r>
      <w:r w:rsidRPr="006912F6">
        <w:rPr>
          <w:rFonts w:eastAsia="맑은 고딕" w:cs="Times New Roman"/>
          <w:sz w:val="20"/>
          <w:szCs w:val="20"/>
          <w:vertAlign w:val="superscript"/>
        </w:rPr>
        <w:t xml:space="preserve">2 </w:t>
      </w:r>
      <w:r w:rsidRPr="006912F6">
        <w:rPr>
          <w:rFonts w:eastAsia="맑은 고딕" w:cs="Times New Roman"/>
          <w:sz w:val="20"/>
          <w:szCs w:val="20"/>
        </w:rPr>
        <w:t xml:space="preserve">= 0.99) (Figure </w:t>
      </w:r>
      <w:r w:rsidR="001612D9" w:rsidRPr="006912F6">
        <w:rPr>
          <w:rFonts w:eastAsia="맑은 고딕" w:cs="Times New Roman"/>
          <w:sz w:val="20"/>
          <w:szCs w:val="20"/>
        </w:rPr>
        <w:t>1.2 b</w:t>
      </w:r>
      <w:r w:rsidRPr="006912F6">
        <w:rPr>
          <w:rFonts w:eastAsia="맑은 고딕" w:cs="Times New Roman"/>
          <w:sz w:val="20"/>
          <w:szCs w:val="20"/>
        </w:rPr>
        <w:t>).</w:t>
      </w:r>
    </w:p>
    <w:p w14:paraId="3000D60E" w14:textId="77777777" w:rsidR="00E4377C" w:rsidRPr="006912F6" w:rsidRDefault="00E4377C" w:rsidP="00E4377C">
      <w:pPr>
        <w:jc w:val="both"/>
        <w:rPr>
          <w:sz w:val="20"/>
          <w:szCs w:val="20"/>
        </w:rPr>
      </w:pPr>
      <w:r w:rsidRPr="006912F6">
        <w:rPr>
          <w:rFonts w:eastAsia="맑은 고딕" w:cs="Times New Roman"/>
          <w:noProof/>
          <w:sz w:val="20"/>
          <w:szCs w:val="20"/>
          <w:lang w:eastAsia="en-GB"/>
        </w:rPr>
        <w:lastRenderedPageBreak/>
        <w:drawing>
          <wp:inline distT="0" distB="0" distL="0" distR="0" wp14:anchorId="3D6B8859" wp14:editId="615A8510">
            <wp:extent cx="5771693" cy="3049114"/>
            <wp:effectExtent l="0" t="0" r="63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94741" cy="3061290"/>
                    </a:xfrm>
                    <a:prstGeom prst="rect">
                      <a:avLst/>
                    </a:prstGeom>
                    <a:noFill/>
                  </pic:spPr>
                </pic:pic>
              </a:graphicData>
            </a:graphic>
          </wp:inline>
        </w:drawing>
      </w:r>
      <w:r w:rsidRPr="006912F6">
        <w:rPr>
          <w:noProof/>
          <w:sz w:val="20"/>
          <w:szCs w:val="20"/>
        </w:rPr>
        <w:t xml:space="preserve"> </w:t>
      </w:r>
    </w:p>
    <w:p w14:paraId="2B20B5F2" w14:textId="44A345F5" w:rsidR="00E4377C" w:rsidRPr="006912F6" w:rsidRDefault="00E4377C" w:rsidP="00E4377C">
      <w:pPr>
        <w:pStyle w:val="a4"/>
        <w:jc w:val="both"/>
        <w:rPr>
          <w:rFonts w:cs="Times New Roman"/>
          <w:i w:val="0"/>
          <w:color w:val="auto"/>
          <w:sz w:val="20"/>
          <w:szCs w:val="20"/>
        </w:rPr>
      </w:pPr>
      <w:r w:rsidRPr="006912F6">
        <w:rPr>
          <w:rFonts w:cs="Times New Roman"/>
          <w:b/>
          <w:bCs/>
          <w:i w:val="0"/>
          <w:color w:val="auto"/>
          <w:sz w:val="20"/>
          <w:szCs w:val="20"/>
        </w:rPr>
        <w:t xml:space="preserve">Figure </w:t>
      </w:r>
      <w:r w:rsidR="001612D9" w:rsidRPr="006912F6">
        <w:rPr>
          <w:rFonts w:cs="Times New Roman"/>
          <w:b/>
          <w:bCs/>
          <w:i w:val="0"/>
          <w:color w:val="auto"/>
          <w:sz w:val="20"/>
          <w:szCs w:val="20"/>
        </w:rPr>
        <w:t>1.</w:t>
      </w:r>
      <w:r w:rsidR="00857D49" w:rsidRPr="006912F6">
        <w:rPr>
          <w:rFonts w:cs="Times New Roman"/>
          <w:b/>
          <w:bCs/>
          <w:i w:val="0"/>
          <w:color w:val="auto"/>
          <w:sz w:val="20"/>
          <w:szCs w:val="20"/>
        </w:rPr>
        <w:t>2</w:t>
      </w:r>
      <w:r w:rsidRPr="006912F6">
        <w:rPr>
          <w:rFonts w:cs="Times New Roman"/>
          <w:b/>
          <w:bCs/>
          <w:i w:val="0"/>
          <w:color w:val="auto"/>
          <w:sz w:val="20"/>
          <w:szCs w:val="20"/>
        </w:rPr>
        <w:t>.</w:t>
      </w:r>
      <w:r w:rsidRPr="006912F6">
        <w:rPr>
          <w:rFonts w:cs="Times New Roman"/>
          <w:i w:val="0"/>
          <w:color w:val="auto"/>
          <w:sz w:val="20"/>
          <w:szCs w:val="20"/>
        </w:rPr>
        <w:t xml:space="preserve"> (a) Location of data points for extreme still water level around Lymington and (b) Cumulative Distribution Function at the point P1, after McMillan et </w:t>
      </w:r>
      <w:r w:rsidRPr="006912F6">
        <w:rPr>
          <w:rFonts w:cs="Times New Roman"/>
          <w:i w:val="0"/>
          <w:noProof/>
          <w:color w:val="auto"/>
          <w:sz w:val="20"/>
          <w:szCs w:val="20"/>
        </w:rPr>
        <w:t>al</w:t>
      </w:r>
      <w:r w:rsidRPr="006912F6">
        <w:rPr>
          <w:rFonts w:cs="Times New Roman"/>
          <w:i w:val="0"/>
          <w:color w:val="auto"/>
          <w:sz w:val="20"/>
          <w:szCs w:val="20"/>
        </w:rPr>
        <w:t xml:space="preserve"> (2011)</w:t>
      </w:r>
    </w:p>
    <w:p w14:paraId="20F0DD1B" w14:textId="77777777" w:rsidR="00E4377C" w:rsidRPr="006912F6" w:rsidRDefault="00E4377C" w:rsidP="00E4377C">
      <w:pPr>
        <w:rPr>
          <w:sz w:val="20"/>
          <w:szCs w:val="20"/>
        </w:rPr>
      </w:pPr>
    </w:p>
    <w:p w14:paraId="535F26A1" w14:textId="5720FB79" w:rsidR="00E4377C" w:rsidRPr="006912F6" w:rsidRDefault="00E4377C" w:rsidP="00E4377C">
      <w:pPr>
        <w:jc w:val="both"/>
        <w:rPr>
          <w:rFonts w:eastAsia="맑은 고딕" w:cs="Times New Roman"/>
          <w:sz w:val="20"/>
          <w:szCs w:val="20"/>
        </w:rPr>
      </w:pPr>
      <w:r w:rsidRPr="006912F6">
        <w:rPr>
          <w:rFonts w:eastAsia="맑은 고딕" w:cs="Times New Roman"/>
          <w:sz w:val="20"/>
          <w:szCs w:val="20"/>
        </w:rPr>
        <w:t xml:space="preserve">The UKCP 09 data provides multiple scenarios of sea-level rise depending on greenhouse gas emissions from 1990 to 2100 as shown in Figure </w:t>
      </w:r>
      <w:r w:rsidR="001612D9" w:rsidRPr="006912F6">
        <w:rPr>
          <w:rFonts w:eastAsia="맑은 고딕" w:cs="Times New Roman"/>
          <w:sz w:val="20"/>
          <w:szCs w:val="20"/>
        </w:rPr>
        <w:t>1.3</w:t>
      </w:r>
      <w:r w:rsidRPr="006912F6">
        <w:rPr>
          <w:rFonts w:eastAsia="맑은 고딕" w:cs="Times New Roman"/>
          <w:sz w:val="20"/>
          <w:szCs w:val="20"/>
        </w:rPr>
        <w:t xml:space="preserve"> (Lowe et al., 2009). For illustrative purposes, we also consider a slow-steady projection of historic trends of sea-level rise from the Southampton tidal gauge (Haigh et al., 2009)</w:t>
      </w:r>
      <w:r w:rsidR="00AB7E4B" w:rsidRPr="006912F6">
        <w:rPr>
          <w:rFonts w:eastAsia="맑은 고딕" w:cs="Times New Roman"/>
          <w:sz w:val="20"/>
          <w:szCs w:val="20"/>
        </w:rPr>
        <w:t>. H1 SLR scenario as an intermediate scenario is generated in order to understand how the flood risk or the performance of coastal adaptation changes between H++ SLR scenario and High SLR scenario.</w:t>
      </w:r>
    </w:p>
    <w:p w14:paraId="0459D5D2" w14:textId="77777777" w:rsidR="00E4377C" w:rsidRPr="006912F6" w:rsidRDefault="00E4377C" w:rsidP="00E4377C">
      <w:pPr>
        <w:pStyle w:val="a7"/>
        <w:ind w:left="0"/>
        <w:jc w:val="center"/>
        <w:rPr>
          <w:rFonts w:eastAsia="맑은 고딕" w:cs="Times New Roman"/>
          <w:sz w:val="20"/>
          <w:szCs w:val="20"/>
        </w:rPr>
      </w:pPr>
    </w:p>
    <w:p w14:paraId="056C78EA" w14:textId="38C075F7" w:rsidR="00E4377C" w:rsidRPr="006912F6" w:rsidRDefault="001612D9" w:rsidP="00E4377C">
      <w:pPr>
        <w:pStyle w:val="a7"/>
        <w:ind w:left="0"/>
        <w:jc w:val="center"/>
        <w:rPr>
          <w:rFonts w:eastAsia="맑은 고딕" w:cs="Times New Roman"/>
          <w:sz w:val="20"/>
          <w:szCs w:val="20"/>
        </w:rPr>
      </w:pPr>
      <w:r w:rsidRPr="006912F6">
        <w:rPr>
          <w:rFonts w:cs="Times New Roman"/>
          <w:noProof/>
          <w:sz w:val="20"/>
        </w:rPr>
        <w:lastRenderedPageBreak/>
        <w:drawing>
          <wp:inline distT="0" distB="0" distL="0" distR="0" wp14:anchorId="4A7A4C5D" wp14:editId="50D05823">
            <wp:extent cx="5731510" cy="4387850"/>
            <wp:effectExtent l="0" t="0" r="0" b="0"/>
            <wp:docPr id="22" name="그림 1">
              <a:extLst xmlns:a="http://schemas.openxmlformats.org/drawingml/2006/main">
                <a:ext uri="{FF2B5EF4-FFF2-40B4-BE49-F238E27FC236}">
                  <a16:creationId xmlns:a16="http://schemas.microsoft.com/office/drawing/2014/main" id="{58B608AD-68B2-4FDE-BF55-714668D8FCC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1">
                      <a:extLst>
                        <a:ext uri="{FF2B5EF4-FFF2-40B4-BE49-F238E27FC236}">
                          <a16:creationId xmlns:a16="http://schemas.microsoft.com/office/drawing/2014/main" id="{58B608AD-68B2-4FDE-BF55-714668D8FCCA}"/>
                        </a:ext>
                      </a:extLst>
                    </pic:cNvPr>
                    <pic:cNvPicPr>
                      <a:picLocks noChangeAspect="1"/>
                    </pic:cNvPicPr>
                  </pic:nvPicPr>
                  <pic:blipFill>
                    <a:blip r:embed="rId9"/>
                    <a:stretch>
                      <a:fillRect/>
                    </a:stretch>
                  </pic:blipFill>
                  <pic:spPr>
                    <a:xfrm>
                      <a:off x="0" y="0"/>
                      <a:ext cx="5731510" cy="4387850"/>
                    </a:xfrm>
                    <a:prstGeom prst="rect">
                      <a:avLst/>
                    </a:prstGeom>
                  </pic:spPr>
                </pic:pic>
              </a:graphicData>
            </a:graphic>
          </wp:inline>
        </w:drawing>
      </w:r>
    </w:p>
    <w:p w14:paraId="2D674F26" w14:textId="16839E8B" w:rsidR="00E4377C" w:rsidRPr="006912F6" w:rsidRDefault="00E4377C" w:rsidP="00E4377C">
      <w:pPr>
        <w:pStyle w:val="a4"/>
        <w:jc w:val="both"/>
        <w:rPr>
          <w:rFonts w:cs="Times New Roman"/>
          <w:i w:val="0"/>
          <w:color w:val="auto"/>
          <w:sz w:val="20"/>
          <w:szCs w:val="20"/>
        </w:rPr>
      </w:pPr>
      <w:r w:rsidRPr="006912F6">
        <w:rPr>
          <w:rFonts w:cs="Times New Roman"/>
          <w:b/>
          <w:bCs/>
          <w:i w:val="0"/>
          <w:color w:val="auto"/>
          <w:sz w:val="20"/>
          <w:szCs w:val="20"/>
        </w:rPr>
        <w:t xml:space="preserve">Figure </w:t>
      </w:r>
      <w:r w:rsidR="001612D9" w:rsidRPr="006912F6">
        <w:rPr>
          <w:rFonts w:cs="Times New Roman"/>
          <w:b/>
          <w:bCs/>
          <w:i w:val="0"/>
          <w:color w:val="auto"/>
          <w:sz w:val="20"/>
          <w:szCs w:val="20"/>
        </w:rPr>
        <w:t>1.</w:t>
      </w:r>
      <w:r w:rsidR="00857D49" w:rsidRPr="006912F6">
        <w:rPr>
          <w:rFonts w:cs="Times New Roman"/>
          <w:b/>
          <w:bCs/>
          <w:i w:val="0"/>
          <w:color w:val="auto"/>
          <w:sz w:val="20"/>
          <w:szCs w:val="20"/>
        </w:rPr>
        <w:t>3</w:t>
      </w:r>
      <w:r w:rsidRPr="006912F6">
        <w:rPr>
          <w:rFonts w:cs="Times New Roman"/>
          <w:b/>
          <w:bCs/>
          <w:i w:val="0"/>
          <w:color w:val="auto"/>
          <w:sz w:val="20"/>
          <w:szCs w:val="20"/>
        </w:rPr>
        <w:t>.</w:t>
      </w:r>
      <w:r w:rsidRPr="006912F6">
        <w:rPr>
          <w:rFonts w:cs="Times New Roman"/>
          <w:i w:val="0"/>
          <w:color w:val="auto"/>
          <w:sz w:val="20"/>
          <w:szCs w:val="20"/>
        </w:rPr>
        <w:t xml:space="preserve"> Mean sea-level rise (relative to 1990) scenarios for Lymington: 2008 to 2100 (Lowe et al., 2009) - the H++ MSLR is scaled from the global scale sea-level rise scenarios (Nicholls et al., 2014), and the historic trend of sea-level rise (1.4 mm/year) is from the Southampton tidal gauge (Haigh et al., 2009).</w:t>
      </w:r>
    </w:p>
    <w:p w14:paraId="6F5429BC" w14:textId="77777777" w:rsidR="00E4377C" w:rsidRPr="006912F6" w:rsidRDefault="00E4377C" w:rsidP="00E4377C">
      <w:pPr>
        <w:jc w:val="both"/>
        <w:rPr>
          <w:rFonts w:eastAsia="맑은 고딕" w:cs="Times New Roman"/>
          <w:sz w:val="20"/>
          <w:szCs w:val="20"/>
        </w:rPr>
      </w:pPr>
    </w:p>
    <w:p w14:paraId="0AD215B3" w14:textId="09BEE011" w:rsidR="00E4377C" w:rsidRPr="006912F6" w:rsidRDefault="00E4377C" w:rsidP="00E4377C">
      <w:pPr>
        <w:jc w:val="both"/>
        <w:rPr>
          <w:rFonts w:eastAsia="맑은 고딕" w:cs="Times New Roman"/>
          <w:sz w:val="20"/>
          <w:szCs w:val="20"/>
        </w:rPr>
      </w:pPr>
      <w:r w:rsidRPr="006912F6">
        <w:rPr>
          <w:rFonts w:eastAsia="맑은 고딕" w:cs="Times New Roman"/>
          <w:sz w:val="20"/>
          <w:szCs w:val="20"/>
        </w:rPr>
        <w:t>We statistically combine mean sea level rise MSLR(t) at the year t with ESWL(t</w:t>
      </w:r>
      <w:r w:rsidRPr="006912F6">
        <w:rPr>
          <w:rFonts w:eastAsia="맑은 고딕" w:cs="Times New Roman"/>
          <w:sz w:val="20"/>
          <w:szCs w:val="20"/>
          <w:vertAlign w:val="subscript"/>
        </w:rPr>
        <w:t>0</w:t>
      </w:r>
      <w:r w:rsidRPr="006912F6">
        <w:rPr>
          <w:rFonts w:eastAsia="맑은 고딕" w:cs="Times New Roman"/>
          <w:sz w:val="20"/>
          <w:szCs w:val="20"/>
        </w:rPr>
        <w:t>)</w:t>
      </w:r>
      <w:r w:rsidRPr="006912F6">
        <w:rPr>
          <w:rFonts w:eastAsia="맑은 고딕" w:cs="Times New Roman"/>
          <w:sz w:val="20"/>
          <w:szCs w:val="20"/>
          <w:vertAlign w:val="subscript"/>
        </w:rPr>
        <w:t xml:space="preserve">, </w:t>
      </w:r>
      <w:r w:rsidRPr="006912F6">
        <w:rPr>
          <w:rFonts w:eastAsia="맑은 고딕" w:cs="Times New Roman"/>
          <w:sz w:val="20"/>
          <w:szCs w:val="20"/>
        </w:rPr>
        <w:t>which is a stochastic variable representing extreme</w:t>
      </w:r>
      <w:r w:rsidRPr="006912F6">
        <w:rPr>
          <w:rFonts w:eastAsia="맑은 고딕" w:cs="Times New Roman"/>
          <w:sz w:val="20"/>
          <w:szCs w:val="20"/>
          <w:vertAlign w:val="subscript"/>
        </w:rPr>
        <w:t xml:space="preserve"> </w:t>
      </w:r>
      <w:r w:rsidRPr="006912F6">
        <w:rPr>
          <w:rFonts w:eastAsia="맑은 고딕" w:cs="Times New Roman"/>
          <w:sz w:val="20"/>
          <w:szCs w:val="20"/>
        </w:rPr>
        <w:t>still water level at the base year (t</w:t>
      </w:r>
      <w:r w:rsidRPr="006912F6">
        <w:rPr>
          <w:rFonts w:eastAsia="맑은 고딕" w:cs="Times New Roman"/>
          <w:sz w:val="20"/>
          <w:szCs w:val="20"/>
          <w:vertAlign w:val="subscript"/>
        </w:rPr>
        <w:t>0</w:t>
      </w:r>
      <w:r w:rsidRPr="006912F6">
        <w:rPr>
          <w:rFonts w:eastAsia="맑은 고딕" w:cs="Times New Roman"/>
          <w:sz w:val="20"/>
          <w:szCs w:val="20"/>
        </w:rPr>
        <w:t xml:space="preserve">=2008). Figure </w:t>
      </w:r>
      <w:r w:rsidR="001612D9" w:rsidRPr="006912F6">
        <w:rPr>
          <w:rFonts w:eastAsia="맑은 고딕" w:cs="Times New Roman"/>
          <w:sz w:val="20"/>
          <w:szCs w:val="20"/>
        </w:rPr>
        <w:t>1.4</w:t>
      </w:r>
      <w:r w:rsidRPr="006912F6">
        <w:rPr>
          <w:rFonts w:eastAsia="맑은 고딕" w:cs="Times New Roman"/>
          <w:sz w:val="20"/>
          <w:szCs w:val="20"/>
        </w:rPr>
        <w:t xml:space="preserve"> shows four possible time-series of ESWL+MSLR that result from the combination of MSLR(t) and ESWL(t</w:t>
      </w:r>
      <w:r w:rsidRPr="006912F6">
        <w:rPr>
          <w:rFonts w:eastAsia="맑은 고딕" w:cs="Times New Roman"/>
          <w:sz w:val="20"/>
          <w:szCs w:val="20"/>
          <w:vertAlign w:val="subscript"/>
        </w:rPr>
        <w:t>0</w:t>
      </w:r>
      <w:r w:rsidRPr="006912F6">
        <w:rPr>
          <w:rFonts w:eastAsia="맑은 고딕" w:cs="Times New Roman"/>
          <w:sz w:val="20"/>
          <w:szCs w:val="20"/>
        </w:rPr>
        <w:t>), within the probabilistic range of the corresponding 5</w:t>
      </w:r>
      <w:r w:rsidRPr="006912F6">
        <w:rPr>
          <w:rFonts w:eastAsia="맑은 고딕" w:cs="Times New Roman"/>
          <w:sz w:val="20"/>
          <w:szCs w:val="20"/>
          <w:vertAlign w:val="superscript"/>
        </w:rPr>
        <w:t>th</w:t>
      </w:r>
      <w:r w:rsidRPr="006912F6">
        <w:rPr>
          <w:rFonts w:eastAsia="맑은 고딕" w:cs="Times New Roman"/>
          <w:sz w:val="20"/>
          <w:szCs w:val="20"/>
        </w:rPr>
        <w:t xml:space="preserve"> and 95</w:t>
      </w:r>
      <w:r w:rsidRPr="006912F6">
        <w:rPr>
          <w:rFonts w:eastAsia="맑은 고딕" w:cs="Times New Roman"/>
          <w:sz w:val="20"/>
          <w:szCs w:val="20"/>
          <w:vertAlign w:val="superscript"/>
        </w:rPr>
        <w:t>th</w:t>
      </w:r>
      <w:r w:rsidRPr="006912F6">
        <w:rPr>
          <w:rFonts w:eastAsia="맑은 고딕" w:cs="Times New Roman"/>
          <w:sz w:val="20"/>
          <w:szCs w:val="20"/>
        </w:rPr>
        <w:t xml:space="preserve"> percentile lines. Sea-level rise shifts </w:t>
      </w:r>
      <w:r w:rsidRPr="006912F6">
        <w:rPr>
          <w:rFonts w:eastAsia="맑은 고딕" w:cs="Times New Roman"/>
          <w:noProof/>
          <w:sz w:val="20"/>
          <w:szCs w:val="20"/>
        </w:rPr>
        <w:t xml:space="preserve">the exponential distributions </w:t>
      </w:r>
      <w:r w:rsidRPr="006912F6">
        <w:rPr>
          <w:rFonts w:eastAsia="맑은 고딕" w:cs="Times New Roman"/>
          <w:sz w:val="20"/>
          <w:szCs w:val="20"/>
        </w:rPr>
        <w:t xml:space="preserve">displayed in Figures </w:t>
      </w:r>
      <w:r w:rsidR="001612D9" w:rsidRPr="006912F6">
        <w:rPr>
          <w:rFonts w:eastAsia="맑은 고딕" w:cs="Times New Roman"/>
          <w:sz w:val="20"/>
          <w:szCs w:val="20"/>
        </w:rPr>
        <w:t>1.4</w:t>
      </w:r>
      <w:r w:rsidRPr="006912F6">
        <w:rPr>
          <w:rFonts w:eastAsia="맑은 고딕" w:cs="Times New Roman"/>
          <w:sz w:val="20"/>
          <w:szCs w:val="20"/>
        </w:rPr>
        <w:t xml:space="preserve"> (b) and (c) </w:t>
      </w:r>
      <w:r w:rsidRPr="006912F6">
        <w:rPr>
          <w:rFonts w:eastAsia="맑은 고딕" w:cs="Times New Roman"/>
          <w:noProof/>
          <w:sz w:val="20"/>
          <w:szCs w:val="20"/>
        </w:rPr>
        <w:t>towards the right</w:t>
      </w:r>
      <w:r w:rsidRPr="006912F6">
        <w:rPr>
          <w:rFonts w:eastAsia="맑은 고딕" w:cs="Times New Roman"/>
          <w:sz w:val="20"/>
          <w:szCs w:val="20"/>
        </w:rPr>
        <w:t xml:space="preserve">, leading to </w:t>
      </w:r>
      <w:r w:rsidRPr="006912F6">
        <w:rPr>
          <w:rFonts w:eastAsia="맑은 고딕" w:cs="Times New Roman"/>
          <w:noProof/>
          <w:sz w:val="20"/>
          <w:szCs w:val="20"/>
        </w:rPr>
        <w:t>increases in</w:t>
      </w:r>
      <w:r w:rsidRPr="006912F6">
        <w:rPr>
          <w:rFonts w:eastAsia="맑은 고딕" w:cs="Times New Roman"/>
          <w:sz w:val="20"/>
          <w:szCs w:val="20"/>
        </w:rPr>
        <w:t xml:space="preserve"> frequency and magnitude of coastal flooding.     </w:t>
      </w:r>
    </w:p>
    <w:p w14:paraId="38972601" w14:textId="77777777" w:rsidR="00E4377C" w:rsidRPr="006912F6" w:rsidRDefault="00E4377C" w:rsidP="00E4377C">
      <w:pPr>
        <w:jc w:val="both"/>
        <w:rPr>
          <w:rFonts w:eastAsia="맑은 고딕" w:cs="Times New Roman"/>
          <w:sz w:val="20"/>
          <w:szCs w:val="20"/>
        </w:rPr>
      </w:pPr>
      <w:r w:rsidRPr="006912F6">
        <w:rPr>
          <w:rFonts w:eastAsia="맑은 고딕" w:cs="Times New Roman"/>
          <w:noProof/>
          <w:sz w:val="20"/>
          <w:szCs w:val="20"/>
          <w:lang w:eastAsia="en-GB"/>
        </w:rPr>
        <w:lastRenderedPageBreak/>
        <w:drawing>
          <wp:inline distT="0" distB="0" distL="0" distR="0" wp14:anchorId="3714B0C1" wp14:editId="2FCDB787">
            <wp:extent cx="5772150" cy="6054660"/>
            <wp:effectExtent l="0" t="0" r="0" b="381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0">
                      <a:extLst>
                        <a:ext uri="{28A0092B-C50C-407E-A947-70E740481C1C}">
                          <a14:useLocalDpi xmlns:a14="http://schemas.microsoft.com/office/drawing/2010/main" val="0"/>
                        </a:ext>
                      </a:extLst>
                    </a:blip>
                    <a:srcRect l="1336" r="3846"/>
                    <a:stretch/>
                  </pic:blipFill>
                  <pic:spPr bwMode="auto">
                    <a:xfrm>
                      <a:off x="0" y="0"/>
                      <a:ext cx="5792203" cy="6075694"/>
                    </a:xfrm>
                    <a:prstGeom prst="rect">
                      <a:avLst/>
                    </a:prstGeom>
                    <a:noFill/>
                    <a:ln>
                      <a:noFill/>
                    </a:ln>
                    <a:extLst>
                      <a:ext uri="{53640926-AAD7-44D8-BBD7-CCE9431645EC}">
                        <a14:shadowObscured xmlns:a14="http://schemas.microsoft.com/office/drawing/2010/main"/>
                      </a:ext>
                    </a:extLst>
                  </pic:spPr>
                </pic:pic>
              </a:graphicData>
            </a:graphic>
          </wp:inline>
        </w:drawing>
      </w:r>
    </w:p>
    <w:p w14:paraId="1999D420" w14:textId="61E29A44" w:rsidR="00E4377C" w:rsidRPr="006912F6" w:rsidRDefault="00E4377C" w:rsidP="00E4377C">
      <w:pPr>
        <w:jc w:val="both"/>
        <w:rPr>
          <w:rFonts w:eastAsia="맑은 고딕" w:cs="Times New Roman"/>
          <w:sz w:val="20"/>
          <w:szCs w:val="20"/>
        </w:rPr>
      </w:pPr>
      <w:r w:rsidRPr="006912F6">
        <w:rPr>
          <w:rFonts w:cs="Times New Roman"/>
          <w:b/>
          <w:bCs/>
          <w:sz w:val="20"/>
          <w:szCs w:val="20"/>
        </w:rPr>
        <w:t xml:space="preserve">Figure </w:t>
      </w:r>
      <w:r w:rsidR="001612D9" w:rsidRPr="006912F6">
        <w:rPr>
          <w:rFonts w:cs="Times New Roman"/>
          <w:b/>
          <w:bCs/>
          <w:sz w:val="20"/>
          <w:szCs w:val="20"/>
        </w:rPr>
        <w:t>1.</w:t>
      </w:r>
      <w:r w:rsidR="00857D49" w:rsidRPr="006912F6">
        <w:rPr>
          <w:rFonts w:cs="Times New Roman"/>
          <w:b/>
          <w:bCs/>
          <w:sz w:val="20"/>
          <w:szCs w:val="20"/>
        </w:rPr>
        <w:t>4</w:t>
      </w:r>
      <w:r w:rsidRPr="006912F6">
        <w:rPr>
          <w:rFonts w:cs="Times New Roman"/>
          <w:b/>
          <w:bCs/>
          <w:sz w:val="20"/>
          <w:szCs w:val="20"/>
        </w:rPr>
        <w:t>.</w:t>
      </w:r>
      <w:r w:rsidRPr="006912F6">
        <w:rPr>
          <w:rFonts w:cs="Times New Roman"/>
          <w:sz w:val="20"/>
          <w:szCs w:val="20"/>
        </w:rPr>
        <w:t xml:space="preserve"> (a) Example of stochastically generated time-series of ESWL (annual maximum) for each SLR scenario (b) </w:t>
      </w:r>
      <w:r w:rsidRPr="006912F6">
        <w:rPr>
          <w:rFonts w:eastAsia="맑은 고딕" w:cs="Times New Roman"/>
          <w:sz w:val="20"/>
          <w:szCs w:val="20"/>
        </w:rPr>
        <w:t xml:space="preserve">Temporal change in probability density function (pdf) from the </w:t>
      </w:r>
      <w:r w:rsidRPr="006912F6">
        <w:rPr>
          <w:rFonts w:eastAsia="맑은 고딕" w:cs="Times New Roman"/>
          <w:noProof/>
          <w:sz w:val="20"/>
          <w:szCs w:val="20"/>
        </w:rPr>
        <w:t>crosslines</w:t>
      </w:r>
      <w:r w:rsidRPr="006912F6">
        <w:rPr>
          <w:rFonts w:eastAsia="맑은 고딕" w:cs="Times New Roman"/>
          <w:sz w:val="20"/>
          <w:szCs w:val="20"/>
        </w:rPr>
        <w:t xml:space="preserve"> (A-A, </w:t>
      </w:r>
      <w:r w:rsidRPr="006912F6">
        <w:rPr>
          <w:rFonts w:eastAsia="맑은 고딕" w:cs="Times New Roman"/>
          <w:noProof/>
          <w:sz w:val="20"/>
          <w:szCs w:val="20"/>
        </w:rPr>
        <w:t>B-B</w:t>
      </w:r>
      <w:r w:rsidRPr="006912F6">
        <w:rPr>
          <w:rFonts w:eastAsia="맑은 고딕" w:cs="Times New Roman"/>
          <w:sz w:val="20"/>
          <w:szCs w:val="20"/>
        </w:rPr>
        <w:t xml:space="preserve"> and C-C) for the High SLR scenario (c) Probability density function (PDF) at 2080 from the crossline (C-C) for each SLR scenario</w:t>
      </w:r>
      <w:r w:rsidR="00AB7E4B" w:rsidRPr="006912F6">
        <w:rPr>
          <w:rFonts w:eastAsia="맑은 고딕" w:cs="Times New Roman"/>
          <w:sz w:val="20"/>
          <w:szCs w:val="20"/>
        </w:rPr>
        <w:t xml:space="preserve"> (Kim et al., 2018)</w:t>
      </w:r>
      <w:r w:rsidRPr="006912F6">
        <w:rPr>
          <w:rFonts w:eastAsia="맑은 고딕" w:cs="Times New Roman"/>
          <w:sz w:val="20"/>
          <w:szCs w:val="20"/>
        </w:rPr>
        <w:t xml:space="preserve"> </w:t>
      </w:r>
    </w:p>
    <w:p w14:paraId="143BD515" w14:textId="1A322EAF" w:rsidR="00E4377C" w:rsidRPr="006912F6" w:rsidRDefault="00E4377C" w:rsidP="00B866B4">
      <w:pPr>
        <w:jc w:val="both"/>
        <w:rPr>
          <w:noProof/>
          <w:sz w:val="20"/>
          <w:szCs w:val="20"/>
        </w:rPr>
      </w:pPr>
    </w:p>
    <w:p w14:paraId="1235A3F4" w14:textId="2EDF79D8" w:rsidR="00AB7E4B" w:rsidRPr="006912F6" w:rsidRDefault="00AB7E4B" w:rsidP="00B866B4">
      <w:pPr>
        <w:jc w:val="both"/>
        <w:rPr>
          <w:noProof/>
          <w:sz w:val="20"/>
          <w:szCs w:val="20"/>
        </w:rPr>
      </w:pPr>
    </w:p>
    <w:p w14:paraId="4E5221C5" w14:textId="77777777" w:rsidR="00AB7E4B" w:rsidRPr="006912F6" w:rsidRDefault="00AB7E4B" w:rsidP="00B866B4">
      <w:pPr>
        <w:jc w:val="both"/>
        <w:rPr>
          <w:noProof/>
          <w:sz w:val="20"/>
          <w:szCs w:val="20"/>
        </w:rPr>
      </w:pPr>
    </w:p>
    <w:p w14:paraId="485A4068" w14:textId="60995203" w:rsidR="00E4377C" w:rsidRPr="006912F6" w:rsidRDefault="001612D9" w:rsidP="00B866B4">
      <w:pPr>
        <w:jc w:val="both"/>
        <w:rPr>
          <w:b/>
          <w:bCs/>
          <w:noProof/>
          <w:sz w:val="20"/>
          <w:szCs w:val="20"/>
        </w:rPr>
      </w:pPr>
      <w:r w:rsidRPr="006912F6">
        <w:rPr>
          <w:b/>
          <w:bCs/>
          <w:noProof/>
          <w:sz w:val="20"/>
          <w:szCs w:val="20"/>
        </w:rPr>
        <w:lastRenderedPageBreak/>
        <w:t xml:space="preserve">1.2. </w:t>
      </w:r>
      <w:r w:rsidR="00E4377C" w:rsidRPr="006912F6">
        <w:rPr>
          <w:b/>
          <w:bCs/>
          <w:noProof/>
          <w:sz w:val="20"/>
          <w:szCs w:val="20"/>
        </w:rPr>
        <w:t xml:space="preserve">Flood risk analysis </w:t>
      </w:r>
    </w:p>
    <w:p w14:paraId="2FFFBE79" w14:textId="69DC95C0" w:rsidR="00CD3196" w:rsidRPr="006912F6" w:rsidRDefault="00CD3196" w:rsidP="00AB7E4B">
      <w:pPr>
        <w:pStyle w:val="a4"/>
        <w:jc w:val="both"/>
        <w:rPr>
          <w:rFonts w:cs="Times New Roman"/>
          <w:color w:val="auto"/>
          <w:sz w:val="20"/>
          <w:szCs w:val="20"/>
        </w:rPr>
      </w:pPr>
      <w:bookmarkStart w:id="2" w:name="_Toc520589048"/>
      <w:bookmarkStart w:id="3" w:name="_Toc520590666"/>
      <w:bookmarkStart w:id="4" w:name="_Toc520592282"/>
      <w:bookmarkStart w:id="5" w:name="_Toc520593900"/>
      <w:bookmarkStart w:id="6" w:name="_Toc520595517"/>
      <w:bookmarkStart w:id="7" w:name="_Toc520597069"/>
      <w:bookmarkStart w:id="8" w:name="_Toc520598612"/>
      <w:bookmarkStart w:id="9" w:name="_Toc520600155"/>
      <w:bookmarkStart w:id="10" w:name="_Toc520668807"/>
      <w:bookmarkStart w:id="11" w:name="_Toc520670374"/>
      <w:bookmarkStart w:id="12" w:name="_Toc521170012"/>
      <w:bookmarkStart w:id="13" w:name="_Toc521174802"/>
      <w:bookmarkStart w:id="14" w:name="_Toc521176510"/>
      <w:bookmarkStart w:id="15" w:name="_Toc521178198"/>
      <w:bookmarkStart w:id="16" w:name="_Toc521179905"/>
      <w:bookmarkStart w:id="17" w:name="_Toc521181618"/>
      <w:bookmarkStart w:id="18" w:name="_Toc521183331"/>
      <w:bookmarkStart w:id="19" w:name="_Toc521170014"/>
      <w:bookmarkStart w:id="20" w:name="_Toc521174804"/>
      <w:bookmarkStart w:id="21" w:name="_Toc521176512"/>
      <w:bookmarkStart w:id="22" w:name="_Toc521178200"/>
      <w:bookmarkStart w:id="23" w:name="_Toc521179907"/>
      <w:bookmarkStart w:id="24" w:name="_Toc521181620"/>
      <w:bookmarkStart w:id="25" w:name="_Toc521183333"/>
      <w:bookmarkStart w:id="26" w:name="_Toc521170015"/>
      <w:bookmarkStart w:id="27" w:name="_Toc521174805"/>
      <w:bookmarkStart w:id="28" w:name="_Toc521176513"/>
      <w:bookmarkStart w:id="29" w:name="_Toc521178201"/>
      <w:bookmarkStart w:id="30" w:name="_Toc521179908"/>
      <w:bookmarkStart w:id="31" w:name="_Toc521181621"/>
      <w:bookmarkStart w:id="32" w:name="_Toc521183334"/>
      <w:bookmarkStart w:id="33" w:name="_Toc521170016"/>
      <w:bookmarkStart w:id="34" w:name="_Toc521174806"/>
      <w:bookmarkStart w:id="35" w:name="_Toc521176514"/>
      <w:bookmarkStart w:id="36" w:name="_Toc521178202"/>
      <w:bookmarkStart w:id="37" w:name="_Toc521179909"/>
      <w:bookmarkStart w:id="38" w:name="_Toc521181622"/>
      <w:bookmarkStart w:id="39" w:name="_Toc521183335"/>
      <w:bookmarkStart w:id="40" w:name="_Toc521170017"/>
      <w:bookmarkStart w:id="41" w:name="_Toc521174807"/>
      <w:bookmarkStart w:id="42" w:name="_Toc521176515"/>
      <w:bookmarkStart w:id="43" w:name="_Toc521178203"/>
      <w:bookmarkStart w:id="44" w:name="_Toc521179910"/>
      <w:bookmarkStart w:id="45" w:name="_Toc521181623"/>
      <w:bookmarkStart w:id="46" w:name="_Toc521183336"/>
      <w:bookmarkStart w:id="47" w:name="_Toc521170018"/>
      <w:bookmarkStart w:id="48" w:name="_Toc521174808"/>
      <w:bookmarkStart w:id="49" w:name="_Toc521176516"/>
      <w:bookmarkStart w:id="50" w:name="_Toc521178204"/>
      <w:bookmarkStart w:id="51" w:name="_Toc521179911"/>
      <w:bookmarkStart w:id="52" w:name="_Toc521181624"/>
      <w:bookmarkStart w:id="53" w:name="_Toc521183337"/>
      <w:bookmarkStart w:id="54" w:name="_Toc521170019"/>
      <w:bookmarkStart w:id="55" w:name="_Toc521174809"/>
      <w:bookmarkStart w:id="56" w:name="_Toc521176517"/>
      <w:bookmarkStart w:id="57" w:name="_Toc521178205"/>
      <w:bookmarkStart w:id="58" w:name="_Toc521179912"/>
      <w:bookmarkStart w:id="59" w:name="_Toc521181625"/>
      <w:bookmarkStart w:id="60" w:name="_Toc521183338"/>
      <w:bookmarkStart w:id="61" w:name="_Toc521170020"/>
      <w:bookmarkStart w:id="62" w:name="_Toc521174810"/>
      <w:bookmarkStart w:id="63" w:name="_Toc521176518"/>
      <w:bookmarkStart w:id="64" w:name="_Toc521178206"/>
      <w:bookmarkStart w:id="65" w:name="_Toc521179913"/>
      <w:bookmarkStart w:id="66" w:name="_Toc521181626"/>
      <w:bookmarkStart w:id="67" w:name="_Toc521183339"/>
      <w:bookmarkStart w:id="68" w:name="_Toc521170021"/>
      <w:bookmarkStart w:id="69" w:name="_Toc521174811"/>
      <w:bookmarkStart w:id="70" w:name="_Toc521176519"/>
      <w:bookmarkStart w:id="71" w:name="_Toc521178207"/>
      <w:bookmarkStart w:id="72" w:name="_Toc521179914"/>
      <w:bookmarkStart w:id="73" w:name="_Toc521181627"/>
      <w:bookmarkStart w:id="74" w:name="_Toc521183340"/>
      <w:bookmarkStart w:id="75" w:name="_Toc521170022"/>
      <w:bookmarkStart w:id="76" w:name="_Toc521174812"/>
      <w:bookmarkStart w:id="77" w:name="_Toc521176520"/>
      <w:bookmarkStart w:id="78" w:name="_Toc521178208"/>
      <w:bookmarkStart w:id="79" w:name="_Toc521179915"/>
      <w:bookmarkStart w:id="80" w:name="_Toc521181628"/>
      <w:bookmarkStart w:id="81" w:name="_Toc521183341"/>
      <w:bookmarkStart w:id="82" w:name="_Toc521170023"/>
      <w:bookmarkStart w:id="83" w:name="_Toc521174813"/>
      <w:bookmarkStart w:id="84" w:name="_Toc521176521"/>
      <w:bookmarkStart w:id="85" w:name="_Toc521178209"/>
      <w:bookmarkStart w:id="86" w:name="_Toc521179916"/>
      <w:bookmarkStart w:id="87" w:name="_Toc521181629"/>
      <w:bookmarkStart w:id="88" w:name="_Toc521183342"/>
      <w:bookmarkStart w:id="89" w:name="_Toc521170024"/>
      <w:bookmarkStart w:id="90" w:name="_Toc521174814"/>
      <w:bookmarkStart w:id="91" w:name="_Toc521176522"/>
      <w:bookmarkStart w:id="92" w:name="_Toc521178210"/>
      <w:bookmarkStart w:id="93" w:name="_Toc521179917"/>
      <w:bookmarkStart w:id="94" w:name="_Toc521181630"/>
      <w:bookmarkStart w:id="95" w:name="_Toc521183343"/>
      <w:bookmarkStart w:id="96" w:name="_Toc521170025"/>
      <w:bookmarkStart w:id="97" w:name="_Toc521174815"/>
      <w:bookmarkStart w:id="98" w:name="_Toc521176523"/>
      <w:bookmarkStart w:id="99" w:name="_Toc521178211"/>
      <w:bookmarkStart w:id="100" w:name="_Toc521179918"/>
      <w:bookmarkStart w:id="101" w:name="_Toc521181631"/>
      <w:bookmarkStart w:id="102" w:name="_Toc521183344"/>
      <w:bookmarkStart w:id="103" w:name="_Toc521170026"/>
      <w:bookmarkStart w:id="104" w:name="_Toc521174816"/>
      <w:bookmarkStart w:id="105" w:name="_Toc521176524"/>
      <w:bookmarkStart w:id="106" w:name="_Toc521178212"/>
      <w:bookmarkStart w:id="107" w:name="_Toc521179919"/>
      <w:bookmarkStart w:id="108" w:name="_Toc521181632"/>
      <w:bookmarkStart w:id="109" w:name="_Toc521183345"/>
      <w:bookmarkStart w:id="110" w:name="_Toc521170027"/>
      <w:bookmarkStart w:id="111" w:name="_Toc521174817"/>
      <w:bookmarkStart w:id="112" w:name="_Toc521176525"/>
      <w:bookmarkStart w:id="113" w:name="_Toc521178213"/>
      <w:bookmarkStart w:id="114" w:name="_Toc521179920"/>
      <w:bookmarkStart w:id="115" w:name="_Toc521181633"/>
      <w:bookmarkStart w:id="116" w:name="_Toc521183346"/>
      <w:bookmarkStart w:id="117" w:name="_Toc521170028"/>
      <w:bookmarkStart w:id="118" w:name="_Toc521174818"/>
      <w:bookmarkStart w:id="119" w:name="_Toc521176526"/>
      <w:bookmarkStart w:id="120" w:name="_Toc521178214"/>
      <w:bookmarkStart w:id="121" w:name="_Toc521179921"/>
      <w:bookmarkStart w:id="122" w:name="_Toc521181634"/>
      <w:bookmarkStart w:id="123" w:name="_Toc521183347"/>
      <w:bookmarkStart w:id="124" w:name="_Toc521170029"/>
      <w:bookmarkStart w:id="125" w:name="_Toc521174819"/>
      <w:bookmarkStart w:id="126" w:name="_Toc521176527"/>
      <w:bookmarkStart w:id="127" w:name="_Toc521178215"/>
      <w:bookmarkStart w:id="128" w:name="_Toc521179922"/>
      <w:bookmarkStart w:id="129" w:name="_Toc521181635"/>
      <w:bookmarkStart w:id="130" w:name="_Toc521183348"/>
      <w:bookmarkStart w:id="131" w:name="_Toc521170030"/>
      <w:bookmarkStart w:id="132" w:name="_Toc521174820"/>
      <w:bookmarkStart w:id="133" w:name="_Toc521176528"/>
      <w:bookmarkStart w:id="134" w:name="_Toc521178216"/>
      <w:bookmarkStart w:id="135" w:name="_Toc521179923"/>
      <w:bookmarkStart w:id="136" w:name="_Toc521181636"/>
      <w:bookmarkStart w:id="137" w:name="_Toc521183349"/>
      <w:bookmarkStart w:id="138" w:name="_Toc521170031"/>
      <w:bookmarkStart w:id="139" w:name="_Toc521174821"/>
      <w:bookmarkStart w:id="140" w:name="_Toc521176529"/>
      <w:bookmarkStart w:id="141" w:name="_Toc521178217"/>
      <w:bookmarkStart w:id="142" w:name="_Toc521179924"/>
      <w:bookmarkStart w:id="143" w:name="_Toc521181637"/>
      <w:bookmarkStart w:id="144" w:name="_Toc521183350"/>
      <w:bookmarkStart w:id="145" w:name="_Toc521170032"/>
      <w:bookmarkStart w:id="146" w:name="_Toc521174822"/>
      <w:bookmarkStart w:id="147" w:name="_Toc521176530"/>
      <w:bookmarkStart w:id="148" w:name="_Toc521178218"/>
      <w:bookmarkStart w:id="149" w:name="_Toc521179925"/>
      <w:bookmarkStart w:id="150" w:name="_Toc521181638"/>
      <w:bookmarkStart w:id="151" w:name="_Toc521183351"/>
      <w:bookmarkStart w:id="152" w:name="_Toc521170053"/>
      <w:bookmarkStart w:id="153" w:name="_Toc521174843"/>
      <w:bookmarkStart w:id="154" w:name="_Toc521176551"/>
      <w:bookmarkStart w:id="155" w:name="_Toc521178239"/>
      <w:bookmarkStart w:id="156" w:name="_Toc521179946"/>
      <w:bookmarkStart w:id="157" w:name="_Toc521181659"/>
      <w:bookmarkStart w:id="158" w:name="_Toc521183372"/>
      <w:bookmarkStart w:id="159" w:name="_Toc521170054"/>
      <w:bookmarkStart w:id="160" w:name="_Toc521174844"/>
      <w:bookmarkStart w:id="161" w:name="_Toc521176552"/>
      <w:bookmarkStart w:id="162" w:name="_Toc521178240"/>
      <w:bookmarkStart w:id="163" w:name="_Toc521179947"/>
      <w:bookmarkStart w:id="164" w:name="_Toc521181660"/>
      <w:bookmarkStart w:id="165" w:name="_Toc521183373"/>
      <w:bookmarkStart w:id="166" w:name="_Toc521170055"/>
      <w:bookmarkStart w:id="167" w:name="_Toc521174845"/>
      <w:bookmarkStart w:id="168" w:name="_Toc521176553"/>
      <w:bookmarkStart w:id="169" w:name="_Toc521178241"/>
      <w:bookmarkStart w:id="170" w:name="_Toc521179948"/>
      <w:bookmarkStart w:id="171" w:name="_Toc521181661"/>
      <w:bookmarkStart w:id="172" w:name="_Toc521183374"/>
      <w:bookmarkStart w:id="173" w:name="_Toc521170056"/>
      <w:bookmarkStart w:id="174" w:name="_Toc521174846"/>
      <w:bookmarkStart w:id="175" w:name="_Toc521176554"/>
      <w:bookmarkStart w:id="176" w:name="_Toc521178242"/>
      <w:bookmarkStart w:id="177" w:name="_Toc521179949"/>
      <w:bookmarkStart w:id="178" w:name="_Toc521181662"/>
      <w:bookmarkStart w:id="179" w:name="_Toc521183375"/>
      <w:bookmarkStart w:id="180" w:name="_Toc521170057"/>
      <w:bookmarkStart w:id="181" w:name="_Toc521174847"/>
      <w:bookmarkStart w:id="182" w:name="_Toc521176555"/>
      <w:bookmarkStart w:id="183" w:name="_Toc521178243"/>
      <w:bookmarkStart w:id="184" w:name="_Toc521179950"/>
      <w:bookmarkStart w:id="185" w:name="_Toc521181663"/>
      <w:bookmarkStart w:id="186" w:name="_Toc521183376"/>
      <w:bookmarkStart w:id="187" w:name="_Toc521170058"/>
      <w:bookmarkStart w:id="188" w:name="_Toc521174848"/>
      <w:bookmarkStart w:id="189" w:name="_Toc521176556"/>
      <w:bookmarkStart w:id="190" w:name="_Toc521178244"/>
      <w:bookmarkStart w:id="191" w:name="_Toc521179951"/>
      <w:bookmarkStart w:id="192" w:name="_Toc521181664"/>
      <w:bookmarkStart w:id="193" w:name="_Toc521183377"/>
      <w:bookmarkStart w:id="194" w:name="_Toc521170059"/>
      <w:bookmarkStart w:id="195" w:name="_Toc521174849"/>
      <w:bookmarkStart w:id="196" w:name="_Toc521176557"/>
      <w:bookmarkStart w:id="197" w:name="_Toc521178245"/>
      <w:bookmarkStart w:id="198" w:name="_Toc521179952"/>
      <w:bookmarkStart w:id="199" w:name="_Toc521181665"/>
      <w:bookmarkStart w:id="200" w:name="_Toc521183378"/>
      <w:bookmarkStart w:id="201" w:name="_Toc521170060"/>
      <w:bookmarkStart w:id="202" w:name="_Toc521174850"/>
      <w:bookmarkStart w:id="203" w:name="_Toc521176558"/>
      <w:bookmarkStart w:id="204" w:name="_Toc521178246"/>
      <w:bookmarkStart w:id="205" w:name="_Toc521179953"/>
      <w:bookmarkStart w:id="206" w:name="_Toc521181666"/>
      <w:bookmarkStart w:id="207" w:name="_Toc521183379"/>
      <w:bookmarkStart w:id="208" w:name="_Toc521170061"/>
      <w:bookmarkStart w:id="209" w:name="_Toc521174851"/>
      <w:bookmarkStart w:id="210" w:name="_Toc521176559"/>
      <w:bookmarkStart w:id="211" w:name="_Toc521178247"/>
      <w:bookmarkStart w:id="212" w:name="_Toc521179954"/>
      <w:bookmarkStart w:id="213" w:name="_Toc521181667"/>
      <w:bookmarkStart w:id="214" w:name="_Toc521183380"/>
      <w:bookmarkStart w:id="215" w:name="_Toc521170062"/>
      <w:bookmarkStart w:id="216" w:name="_Toc521174852"/>
      <w:bookmarkStart w:id="217" w:name="_Toc521176560"/>
      <w:bookmarkStart w:id="218" w:name="_Toc521178248"/>
      <w:bookmarkStart w:id="219" w:name="_Toc521179955"/>
      <w:bookmarkStart w:id="220" w:name="_Toc521181668"/>
      <w:bookmarkStart w:id="221" w:name="_Toc521183381"/>
      <w:bookmarkStart w:id="222" w:name="_Toc521170063"/>
      <w:bookmarkStart w:id="223" w:name="_Toc521174853"/>
      <w:bookmarkStart w:id="224" w:name="_Toc521176561"/>
      <w:bookmarkStart w:id="225" w:name="_Toc521178249"/>
      <w:bookmarkStart w:id="226" w:name="_Toc521179956"/>
      <w:bookmarkStart w:id="227" w:name="_Toc521181669"/>
      <w:bookmarkStart w:id="228" w:name="_Toc521183382"/>
      <w:bookmarkStart w:id="229" w:name="_Toc521170064"/>
      <w:bookmarkStart w:id="230" w:name="_Toc521174854"/>
      <w:bookmarkStart w:id="231" w:name="_Toc521176562"/>
      <w:bookmarkStart w:id="232" w:name="_Toc521178250"/>
      <w:bookmarkStart w:id="233" w:name="_Toc521179957"/>
      <w:bookmarkStart w:id="234" w:name="_Toc521181670"/>
      <w:bookmarkStart w:id="235" w:name="_Toc521183383"/>
      <w:bookmarkStart w:id="236" w:name="_Toc521170065"/>
      <w:bookmarkStart w:id="237" w:name="_Toc521174855"/>
      <w:bookmarkStart w:id="238" w:name="_Toc521176563"/>
      <w:bookmarkStart w:id="239" w:name="_Toc521178251"/>
      <w:bookmarkStart w:id="240" w:name="_Toc521179958"/>
      <w:bookmarkStart w:id="241" w:name="_Toc521181671"/>
      <w:bookmarkStart w:id="242" w:name="_Toc521183384"/>
      <w:bookmarkStart w:id="243" w:name="_Toc521170066"/>
      <w:bookmarkStart w:id="244" w:name="_Toc521174856"/>
      <w:bookmarkStart w:id="245" w:name="_Toc521176564"/>
      <w:bookmarkStart w:id="246" w:name="_Toc521178252"/>
      <w:bookmarkStart w:id="247" w:name="_Toc521179959"/>
      <w:bookmarkStart w:id="248" w:name="_Toc521181672"/>
      <w:bookmarkStart w:id="249" w:name="_Toc521183385"/>
      <w:bookmarkStart w:id="250" w:name="_Toc521170067"/>
      <w:bookmarkStart w:id="251" w:name="_Toc521174857"/>
      <w:bookmarkStart w:id="252" w:name="_Toc521176565"/>
      <w:bookmarkStart w:id="253" w:name="_Toc521178253"/>
      <w:bookmarkStart w:id="254" w:name="_Toc521179960"/>
      <w:bookmarkStart w:id="255" w:name="_Toc521181673"/>
      <w:bookmarkStart w:id="256" w:name="_Toc521183386"/>
      <w:bookmarkStart w:id="257" w:name="_Toc521170068"/>
      <w:bookmarkStart w:id="258" w:name="_Toc521174858"/>
      <w:bookmarkStart w:id="259" w:name="_Toc521176566"/>
      <w:bookmarkStart w:id="260" w:name="_Toc521178254"/>
      <w:bookmarkStart w:id="261" w:name="_Toc521179961"/>
      <w:bookmarkStart w:id="262" w:name="_Toc521181674"/>
      <w:bookmarkStart w:id="263" w:name="_Toc521183387"/>
      <w:bookmarkStart w:id="264" w:name="_Toc521170069"/>
      <w:bookmarkStart w:id="265" w:name="_Toc521174859"/>
      <w:bookmarkStart w:id="266" w:name="_Toc521176567"/>
      <w:bookmarkStart w:id="267" w:name="_Toc521178255"/>
      <w:bookmarkStart w:id="268" w:name="_Toc521179962"/>
      <w:bookmarkStart w:id="269" w:name="_Toc521181675"/>
      <w:bookmarkStart w:id="270" w:name="_Toc521183388"/>
      <w:bookmarkStart w:id="271" w:name="_Toc521170070"/>
      <w:bookmarkStart w:id="272" w:name="_Toc521174860"/>
      <w:bookmarkStart w:id="273" w:name="_Toc521176568"/>
      <w:bookmarkStart w:id="274" w:name="_Toc521178256"/>
      <w:bookmarkStart w:id="275" w:name="_Toc521179963"/>
      <w:bookmarkStart w:id="276" w:name="_Toc521181676"/>
      <w:bookmarkStart w:id="277" w:name="_Toc521183389"/>
      <w:bookmarkStart w:id="278" w:name="_Toc521170071"/>
      <w:bookmarkStart w:id="279" w:name="_Toc521174861"/>
      <w:bookmarkStart w:id="280" w:name="_Toc521176569"/>
      <w:bookmarkStart w:id="281" w:name="_Toc521178257"/>
      <w:bookmarkStart w:id="282" w:name="_Toc521179964"/>
      <w:bookmarkStart w:id="283" w:name="_Toc521181677"/>
      <w:bookmarkStart w:id="284" w:name="_Toc521183390"/>
      <w:bookmarkStart w:id="285" w:name="_Toc521170072"/>
      <w:bookmarkStart w:id="286" w:name="_Toc521174862"/>
      <w:bookmarkStart w:id="287" w:name="_Toc521176570"/>
      <w:bookmarkStart w:id="288" w:name="_Toc521178258"/>
      <w:bookmarkStart w:id="289" w:name="_Toc521179965"/>
      <w:bookmarkStart w:id="290" w:name="_Toc521181678"/>
      <w:bookmarkStart w:id="291" w:name="_Toc521183391"/>
      <w:bookmarkStart w:id="292" w:name="_Toc521170073"/>
      <w:bookmarkStart w:id="293" w:name="_Toc521174863"/>
      <w:bookmarkStart w:id="294" w:name="_Toc521176571"/>
      <w:bookmarkStart w:id="295" w:name="_Toc521178259"/>
      <w:bookmarkStart w:id="296" w:name="_Toc521179966"/>
      <w:bookmarkStart w:id="297" w:name="_Toc521181679"/>
      <w:bookmarkStart w:id="298" w:name="_Toc521183392"/>
      <w:bookmarkStart w:id="299" w:name="_Toc521170074"/>
      <w:bookmarkStart w:id="300" w:name="_Toc521174864"/>
      <w:bookmarkStart w:id="301" w:name="_Toc521176572"/>
      <w:bookmarkStart w:id="302" w:name="_Toc521178260"/>
      <w:bookmarkStart w:id="303" w:name="_Toc521179967"/>
      <w:bookmarkStart w:id="304" w:name="_Toc521181680"/>
      <w:bookmarkStart w:id="305" w:name="_Toc521183393"/>
      <w:bookmarkStart w:id="306" w:name="_Toc521170075"/>
      <w:bookmarkStart w:id="307" w:name="_Toc521174865"/>
      <w:bookmarkStart w:id="308" w:name="_Toc521176573"/>
      <w:bookmarkStart w:id="309" w:name="_Toc521178261"/>
      <w:bookmarkStart w:id="310" w:name="_Toc521179968"/>
      <w:bookmarkStart w:id="311" w:name="_Toc521181681"/>
      <w:bookmarkStart w:id="312" w:name="_Toc521183394"/>
      <w:bookmarkStart w:id="313" w:name="_Toc521170076"/>
      <w:bookmarkStart w:id="314" w:name="_Toc521174866"/>
      <w:bookmarkStart w:id="315" w:name="_Toc521176574"/>
      <w:bookmarkStart w:id="316" w:name="_Toc521178262"/>
      <w:bookmarkStart w:id="317" w:name="_Toc521179969"/>
      <w:bookmarkStart w:id="318" w:name="_Toc521181682"/>
      <w:bookmarkStart w:id="319" w:name="_Toc521183395"/>
      <w:bookmarkStart w:id="320" w:name="_Toc521170077"/>
      <w:bookmarkStart w:id="321" w:name="_Toc521174867"/>
      <w:bookmarkStart w:id="322" w:name="_Toc521176575"/>
      <w:bookmarkStart w:id="323" w:name="_Toc521178263"/>
      <w:bookmarkStart w:id="324" w:name="_Toc521179970"/>
      <w:bookmarkStart w:id="325" w:name="_Toc521181683"/>
      <w:bookmarkStart w:id="326" w:name="_Toc521183396"/>
      <w:bookmarkStart w:id="327" w:name="_Toc521170078"/>
      <w:bookmarkStart w:id="328" w:name="_Toc521174868"/>
      <w:bookmarkStart w:id="329" w:name="_Toc521176576"/>
      <w:bookmarkStart w:id="330" w:name="_Toc521178264"/>
      <w:bookmarkStart w:id="331" w:name="_Toc521179971"/>
      <w:bookmarkStart w:id="332" w:name="_Toc521181684"/>
      <w:bookmarkStart w:id="333" w:name="_Toc521183397"/>
      <w:bookmarkStart w:id="334" w:name="_Toc521170079"/>
      <w:bookmarkStart w:id="335" w:name="_Toc521174869"/>
      <w:bookmarkStart w:id="336" w:name="_Toc521176577"/>
      <w:bookmarkStart w:id="337" w:name="_Toc521178265"/>
      <w:bookmarkStart w:id="338" w:name="_Toc521179972"/>
      <w:bookmarkStart w:id="339" w:name="_Toc521181685"/>
      <w:bookmarkStart w:id="340" w:name="_Toc521183398"/>
      <w:bookmarkStart w:id="341" w:name="_Toc521170080"/>
      <w:bookmarkStart w:id="342" w:name="_Toc521174870"/>
      <w:bookmarkStart w:id="343" w:name="_Toc521176578"/>
      <w:bookmarkStart w:id="344" w:name="_Toc521178266"/>
      <w:bookmarkStart w:id="345" w:name="_Toc521179973"/>
      <w:bookmarkStart w:id="346" w:name="_Toc521181686"/>
      <w:bookmarkStart w:id="347" w:name="_Toc521183399"/>
      <w:bookmarkStart w:id="348" w:name="_Toc521170081"/>
      <w:bookmarkStart w:id="349" w:name="_Toc521174871"/>
      <w:bookmarkStart w:id="350" w:name="_Toc521176579"/>
      <w:bookmarkStart w:id="351" w:name="_Toc521178267"/>
      <w:bookmarkStart w:id="352" w:name="_Toc521179974"/>
      <w:bookmarkStart w:id="353" w:name="_Toc521181687"/>
      <w:bookmarkStart w:id="354" w:name="_Toc521183400"/>
      <w:bookmarkStart w:id="355" w:name="_Toc521170082"/>
      <w:bookmarkStart w:id="356" w:name="_Toc521174872"/>
      <w:bookmarkStart w:id="357" w:name="_Toc521176580"/>
      <w:bookmarkStart w:id="358" w:name="_Toc521178268"/>
      <w:bookmarkStart w:id="359" w:name="_Toc521179975"/>
      <w:bookmarkStart w:id="360" w:name="_Toc521181688"/>
      <w:bookmarkStart w:id="361" w:name="_Toc521183401"/>
      <w:bookmarkStart w:id="362" w:name="_Toc521170083"/>
      <w:bookmarkStart w:id="363" w:name="_Toc521174873"/>
      <w:bookmarkStart w:id="364" w:name="_Toc521176581"/>
      <w:bookmarkStart w:id="365" w:name="_Toc521178269"/>
      <w:bookmarkStart w:id="366" w:name="_Toc521179976"/>
      <w:bookmarkStart w:id="367" w:name="_Toc521181689"/>
      <w:bookmarkStart w:id="368" w:name="_Toc521183402"/>
      <w:bookmarkStart w:id="369" w:name="_Toc521170084"/>
      <w:bookmarkStart w:id="370" w:name="_Toc521174874"/>
      <w:bookmarkStart w:id="371" w:name="_Toc521176582"/>
      <w:bookmarkStart w:id="372" w:name="_Toc521178270"/>
      <w:bookmarkStart w:id="373" w:name="_Toc521179977"/>
      <w:bookmarkStart w:id="374" w:name="_Toc521181690"/>
      <w:bookmarkStart w:id="375" w:name="_Toc521183403"/>
      <w:bookmarkStart w:id="376" w:name="_Toc521170085"/>
      <w:bookmarkStart w:id="377" w:name="_Toc521174875"/>
      <w:bookmarkStart w:id="378" w:name="_Toc521176583"/>
      <w:bookmarkStart w:id="379" w:name="_Toc521178271"/>
      <w:bookmarkStart w:id="380" w:name="_Toc521179978"/>
      <w:bookmarkStart w:id="381" w:name="_Toc521181691"/>
      <w:bookmarkStart w:id="382" w:name="_Toc521183404"/>
      <w:bookmarkStart w:id="383" w:name="_Toc521170086"/>
      <w:bookmarkStart w:id="384" w:name="_Toc521174876"/>
      <w:bookmarkStart w:id="385" w:name="_Toc521176584"/>
      <w:bookmarkStart w:id="386" w:name="_Toc521178272"/>
      <w:bookmarkStart w:id="387" w:name="_Toc521179979"/>
      <w:bookmarkStart w:id="388" w:name="_Toc521181692"/>
      <w:bookmarkStart w:id="389" w:name="_Toc521183405"/>
      <w:bookmarkStart w:id="390" w:name="_Toc521170087"/>
      <w:bookmarkStart w:id="391" w:name="_Toc521174877"/>
      <w:bookmarkStart w:id="392" w:name="_Toc521176585"/>
      <w:bookmarkStart w:id="393" w:name="_Toc521178273"/>
      <w:bookmarkStart w:id="394" w:name="_Toc521179980"/>
      <w:bookmarkStart w:id="395" w:name="_Toc521181693"/>
      <w:bookmarkStart w:id="396" w:name="_Toc521183406"/>
      <w:bookmarkStart w:id="397" w:name="_Toc521170088"/>
      <w:bookmarkStart w:id="398" w:name="_Toc521174878"/>
      <w:bookmarkStart w:id="399" w:name="_Toc521176586"/>
      <w:bookmarkStart w:id="400" w:name="_Toc521178274"/>
      <w:bookmarkStart w:id="401" w:name="_Toc521179981"/>
      <w:bookmarkStart w:id="402" w:name="_Toc521181694"/>
      <w:bookmarkStart w:id="403" w:name="_Toc521183407"/>
      <w:bookmarkStart w:id="404" w:name="_Toc521170089"/>
      <w:bookmarkStart w:id="405" w:name="_Toc521174879"/>
      <w:bookmarkStart w:id="406" w:name="_Toc521176587"/>
      <w:bookmarkStart w:id="407" w:name="_Toc521178275"/>
      <w:bookmarkStart w:id="408" w:name="_Toc521179982"/>
      <w:bookmarkStart w:id="409" w:name="_Toc521181695"/>
      <w:bookmarkStart w:id="410" w:name="_Toc521183408"/>
      <w:bookmarkStart w:id="411" w:name="_Toc521170090"/>
      <w:bookmarkStart w:id="412" w:name="_Toc521174880"/>
      <w:bookmarkStart w:id="413" w:name="_Toc521176588"/>
      <w:bookmarkStart w:id="414" w:name="_Toc521178276"/>
      <w:bookmarkStart w:id="415" w:name="_Toc521179983"/>
      <w:bookmarkStart w:id="416" w:name="_Toc521181696"/>
      <w:bookmarkStart w:id="417" w:name="_Toc521183409"/>
      <w:bookmarkStart w:id="418" w:name="_Toc521170091"/>
      <w:bookmarkStart w:id="419" w:name="_Toc521174881"/>
      <w:bookmarkStart w:id="420" w:name="_Toc521176589"/>
      <w:bookmarkStart w:id="421" w:name="_Toc521178277"/>
      <w:bookmarkStart w:id="422" w:name="_Toc521179984"/>
      <w:bookmarkStart w:id="423" w:name="_Toc521181697"/>
      <w:bookmarkStart w:id="424" w:name="_Toc521183410"/>
      <w:bookmarkStart w:id="425" w:name="_Toc521170092"/>
      <w:bookmarkStart w:id="426" w:name="_Toc521174882"/>
      <w:bookmarkStart w:id="427" w:name="_Toc521176590"/>
      <w:bookmarkStart w:id="428" w:name="_Toc521178278"/>
      <w:bookmarkStart w:id="429" w:name="_Toc521179985"/>
      <w:bookmarkStart w:id="430" w:name="_Toc521181698"/>
      <w:bookmarkStart w:id="431" w:name="_Toc521183411"/>
      <w:bookmarkStart w:id="432" w:name="_Toc521170093"/>
      <w:bookmarkStart w:id="433" w:name="_Toc521174883"/>
      <w:bookmarkStart w:id="434" w:name="_Toc521176591"/>
      <w:bookmarkStart w:id="435" w:name="_Toc521178279"/>
      <w:bookmarkStart w:id="436" w:name="_Toc521179986"/>
      <w:bookmarkStart w:id="437" w:name="_Toc521181699"/>
      <w:bookmarkStart w:id="438" w:name="_Toc521183412"/>
      <w:bookmarkStart w:id="439" w:name="_Toc521170094"/>
      <w:bookmarkStart w:id="440" w:name="_Toc521174884"/>
      <w:bookmarkStart w:id="441" w:name="_Toc521176592"/>
      <w:bookmarkStart w:id="442" w:name="_Toc521178280"/>
      <w:bookmarkStart w:id="443" w:name="_Toc521179987"/>
      <w:bookmarkStart w:id="444" w:name="_Toc521181700"/>
      <w:bookmarkStart w:id="445" w:name="_Toc521183413"/>
      <w:bookmarkStart w:id="446" w:name="_Toc521170095"/>
      <w:bookmarkStart w:id="447" w:name="_Toc521174885"/>
      <w:bookmarkStart w:id="448" w:name="_Toc521176593"/>
      <w:bookmarkStart w:id="449" w:name="_Toc521178281"/>
      <w:bookmarkStart w:id="450" w:name="_Toc521179988"/>
      <w:bookmarkStart w:id="451" w:name="_Toc521181701"/>
      <w:bookmarkStart w:id="452" w:name="_Toc521183414"/>
      <w:bookmarkStart w:id="453" w:name="_Toc521170096"/>
      <w:bookmarkStart w:id="454" w:name="_Toc521174886"/>
      <w:bookmarkStart w:id="455" w:name="_Toc521176594"/>
      <w:bookmarkStart w:id="456" w:name="_Toc521178282"/>
      <w:bookmarkStart w:id="457" w:name="_Toc521179989"/>
      <w:bookmarkStart w:id="458" w:name="_Toc521181702"/>
      <w:bookmarkStart w:id="459" w:name="_Toc521183415"/>
      <w:bookmarkStart w:id="460" w:name="_Toc521170097"/>
      <w:bookmarkStart w:id="461" w:name="_Toc521174887"/>
      <w:bookmarkStart w:id="462" w:name="_Toc521176595"/>
      <w:bookmarkStart w:id="463" w:name="_Toc521178283"/>
      <w:bookmarkStart w:id="464" w:name="_Toc521179990"/>
      <w:bookmarkStart w:id="465" w:name="_Toc521181703"/>
      <w:bookmarkStart w:id="466" w:name="_Toc521183416"/>
      <w:bookmarkStart w:id="467" w:name="_Toc521170098"/>
      <w:bookmarkStart w:id="468" w:name="_Toc521174888"/>
      <w:bookmarkStart w:id="469" w:name="_Toc521176596"/>
      <w:bookmarkStart w:id="470" w:name="_Toc521178284"/>
      <w:bookmarkStart w:id="471" w:name="_Toc521179991"/>
      <w:bookmarkStart w:id="472" w:name="_Toc521181704"/>
      <w:bookmarkStart w:id="473" w:name="_Toc521183417"/>
      <w:bookmarkStart w:id="474" w:name="_Toc521170099"/>
      <w:bookmarkStart w:id="475" w:name="_Toc521174889"/>
      <w:bookmarkStart w:id="476" w:name="_Toc521176597"/>
      <w:bookmarkStart w:id="477" w:name="_Toc521178285"/>
      <w:bookmarkStart w:id="478" w:name="_Toc521179992"/>
      <w:bookmarkStart w:id="479" w:name="_Toc521181705"/>
      <w:bookmarkStart w:id="480" w:name="_Toc521183418"/>
      <w:bookmarkStart w:id="481" w:name="_Toc521170100"/>
      <w:bookmarkStart w:id="482" w:name="_Toc521174890"/>
      <w:bookmarkStart w:id="483" w:name="_Toc521176598"/>
      <w:bookmarkStart w:id="484" w:name="_Toc521178286"/>
      <w:bookmarkStart w:id="485" w:name="_Toc521179993"/>
      <w:bookmarkStart w:id="486" w:name="_Toc521181706"/>
      <w:bookmarkStart w:id="487" w:name="_Toc521183419"/>
      <w:bookmarkStart w:id="488" w:name="_Toc521170101"/>
      <w:bookmarkStart w:id="489" w:name="_Toc521174891"/>
      <w:bookmarkStart w:id="490" w:name="_Toc521176599"/>
      <w:bookmarkStart w:id="491" w:name="_Toc521178287"/>
      <w:bookmarkStart w:id="492" w:name="_Toc521179994"/>
      <w:bookmarkStart w:id="493" w:name="_Toc521181707"/>
      <w:bookmarkStart w:id="494" w:name="_Toc521183420"/>
      <w:bookmarkStart w:id="495" w:name="_Toc521170102"/>
      <w:bookmarkStart w:id="496" w:name="_Toc521174892"/>
      <w:bookmarkStart w:id="497" w:name="_Toc521176600"/>
      <w:bookmarkStart w:id="498" w:name="_Toc521178288"/>
      <w:bookmarkStart w:id="499" w:name="_Toc521179995"/>
      <w:bookmarkStart w:id="500" w:name="_Toc521181708"/>
      <w:bookmarkStart w:id="501" w:name="_Toc521183421"/>
      <w:bookmarkStart w:id="502" w:name="_Toc521170103"/>
      <w:bookmarkStart w:id="503" w:name="_Toc521174893"/>
      <w:bookmarkStart w:id="504" w:name="_Toc521176601"/>
      <w:bookmarkStart w:id="505" w:name="_Toc521178289"/>
      <w:bookmarkStart w:id="506" w:name="_Toc521179996"/>
      <w:bookmarkStart w:id="507" w:name="_Toc521181709"/>
      <w:bookmarkStart w:id="508" w:name="_Toc521183422"/>
      <w:bookmarkStart w:id="509" w:name="_Toc521170104"/>
      <w:bookmarkStart w:id="510" w:name="_Toc521174894"/>
      <w:bookmarkStart w:id="511" w:name="_Toc521176602"/>
      <w:bookmarkStart w:id="512" w:name="_Toc521178290"/>
      <w:bookmarkStart w:id="513" w:name="_Toc521179997"/>
      <w:bookmarkStart w:id="514" w:name="_Toc521181710"/>
      <w:bookmarkStart w:id="515" w:name="_Toc521183423"/>
      <w:bookmarkStart w:id="516" w:name="_Toc521170105"/>
      <w:bookmarkStart w:id="517" w:name="_Toc521174895"/>
      <w:bookmarkStart w:id="518" w:name="_Toc521176603"/>
      <w:bookmarkStart w:id="519" w:name="_Toc521178291"/>
      <w:bookmarkStart w:id="520" w:name="_Toc521179998"/>
      <w:bookmarkStart w:id="521" w:name="_Toc521181711"/>
      <w:bookmarkStart w:id="522" w:name="_Toc521183424"/>
      <w:bookmarkStart w:id="523" w:name="_Toc521170106"/>
      <w:bookmarkStart w:id="524" w:name="_Toc521174896"/>
      <w:bookmarkStart w:id="525" w:name="_Toc521176604"/>
      <w:bookmarkStart w:id="526" w:name="_Toc521178292"/>
      <w:bookmarkStart w:id="527" w:name="_Toc521179999"/>
      <w:bookmarkStart w:id="528" w:name="_Toc521181712"/>
      <w:bookmarkStart w:id="529" w:name="_Toc521183425"/>
      <w:bookmarkStart w:id="530" w:name="_Toc521170107"/>
      <w:bookmarkStart w:id="531" w:name="_Toc521174897"/>
      <w:bookmarkStart w:id="532" w:name="_Toc521176605"/>
      <w:bookmarkStart w:id="533" w:name="_Toc521178293"/>
      <w:bookmarkStart w:id="534" w:name="_Toc521180000"/>
      <w:bookmarkStart w:id="535" w:name="_Toc521181713"/>
      <w:bookmarkStart w:id="536" w:name="_Toc521183426"/>
      <w:bookmarkStart w:id="537" w:name="_Toc521170108"/>
      <w:bookmarkStart w:id="538" w:name="_Toc521174898"/>
      <w:bookmarkStart w:id="539" w:name="_Toc521176606"/>
      <w:bookmarkStart w:id="540" w:name="_Toc521178294"/>
      <w:bookmarkStart w:id="541" w:name="_Toc521180001"/>
      <w:bookmarkStart w:id="542" w:name="_Toc521181714"/>
      <w:bookmarkStart w:id="543" w:name="_Toc521183427"/>
      <w:bookmarkStart w:id="544" w:name="_Toc521170109"/>
      <w:bookmarkStart w:id="545" w:name="_Toc521174899"/>
      <w:bookmarkStart w:id="546" w:name="_Toc521176607"/>
      <w:bookmarkStart w:id="547" w:name="_Toc521178295"/>
      <w:bookmarkStart w:id="548" w:name="_Toc521180002"/>
      <w:bookmarkStart w:id="549" w:name="_Toc521181715"/>
      <w:bookmarkStart w:id="550" w:name="_Toc521183428"/>
      <w:bookmarkStart w:id="551" w:name="_Toc521170110"/>
      <w:bookmarkStart w:id="552" w:name="_Toc521174900"/>
      <w:bookmarkStart w:id="553" w:name="_Toc521176608"/>
      <w:bookmarkStart w:id="554" w:name="_Toc521178296"/>
      <w:bookmarkStart w:id="555" w:name="_Toc521180003"/>
      <w:bookmarkStart w:id="556" w:name="_Toc521181716"/>
      <w:bookmarkStart w:id="557" w:name="_Toc521183429"/>
      <w:bookmarkStart w:id="558" w:name="_Toc521170111"/>
      <w:bookmarkStart w:id="559" w:name="_Toc521174901"/>
      <w:bookmarkStart w:id="560" w:name="_Toc521176609"/>
      <w:bookmarkStart w:id="561" w:name="_Toc521178297"/>
      <w:bookmarkStart w:id="562" w:name="_Toc521180004"/>
      <w:bookmarkStart w:id="563" w:name="_Toc521181717"/>
      <w:bookmarkStart w:id="564" w:name="_Toc521183430"/>
      <w:bookmarkStart w:id="565" w:name="_Toc521170112"/>
      <w:bookmarkStart w:id="566" w:name="_Toc521174902"/>
      <w:bookmarkStart w:id="567" w:name="_Toc521176610"/>
      <w:bookmarkStart w:id="568" w:name="_Toc521178298"/>
      <w:bookmarkStart w:id="569" w:name="_Toc521180005"/>
      <w:bookmarkStart w:id="570" w:name="_Toc521181718"/>
      <w:bookmarkStart w:id="571" w:name="_Toc521183431"/>
      <w:bookmarkStart w:id="572" w:name="_Toc521170113"/>
      <w:bookmarkStart w:id="573" w:name="_Toc521174903"/>
      <w:bookmarkStart w:id="574" w:name="_Toc521176611"/>
      <w:bookmarkStart w:id="575" w:name="_Toc521178299"/>
      <w:bookmarkStart w:id="576" w:name="_Toc521180006"/>
      <w:bookmarkStart w:id="577" w:name="_Toc521181719"/>
      <w:bookmarkStart w:id="578" w:name="_Toc521183432"/>
      <w:bookmarkStart w:id="579" w:name="_Toc521170114"/>
      <w:bookmarkStart w:id="580" w:name="_Toc521174904"/>
      <w:bookmarkStart w:id="581" w:name="_Toc521176612"/>
      <w:bookmarkStart w:id="582" w:name="_Toc521178300"/>
      <w:bookmarkStart w:id="583" w:name="_Toc521180007"/>
      <w:bookmarkStart w:id="584" w:name="_Toc521181720"/>
      <w:bookmarkStart w:id="585" w:name="_Toc521183433"/>
      <w:bookmarkStart w:id="586" w:name="_Toc521170115"/>
      <w:bookmarkStart w:id="587" w:name="_Toc521174905"/>
      <w:bookmarkStart w:id="588" w:name="_Toc521176613"/>
      <w:bookmarkStart w:id="589" w:name="_Toc521178301"/>
      <w:bookmarkStart w:id="590" w:name="_Toc521180008"/>
      <w:bookmarkStart w:id="591" w:name="_Toc521181721"/>
      <w:bookmarkStart w:id="592" w:name="_Toc521183434"/>
      <w:bookmarkStart w:id="593" w:name="_Toc521170116"/>
      <w:bookmarkStart w:id="594" w:name="_Toc521174906"/>
      <w:bookmarkStart w:id="595" w:name="_Toc521176614"/>
      <w:bookmarkStart w:id="596" w:name="_Toc521178302"/>
      <w:bookmarkStart w:id="597" w:name="_Toc521180009"/>
      <w:bookmarkStart w:id="598" w:name="_Toc521181722"/>
      <w:bookmarkStart w:id="599" w:name="_Toc521183435"/>
      <w:bookmarkStart w:id="600" w:name="_Toc521170117"/>
      <w:bookmarkStart w:id="601" w:name="_Toc521174907"/>
      <w:bookmarkStart w:id="602" w:name="_Toc521176615"/>
      <w:bookmarkStart w:id="603" w:name="_Toc521178303"/>
      <w:bookmarkStart w:id="604" w:name="_Toc521180010"/>
      <w:bookmarkStart w:id="605" w:name="_Toc521181723"/>
      <w:bookmarkStart w:id="606" w:name="_Toc521183436"/>
      <w:bookmarkStart w:id="607" w:name="_Toc520589050"/>
      <w:bookmarkStart w:id="608" w:name="_Toc520590668"/>
      <w:bookmarkStart w:id="609" w:name="_Toc520592284"/>
      <w:bookmarkStart w:id="610" w:name="_Toc520593902"/>
      <w:bookmarkStart w:id="611" w:name="_Toc520595519"/>
      <w:bookmarkStart w:id="612" w:name="_Toc520597071"/>
      <w:bookmarkStart w:id="613" w:name="_Toc520598614"/>
      <w:bookmarkStart w:id="614" w:name="_Toc520600157"/>
      <w:bookmarkStart w:id="615" w:name="_Toc520668809"/>
      <w:bookmarkStart w:id="616" w:name="_Toc520670376"/>
      <w:bookmarkStart w:id="617" w:name="_Toc521170118"/>
      <w:bookmarkStart w:id="618" w:name="_Toc521174908"/>
      <w:bookmarkStart w:id="619" w:name="_Toc521176616"/>
      <w:bookmarkStart w:id="620" w:name="_Toc521178304"/>
      <w:bookmarkStart w:id="621" w:name="_Toc521180011"/>
      <w:bookmarkStart w:id="622" w:name="_Toc521181724"/>
      <w:bookmarkStart w:id="623" w:name="_Toc521183437"/>
      <w:bookmarkStart w:id="624" w:name="_Toc520589051"/>
      <w:bookmarkStart w:id="625" w:name="_Toc520590669"/>
      <w:bookmarkStart w:id="626" w:name="_Toc520592285"/>
      <w:bookmarkStart w:id="627" w:name="_Toc520593903"/>
      <w:bookmarkStart w:id="628" w:name="_Toc520595520"/>
      <w:bookmarkStart w:id="629" w:name="_Toc520597072"/>
      <w:bookmarkStart w:id="630" w:name="_Toc520598615"/>
      <w:bookmarkStart w:id="631" w:name="_Toc520600158"/>
      <w:bookmarkStart w:id="632" w:name="_Toc520668810"/>
      <w:bookmarkStart w:id="633" w:name="_Toc520670377"/>
      <w:bookmarkStart w:id="634" w:name="_Toc521170119"/>
      <w:bookmarkStart w:id="635" w:name="_Toc521174909"/>
      <w:bookmarkStart w:id="636" w:name="_Toc521176617"/>
      <w:bookmarkStart w:id="637" w:name="_Toc521178305"/>
      <w:bookmarkStart w:id="638" w:name="_Toc521180012"/>
      <w:bookmarkStart w:id="639" w:name="_Toc521181725"/>
      <w:bookmarkStart w:id="640" w:name="_Toc521183438"/>
      <w:bookmarkStart w:id="641" w:name="_Toc520589052"/>
      <w:bookmarkStart w:id="642" w:name="_Toc520590670"/>
      <w:bookmarkStart w:id="643" w:name="_Toc520592286"/>
      <w:bookmarkStart w:id="644" w:name="_Toc520593904"/>
      <w:bookmarkStart w:id="645" w:name="_Toc520595521"/>
      <w:bookmarkStart w:id="646" w:name="_Toc520597073"/>
      <w:bookmarkStart w:id="647" w:name="_Toc520598616"/>
      <w:bookmarkStart w:id="648" w:name="_Toc520600159"/>
      <w:bookmarkStart w:id="649" w:name="_Toc520668811"/>
      <w:bookmarkStart w:id="650" w:name="_Toc520670378"/>
      <w:bookmarkStart w:id="651" w:name="_Toc521170120"/>
      <w:bookmarkStart w:id="652" w:name="_Toc521174910"/>
      <w:bookmarkStart w:id="653" w:name="_Toc521176618"/>
      <w:bookmarkStart w:id="654" w:name="_Toc521178306"/>
      <w:bookmarkStart w:id="655" w:name="_Toc521180013"/>
      <w:bookmarkStart w:id="656" w:name="_Toc521181726"/>
      <w:bookmarkStart w:id="657" w:name="_Toc521183439"/>
      <w:bookmarkStart w:id="658" w:name="_Toc520589054"/>
      <w:bookmarkStart w:id="659" w:name="_Toc520590672"/>
      <w:bookmarkStart w:id="660" w:name="_Toc520592288"/>
      <w:bookmarkStart w:id="661" w:name="_Toc520593906"/>
      <w:bookmarkStart w:id="662" w:name="_Toc520595523"/>
      <w:bookmarkStart w:id="663" w:name="_Toc520597075"/>
      <w:bookmarkStart w:id="664" w:name="_Toc520598618"/>
      <w:bookmarkStart w:id="665" w:name="_Toc520600161"/>
      <w:bookmarkStart w:id="666" w:name="_Toc520668813"/>
      <w:bookmarkStart w:id="667" w:name="_Toc520670380"/>
      <w:bookmarkStart w:id="668" w:name="_Toc521170122"/>
      <w:bookmarkStart w:id="669" w:name="_Toc521171711"/>
      <w:bookmarkStart w:id="670" w:name="_Toc521173245"/>
      <w:bookmarkStart w:id="671" w:name="_Toc521174912"/>
      <w:bookmarkStart w:id="672" w:name="_Toc521176620"/>
      <w:bookmarkStart w:id="673" w:name="_Toc521178308"/>
      <w:bookmarkStart w:id="674" w:name="_Toc521180015"/>
      <w:bookmarkStart w:id="675" w:name="_Toc521181728"/>
      <w:bookmarkStart w:id="676" w:name="_Toc521183441"/>
      <w:bookmarkStart w:id="677" w:name="_Toc521185016"/>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r w:rsidRPr="006912F6">
        <w:rPr>
          <w:rFonts w:cs="Times New Roman"/>
          <w:i w:val="0"/>
          <w:color w:val="auto"/>
          <w:sz w:val="20"/>
          <w:szCs w:val="20"/>
        </w:rPr>
        <w:t xml:space="preserve">The number of inundated properties and the flood depth of each property have been determined in each flood simulation. Based on property information provided by Ordnance Survey (UK), flood damages for each coastal flood event have been monetised to quantify the risk of the coastal flood event. The monetisation process follows the guideline provided by Environment Agency (2010) and Penning-Rowsell et al. (2010; 2014). </w:t>
      </w:r>
    </w:p>
    <w:p w14:paraId="013AFAC2" w14:textId="44FF83F7" w:rsidR="00CD3196" w:rsidRPr="006912F6" w:rsidRDefault="00CD3196" w:rsidP="00E30DAB">
      <w:pPr>
        <w:jc w:val="both"/>
        <w:rPr>
          <w:rFonts w:cs="Times New Roman"/>
          <w:sz w:val="20"/>
          <w:szCs w:val="20"/>
        </w:rPr>
      </w:pPr>
      <w:r w:rsidRPr="006912F6">
        <w:rPr>
          <w:rFonts w:cs="Times New Roman"/>
          <w:sz w:val="20"/>
          <w:szCs w:val="20"/>
        </w:rPr>
        <w:t>For the estimation of flood risk, this research takes several steps to convert flood extents and depths to economic losses. Firstly, the economic loss of each property within a flooded area has been estimated by a flood depth-damage curve for a property provided by Penning-Roswell et al. (2014). Secondly, all the flood damages for the inundated properties</w:t>
      </w:r>
      <w:r w:rsidR="00E30DAB" w:rsidRPr="006912F6">
        <w:rPr>
          <w:rFonts w:cs="Times New Roman"/>
          <w:sz w:val="20"/>
          <w:szCs w:val="20"/>
        </w:rPr>
        <w:t xml:space="preserve"> per each flood loading</w:t>
      </w:r>
      <w:r w:rsidRPr="006912F6">
        <w:rPr>
          <w:rFonts w:cs="Times New Roman"/>
          <w:sz w:val="20"/>
          <w:szCs w:val="20"/>
        </w:rPr>
        <w:t xml:space="preserve"> are aggregated for each coastal defence condition. The next step estimates difference in flood damages between the existing and upgraded defence conditions at each flood loading</w:t>
      </w:r>
      <w:r w:rsidR="00E30DAB" w:rsidRPr="006912F6">
        <w:rPr>
          <w:rFonts w:cs="Times New Roman"/>
          <w:sz w:val="20"/>
          <w:szCs w:val="20"/>
        </w:rPr>
        <w:t>. This estimation shows</w:t>
      </w:r>
      <w:r w:rsidRPr="006912F6">
        <w:rPr>
          <w:rFonts w:cs="Times New Roman"/>
          <w:sz w:val="20"/>
          <w:szCs w:val="20"/>
        </w:rPr>
        <w:t xml:space="preserve"> reduction in flood damage by a flood defence upgrade. Lastly, this process has been iterated with </w:t>
      </w:r>
      <w:r w:rsidR="00E30DAB" w:rsidRPr="006912F6">
        <w:rPr>
          <w:rFonts w:cs="Times New Roman"/>
          <w:sz w:val="20"/>
          <w:szCs w:val="20"/>
        </w:rPr>
        <w:t xml:space="preserve">the </w:t>
      </w:r>
      <w:r w:rsidRPr="006912F6">
        <w:rPr>
          <w:rFonts w:cs="Times New Roman"/>
          <w:sz w:val="20"/>
          <w:szCs w:val="20"/>
        </w:rPr>
        <w:t>0.2m increment of flood loading, providing monetised damage and benefit curves across all the flood loadings</w:t>
      </w:r>
      <w:r w:rsidR="00E30DAB" w:rsidRPr="006912F6">
        <w:rPr>
          <w:rFonts w:cs="Times New Roman"/>
          <w:sz w:val="20"/>
          <w:szCs w:val="20"/>
        </w:rPr>
        <w:t xml:space="preserve"> (i.e. ESWL+WAVE+SLR)</w:t>
      </w:r>
      <w:r w:rsidRPr="006912F6">
        <w:rPr>
          <w:rFonts w:cs="Times New Roman"/>
          <w:sz w:val="20"/>
          <w:szCs w:val="20"/>
        </w:rPr>
        <w:t xml:space="preserve"> from 1.2 to 4.0 mAOD.</w:t>
      </w:r>
    </w:p>
    <w:p w14:paraId="4EB28CF0" w14:textId="77777777" w:rsidR="00CD3196" w:rsidRPr="006912F6" w:rsidRDefault="00CD3196" w:rsidP="00CD3196">
      <w:pPr>
        <w:rPr>
          <w:rFonts w:cs="Times New Roman"/>
          <w:sz w:val="20"/>
          <w:szCs w:val="20"/>
        </w:rPr>
      </w:pPr>
    </w:p>
    <w:p w14:paraId="32D5B053" w14:textId="7103C196" w:rsidR="00CD3196" w:rsidRPr="006912F6" w:rsidRDefault="001612D9" w:rsidP="00E30DAB">
      <w:pPr>
        <w:jc w:val="both"/>
        <w:outlineLvl w:val="0"/>
        <w:rPr>
          <w:rFonts w:eastAsia="맑은 고딕" w:cs="Times New Roman"/>
          <w:b/>
          <w:sz w:val="20"/>
          <w:szCs w:val="20"/>
        </w:rPr>
      </w:pPr>
      <w:r w:rsidRPr="006912F6">
        <w:rPr>
          <w:rFonts w:eastAsia="맑은 고딕" w:cs="Times New Roman"/>
          <w:b/>
          <w:sz w:val="20"/>
          <w:szCs w:val="20"/>
        </w:rPr>
        <w:t xml:space="preserve">1.2.1 </w:t>
      </w:r>
      <w:r w:rsidR="00CD3196" w:rsidRPr="006912F6">
        <w:rPr>
          <w:rFonts w:eastAsia="맑은 고딕" w:cs="Times New Roman"/>
          <w:b/>
          <w:sz w:val="20"/>
          <w:szCs w:val="20"/>
        </w:rPr>
        <w:t>Conversion of flood depth to flood damage in currency</w:t>
      </w:r>
    </w:p>
    <w:p w14:paraId="4ADA3CFD" w14:textId="3BD9E989" w:rsidR="00CD3196" w:rsidRPr="006912F6" w:rsidRDefault="00CD3196" w:rsidP="00CD3196">
      <w:pPr>
        <w:rPr>
          <w:rFonts w:cs="Times New Roman"/>
          <w:sz w:val="20"/>
          <w:szCs w:val="20"/>
        </w:rPr>
      </w:pPr>
      <w:r w:rsidRPr="006912F6">
        <w:rPr>
          <w:rFonts w:cs="Times New Roman"/>
          <w:sz w:val="20"/>
          <w:szCs w:val="20"/>
        </w:rPr>
        <w:t xml:space="preserve">If a property is inundated by a coastal event, the flood event will depreciate the property value with recovery costs incurred. The economic losses also depend on flood depth to which the property is inundated. Multi-Coloured Manual (MCM), which is a commonly used guidance for flood risk analysis in the UK (Penning-Rowsell et al., 2010; 2014), provides a unique relation between damages (£) and flood depths (m) in a property in England and Wales. The MCM defines four types of properties - detached, semi-detached, terraced houses and flat in England and Wales. This analysis, instead, takes the averaged value of the economic losses from all the types of properties at each flood depth. A relationship between the averaged economic losses and the flood depths is plotted as a single square root curve in Figure </w:t>
      </w:r>
      <w:r w:rsidR="001612D9" w:rsidRPr="006912F6">
        <w:rPr>
          <w:rFonts w:cs="Times New Roman"/>
          <w:sz w:val="20"/>
          <w:szCs w:val="20"/>
        </w:rPr>
        <w:t>1.5</w:t>
      </w:r>
      <w:r w:rsidRPr="006912F6">
        <w:rPr>
          <w:rFonts w:cs="Times New Roman"/>
          <w:sz w:val="20"/>
          <w:szCs w:val="20"/>
        </w:rPr>
        <w:t xml:space="preserve">. </w:t>
      </w:r>
    </w:p>
    <w:p w14:paraId="316291C6" w14:textId="77777777" w:rsidR="00CD3196" w:rsidRPr="006912F6" w:rsidRDefault="00CD3196" w:rsidP="00CD3196">
      <w:pPr>
        <w:spacing w:before="0" w:after="160" w:line="259" w:lineRule="auto"/>
        <w:rPr>
          <w:rFonts w:cs="Times New Roman"/>
          <w:sz w:val="20"/>
          <w:szCs w:val="20"/>
        </w:rPr>
      </w:pPr>
    </w:p>
    <w:p w14:paraId="2D7F26EE" w14:textId="77777777" w:rsidR="00CD3196" w:rsidRPr="006912F6" w:rsidRDefault="00CD3196" w:rsidP="00CD3196">
      <w:pPr>
        <w:jc w:val="center"/>
        <w:rPr>
          <w:rFonts w:cs="Times New Roman"/>
          <w:sz w:val="20"/>
          <w:szCs w:val="20"/>
        </w:rPr>
      </w:pPr>
      <w:r w:rsidRPr="006912F6">
        <w:rPr>
          <w:rFonts w:cs="Times New Roman"/>
          <w:noProof/>
          <w:sz w:val="20"/>
          <w:szCs w:val="20"/>
        </w:rPr>
        <w:lastRenderedPageBreak/>
        <w:drawing>
          <wp:inline distT="0" distB="0" distL="0" distR="0" wp14:anchorId="1FD22ADD" wp14:editId="5CC3321B">
            <wp:extent cx="4558352" cy="3409710"/>
            <wp:effectExtent l="0" t="0" r="0" b="0"/>
            <wp:docPr id="428" name="Picture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596778" cy="3438453"/>
                    </a:xfrm>
                    <a:prstGeom prst="rect">
                      <a:avLst/>
                    </a:prstGeom>
                    <a:noFill/>
                  </pic:spPr>
                </pic:pic>
              </a:graphicData>
            </a:graphic>
          </wp:inline>
        </w:drawing>
      </w:r>
    </w:p>
    <w:p w14:paraId="020555AD" w14:textId="1F4ED14A" w:rsidR="00CD3196" w:rsidRPr="006912F6" w:rsidRDefault="00CD3196" w:rsidP="00CD3196">
      <w:pPr>
        <w:pStyle w:val="a4"/>
        <w:jc w:val="both"/>
        <w:rPr>
          <w:rFonts w:cs="Times New Roman"/>
          <w:i w:val="0"/>
          <w:color w:val="auto"/>
          <w:sz w:val="20"/>
          <w:szCs w:val="20"/>
        </w:rPr>
      </w:pPr>
      <w:bookmarkStart w:id="678" w:name="_Toc508685519"/>
      <w:bookmarkStart w:id="679" w:name="_Toc18071668"/>
      <w:r w:rsidRPr="006912F6">
        <w:rPr>
          <w:b/>
          <w:i w:val="0"/>
          <w:color w:val="auto"/>
          <w:sz w:val="20"/>
          <w:szCs w:val="20"/>
        </w:rPr>
        <w:t xml:space="preserve">Figure </w:t>
      </w:r>
      <w:r w:rsidR="001612D9" w:rsidRPr="006912F6">
        <w:rPr>
          <w:b/>
          <w:i w:val="0"/>
          <w:color w:val="auto"/>
          <w:sz w:val="20"/>
          <w:szCs w:val="20"/>
        </w:rPr>
        <w:t>1.</w:t>
      </w:r>
      <w:r w:rsidR="00857D49" w:rsidRPr="006912F6">
        <w:rPr>
          <w:b/>
          <w:i w:val="0"/>
          <w:color w:val="auto"/>
          <w:sz w:val="20"/>
          <w:szCs w:val="20"/>
        </w:rPr>
        <w:t>5.</w:t>
      </w:r>
      <w:r w:rsidRPr="006912F6">
        <w:rPr>
          <w:b/>
          <w:i w:val="0"/>
          <w:color w:val="auto"/>
          <w:sz w:val="20"/>
          <w:szCs w:val="20"/>
        </w:rPr>
        <w:t xml:space="preserve"> </w:t>
      </w:r>
      <w:r w:rsidRPr="006912F6">
        <w:rPr>
          <w:rFonts w:cs="Times New Roman"/>
          <w:i w:val="0"/>
          <w:color w:val="auto"/>
          <w:sz w:val="20"/>
          <w:szCs w:val="20"/>
        </w:rPr>
        <w:t>Flood damages or economic losses (£) by different flood depths for an inundated property in England and Wales (in 2016 prices)</w:t>
      </w:r>
      <w:bookmarkEnd w:id="678"/>
      <w:bookmarkEnd w:id="679"/>
      <w:r w:rsidRPr="006912F6">
        <w:rPr>
          <w:rFonts w:cs="Times New Roman"/>
          <w:i w:val="0"/>
          <w:color w:val="auto"/>
          <w:sz w:val="20"/>
          <w:szCs w:val="20"/>
        </w:rPr>
        <w:t xml:space="preserve">  </w:t>
      </w:r>
    </w:p>
    <w:p w14:paraId="21B47FD4" w14:textId="77777777" w:rsidR="00CD3196" w:rsidRPr="006912F6" w:rsidRDefault="00CD3196" w:rsidP="00CD3196">
      <w:pPr>
        <w:jc w:val="both"/>
        <w:rPr>
          <w:rFonts w:cs="Times New Roman"/>
          <w:sz w:val="20"/>
          <w:szCs w:val="20"/>
        </w:rPr>
      </w:pPr>
    </w:p>
    <w:p w14:paraId="2498A16A" w14:textId="593D66AE" w:rsidR="00CD3196" w:rsidRPr="006912F6" w:rsidRDefault="00CD3196" w:rsidP="00E30DAB">
      <w:pPr>
        <w:jc w:val="both"/>
        <w:rPr>
          <w:rFonts w:cs="Times New Roman"/>
          <w:sz w:val="20"/>
          <w:szCs w:val="20"/>
        </w:rPr>
      </w:pPr>
      <w:r w:rsidRPr="006912F6">
        <w:rPr>
          <w:rFonts w:cs="Times New Roman"/>
          <w:sz w:val="20"/>
          <w:szCs w:val="20"/>
        </w:rPr>
        <w:t xml:space="preserve">The economic loss (£) is represented by a square root function of flood depth. This fitted function helps convert a flood depth of each property to a flood damage in currency. All the flood damages of inundated properties are aggregated for each extreme water level discretised with a 0.2m interval. This iterative calculation provides a relation between peak water levels and flood damages for a given coastal defence condition. All the flood damages are monetised in 2016 price. Figure </w:t>
      </w:r>
      <w:r w:rsidR="001612D9" w:rsidRPr="006912F6">
        <w:rPr>
          <w:rFonts w:cs="Times New Roman"/>
          <w:sz w:val="20"/>
          <w:szCs w:val="20"/>
        </w:rPr>
        <w:t>1.6</w:t>
      </w:r>
      <w:r w:rsidRPr="006912F6">
        <w:rPr>
          <w:rFonts w:cs="Times New Roman"/>
          <w:sz w:val="20"/>
          <w:szCs w:val="20"/>
        </w:rPr>
        <w:t xml:space="preserve"> show relationships between flood events associated with peak water levels (i.e. ESWL+SLR+WAVE) and flood damages for </w:t>
      </w:r>
      <w:r w:rsidR="0045757A" w:rsidRPr="006912F6">
        <w:rPr>
          <w:rFonts w:cs="Times New Roman"/>
          <w:sz w:val="20"/>
          <w:szCs w:val="20"/>
        </w:rPr>
        <w:t xml:space="preserve">5 </w:t>
      </w:r>
      <w:r w:rsidRPr="006912F6">
        <w:rPr>
          <w:rFonts w:cs="Times New Roman"/>
          <w:sz w:val="20"/>
          <w:szCs w:val="20"/>
        </w:rPr>
        <w:t>defence condition</w:t>
      </w:r>
      <w:r w:rsidR="0045757A" w:rsidRPr="006912F6">
        <w:rPr>
          <w:rFonts w:cs="Times New Roman"/>
          <w:sz w:val="20"/>
          <w:szCs w:val="20"/>
        </w:rPr>
        <w:t>s</w:t>
      </w:r>
      <w:r w:rsidRPr="006912F6">
        <w:rPr>
          <w:rFonts w:cs="Times New Roman"/>
          <w:sz w:val="20"/>
          <w:szCs w:val="20"/>
        </w:rPr>
        <w:t>. Each relationship, hereafter called a</w:t>
      </w:r>
      <w:r w:rsidR="009E6467" w:rsidRPr="006912F6">
        <w:rPr>
          <w:rFonts w:cs="Times New Roman"/>
          <w:sz w:val="20"/>
          <w:szCs w:val="20"/>
        </w:rPr>
        <w:t>n impact curve</w:t>
      </w:r>
      <w:r w:rsidRPr="006912F6">
        <w:rPr>
          <w:rFonts w:cs="Times New Roman"/>
          <w:sz w:val="20"/>
          <w:szCs w:val="20"/>
        </w:rPr>
        <w:t xml:space="preserve">, represents the response of the floodplain with the current coastal defence or the upgraded </w:t>
      </w:r>
      <w:r w:rsidRPr="006912F6">
        <w:rPr>
          <w:rFonts w:cs="Times New Roman" w:hint="eastAsia"/>
          <w:sz w:val="20"/>
          <w:szCs w:val="20"/>
        </w:rPr>
        <w:t>coasta</w:t>
      </w:r>
      <w:r w:rsidRPr="006912F6">
        <w:rPr>
          <w:rFonts w:cs="Times New Roman"/>
          <w:sz w:val="20"/>
          <w:szCs w:val="20"/>
        </w:rPr>
        <w:t>l defence</w:t>
      </w:r>
      <w:r w:rsidR="0045757A" w:rsidRPr="006912F6">
        <w:rPr>
          <w:rFonts w:cs="Times New Roman"/>
          <w:sz w:val="20"/>
          <w:szCs w:val="20"/>
        </w:rPr>
        <w:t>s</w:t>
      </w:r>
      <w:r w:rsidRPr="006912F6">
        <w:rPr>
          <w:rFonts w:cs="Times New Roman"/>
          <w:sz w:val="20"/>
          <w:szCs w:val="20"/>
        </w:rPr>
        <w:t xml:space="preserve"> to various amounts of coastal flooding. </w:t>
      </w:r>
    </w:p>
    <w:p w14:paraId="0E752F3C" w14:textId="6BF263A8" w:rsidR="00CD3196" w:rsidRPr="006912F6" w:rsidRDefault="00E30DAB" w:rsidP="00CD3196">
      <w:pPr>
        <w:jc w:val="center"/>
        <w:rPr>
          <w:rFonts w:cs="Times New Roman"/>
          <w:sz w:val="20"/>
          <w:szCs w:val="20"/>
        </w:rPr>
      </w:pPr>
      <w:r w:rsidRPr="006912F6">
        <w:rPr>
          <w:noProof/>
        </w:rPr>
        <w:lastRenderedPageBreak/>
        <w:drawing>
          <wp:inline distT="0" distB="0" distL="0" distR="0" wp14:anchorId="0E10601C" wp14:editId="12521413">
            <wp:extent cx="5065414" cy="3876449"/>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070762" cy="3880541"/>
                    </a:xfrm>
                    <a:prstGeom prst="rect">
                      <a:avLst/>
                    </a:prstGeom>
                    <a:noFill/>
                    <a:ln>
                      <a:noFill/>
                    </a:ln>
                  </pic:spPr>
                </pic:pic>
              </a:graphicData>
            </a:graphic>
          </wp:inline>
        </w:drawing>
      </w:r>
    </w:p>
    <w:p w14:paraId="40A1CE77" w14:textId="436A5F47" w:rsidR="00CD3196" w:rsidRPr="006912F6" w:rsidRDefault="00CD3196" w:rsidP="00CD3196">
      <w:pPr>
        <w:pStyle w:val="a4"/>
        <w:jc w:val="both"/>
        <w:rPr>
          <w:rFonts w:cs="Times New Roman"/>
          <w:i w:val="0"/>
          <w:color w:val="auto"/>
          <w:sz w:val="20"/>
          <w:szCs w:val="20"/>
        </w:rPr>
      </w:pPr>
      <w:bookmarkStart w:id="680" w:name="_Toc508685520"/>
      <w:bookmarkStart w:id="681" w:name="_Ref518954206"/>
      <w:bookmarkStart w:id="682" w:name="_Toc18071669"/>
      <w:r w:rsidRPr="006912F6">
        <w:rPr>
          <w:b/>
          <w:i w:val="0"/>
          <w:color w:val="auto"/>
          <w:sz w:val="20"/>
          <w:szCs w:val="20"/>
        </w:rPr>
        <w:t xml:space="preserve">Figure </w:t>
      </w:r>
      <w:r w:rsidR="001612D9" w:rsidRPr="006912F6">
        <w:rPr>
          <w:b/>
          <w:i w:val="0"/>
          <w:color w:val="auto"/>
          <w:sz w:val="20"/>
          <w:szCs w:val="20"/>
        </w:rPr>
        <w:t>1.</w:t>
      </w:r>
      <w:r w:rsidR="00857D49" w:rsidRPr="006912F6">
        <w:rPr>
          <w:b/>
          <w:i w:val="0"/>
          <w:color w:val="auto"/>
          <w:sz w:val="20"/>
          <w:szCs w:val="20"/>
        </w:rPr>
        <w:t>6.</w:t>
      </w:r>
      <w:r w:rsidRPr="006912F6">
        <w:rPr>
          <w:b/>
          <w:i w:val="0"/>
          <w:color w:val="auto"/>
          <w:sz w:val="20"/>
          <w:szCs w:val="20"/>
        </w:rPr>
        <w:t xml:space="preserve"> </w:t>
      </w:r>
      <w:r w:rsidRPr="006912F6">
        <w:rPr>
          <w:rFonts w:cs="Times New Roman"/>
          <w:i w:val="0"/>
          <w:color w:val="auto"/>
          <w:sz w:val="20"/>
          <w:szCs w:val="20"/>
        </w:rPr>
        <w:t>The overall flood damages by peak water levels according to different defence conditions in Lymington</w:t>
      </w:r>
      <w:bookmarkEnd w:id="680"/>
      <w:bookmarkEnd w:id="681"/>
      <w:bookmarkEnd w:id="682"/>
      <w:r w:rsidRPr="006912F6">
        <w:rPr>
          <w:rFonts w:cs="Times New Roman"/>
          <w:i w:val="0"/>
          <w:color w:val="auto"/>
          <w:sz w:val="20"/>
          <w:szCs w:val="20"/>
        </w:rPr>
        <w:t xml:space="preserve">  </w:t>
      </w:r>
    </w:p>
    <w:p w14:paraId="1A7A7184" w14:textId="77777777" w:rsidR="00CD3196" w:rsidRPr="006912F6" w:rsidRDefault="00CD3196" w:rsidP="00CD3196">
      <w:pPr>
        <w:pStyle w:val="a4"/>
        <w:jc w:val="both"/>
        <w:rPr>
          <w:i w:val="0"/>
          <w:iCs w:val="0"/>
          <w:noProof/>
          <w:color w:val="auto"/>
          <w:sz w:val="20"/>
          <w:szCs w:val="20"/>
        </w:rPr>
      </w:pPr>
      <w:r w:rsidRPr="006912F6">
        <w:rPr>
          <w:i w:val="0"/>
          <w:iCs w:val="0"/>
          <w:noProof/>
          <w:color w:val="auto"/>
          <w:sz w:val="20"/>
          <w:szCs w:val="20"/>
        </w:rPr>
        <w:t xml:space="preserve"> </w:t>
      </w:r>
    </w:p>
    <w:p w14:paraId="666196F7" w14:textId="554E177E" w:rsidR="00CD3196" w:rsidRPr="006912F6" w:rsidRDefault="001612D9" w:rsidP="0045757A">
      <w:pPr>
        <w:jc w:val="both"/>
        <w:outlineLvl w:val="0"/>
        <w:rPr>
          <w:rFonts w:eastAsia="맑은 고딕" w:cs="Times New Roman"/>
          <w:b/>
          <w:sz w:val="20"/>
          <w:szCs w:val="20"/>
        </w:rPr>
      </w:pPr>
      <w:r w:rsidRPr="006912F6">
        <w:rPr>
          <w:rFonts w:eastAsia="맑은 고딕" w:cs="Times New Roman"/>
          <w:b/>
          <w:sz w:val="20"/>
          <w:szCs w:val="20"/>
        </w:rPr>
        <w:t xml:space="preserve">1.2.2 </w:t>
      </w:r>
      <w:r w:rsidR="00CD3196" w:rsidRPr="006912F6">
        <w:rPr>
          <w:rFonts w:eastAsia="맑은 고딕" w:cs="Times New Roman"/>
          <w:b/>
          <w:sz w:val="20"/>
          <w:szCs w:val="20"/>
        </w:rPr>
        <w:t>Flood risk and expected annual damages (EAD)</w:t>
      </w:r>
    </w:p>
    <w:p w14:paraId="48E95C8B" w14:textId="6D203E92" w:rsidR="00CD3196" w:rsidRPr="006912F6" w:rsidRDefault="00CD3196" w:rsidP="00CD3196">
      <w:pPr>
        <w:rPr>
          <w:rFonts w:cs="Times New Roman"/>
          <w:sz w:val="20"/>
          <w:szCs w:val="20"/>
        </w:rPr>
      </w:pPr>
      <w:r w:rsidRPr="006912F6">
        <w:rPr>
          <w:rFonts w:cs="Times New Roman"/>
          <w:sz w:val="20"/>
          <w:szCs w:val="20"/>
        </w:rPr>
        <w:t xml:space="preserve">Flood risk for any year is represented by expected annual damage (EAD) which is a statistical expectation of flood damage per a year in economic terms (Hall and Solomatine, 2008). This is estimated by integrating all the possible flood damages in respect to the corresponding probabilities. The probability distribution of flood damages, or benefits due to an adaptation measure, is assumed to coincide with the probability distribution of the corresponding flood loadings (i.e. ESWL+SLR+WAVE) </w:t>
      </w:r>
      <w:r w:rsidR="009E6467" w:rsidRPr="006912F6">
        <w:rPr>
          <w:rFonts w:cs="Times New Roman"/>
          <w:sz w:val="20"/>
          <w:szCs w:val="20"/>
        </w:rPr>
        <w:t>that are expected to cause the flood damages or benefits from the adaptation measure</w:t>
      </w:r>
      <w:r w:rsidRPr="006912F6">
        <w:rPr>
          <w:rFonts w:cs="Times New Roman"/>
          <w:sz w:val="20"/>
          <w:szCs w:val="20"/>
        </w:rPr>
        <w:t>. This enables us to estimate expected annual damages (EAD) and expected annual benefits (EAB) for different defence conditions during the period of sea-level rise.</w:t>
      </w:r>
    </w:p>
    <w:p w14:paraId="3B902008" w14:textId="793F0519" w:rsidR="00CD3196" w:rsidRPr="006912F6" w:rsidRDefault="00CD3196" w:rsidP="00CD3196">
      <w:pPr>
        <w:rPr>
          <w:rFonts w:cs="Times New Roman"/>
          <w:sz w:val="20"/>
          <w:szCs w:val="20"/>
        </w:rPr>
      </w:pPr>
      <w:r w:rsidRPr="006912F6">
        <w:rPr>
          <w:rFonts w:cs="Times New Roman"/>
          <w:sz w:val="20"/>
          <w:szCs w:val="20"/>
        </w:rPr>
        <w:t>The flood damages are represented with a function of peak water levels</w:t>
      </w:r>
      <w:r w:rsidR="009E6467" w:rsidRPr="006912F6">
        <w:rPr>
          <w:rFonts w:cs="Times New Roman"/>
          <w:sz w:val="20"/>
          <w:szCs w:val="20"/>
        </w:rPr>
        <w:t xml:space="preserve"> (ESWL+WAVE+SLR)</w:t>
      </w:r>
      <w:r w:rsidR="008D0637" w:rsidRPr="006912F6">
        <w:rPr>
          <w:rFonts w:cs="Times New Roman"/>
          <w:sz w:val="20"/>
          <w:szCs w:val="20"/>
        </w:rPr>
        <w:t xml:space="preserve">. To make iterative calculation possible, the relation between flood damages and peak-water levels is expressed in </w:t>
      </w:r>
      <w:r w:rsidR="009E6467" w:rsidRPr="006912F6">
        <w:rPr>
          <w:rFonts w:cs="Times New Roman"/>
          <w:sz w:val="20"/>
          <w:szCs w:val="20"/>
        </w:rPr>
        <w:t>the form of</w:t>
      </w:r>
      <w:r w:rsidRPr="006912F6">
        <w:rPr>
          <w:rFonts w:cs="Times New Roman"/>
          <w:sz w:val="20"/>
          <w:szCs w:val="20"/>
        </w:rPr>
        <w:t xml:space="preserve"> multiple linear</w:t>
      </w:r>
      <w:r w:rsidR="008D0637" w:rsidRPr="006912F6">
        <w:rPr>
          <w:rFonts w:cs="Times New Roman"/>
          <w:sz w:val="20"/>
          <w:szCs w:val="20"/>
        </w:rPr>
        <w:t xml:space="preserve"> function</w:t>
      </w:r>
      <w:r w:rsidRPr="006912F6">
        <w:rPr>
          <w:rFonts w:cs="Times New Roman"/>
          <w:sz w:val="20"/>
          <w:szCs w:val="20"/>
        </w:rPr>
        <w:t>s</w:t>
      </w:r>
      <w:r w:rsidR="008D0637" w:rsidRPr="006912F6">
        <w:rPr>
          <w:rFonts w:cs="Times New Roman"/>
          <w:sz w:val="20"/>
          <w:szCs w:val="20"/>
        </w:rPr>
        <w:t xml:space="preserve"> </w:t>
      </w:r>
      <w:r w:rsidRPr="006912F6">
        <w:rPr>
          <w:rFonts w:cs="Times New Roman"/>
          <w:sz w:val="20"/>
          <w:szCs w:val="20"/>
        </w:rPr>
        <w:t>(R</w:t>
      </w:r>
      <w:r w:rsidRPr="006912F6">
        <w:rPr>
          <w:rFonts w:cs="Times New Roman"/>
          <w:sz w:val="20"/>
          <w:szCs w:val="20"/>
          <w:vertAlign w:val="superscript"/>
        </w:rPr>
        <w:t>2</w:t>
      </w:r>
      <w:r w:rsidRPr="006912F6">
        <w:rPr>
          <w:rFonts w:cs="Times New Roman"/>
          <w:sz w:val="20"/>
          <w:szCs w:val="20"/>
        </w:rPr>
        <w:t xml:space="preserve"> = 0.99). Thus, the flood damage for each defence condition can be represented by a function of peak water levels (i.e. ESWL+SLR+ WAVE) as shown in equation (</w:t>
      </w:r>
      <w:r w:rsidR="001612D9" w:rsidRPr="006912F6">
        <w:rPr>
          <w:rFonts w:cs="Times New Roman"/>
          <w:sz w:val="20"/>
          <w:szCs w:val="20"/>
        </w:rPr>
        <w:t>1</w:t>
      </w:r>
      <w:r w:rsidRPr="006912F6">
        <w:rPr>
          <w:rFonts w:cs="Times New Roman"/>
          <w:sz w:val="20"/>
          <w:szCs w:val="20"/>
        </w:rPr>
        <w:t>).</w:t>
      </w:r>
    </w:p>
    <w:p w14:paraId="23299D16" w14:textId="77777777" w:rsidR="00CD3196" w:rsidRPr="006912F6" w:rsidRDefault="00CD3196" w:rsidP="00CD3196">
      <w:pPr>
        <w:jc w:val="both"/>
        <w:rPr>
          <w:rFonts w:cs="Times New Roman"/>
          <w:sz w:val="20"/>
          <w:szCs w:val="20"/>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7655"/>
        <w:gridCol w:w="657"/>
      </w:tblGrid>
      <w:tr w:rsidR="006912F6" w:rsidRPr="006912F6" w14:paraId="0FEB5B84" w14:textId="77777777" w:rsidTr="00EE181C">
        <w:tc>
          <w:tcPr>
            <w:tcW w:w="704" w:type="dxa"/>
            <w:vAlign w:val="center"/>
          </w:tcPr>
          <w:p w14:paraId="0E7C2817" w14:textId="77777777" w:rsidR="00CD3196" w:rsidRPr="006912F6" w:rsidRDefault="00CD3196" w:rsidP="00EE181C">
            <w:pPr>
              <w:pStyle w:val="ab"/>
              <w:spacing w:after="0"/>
              <w:jc w:val="center"/>
              <w:rPr>
                <w:sz w:val="20"/>
                <w:szCs w:val="20"/>
              </w:rPr>
            </w:pPr>
          </w:p>
        </w:tc>
        <w:tc>
          <w:tcPr>
            <w:tcW w:w="7655" w:type="dxa"/>
            <w:vAlign w:val="center"/>
          </w:tcPr>
          <w:p w14:paraId="4C1ABEB1" w14:textId="77777777" w:rsidR="00CD3196" w:rsidRPr="006912F6" w:rsidRDefault="003C7583" w:rsidP="00EE181C">
            <w:pPr>
              <w:pStyle w:val="ab"/>
              <w:spacing w:after="0"/>
              <w:jc w:val="center"/>
              <w:rPr>
                <w:sz w:val="20"/>
                <w:szCs w:val="20"/>
              </w:rPr>
            </w:pPr>
            <m:oMathPara>
              <m:oMath>
                <m:sSub>
                  <m:sSubPr>
                    <m:ctrlPr>
                      <w:rPr>
                        <w:rFonts w:ascii="Cambria Math" w:hAnsi="Cambria Math"/>
                        <w:i/>
                        <w:sz w:val="20"/>
                        <w:szCs w:val="20"/>
                      </w:rPr>
                    </m:ctrlPr>
                  </m:sSubPr>
                  <m:e>
                    <m:r>
                      <w:rPr>
                        <w:rFonts w:ascii="Cambria Math" w:hAnsi="Cambria Math" w:hint="eastAsia"/>
                        <w:sz w:val="20"/>
                        <w:szCs w:val="20"/>
                      </w:rPr>
                      <m:t>D</m:t>
                    </m:r>
                  </m:e>
                  <m:sub>
                    <m:r>
                      <w:rPr>
                        <w:rFonts w:ascii="Cambria Math" w:hAnsi="Cambria Math" w:hint="eastAsia"/>
                        <w:sz w:val="20"/>
                        <w:szCs w:val="20"/>
                      </w:rPr>
                      <m:t>d</m:t>
                    </m:r>
                  </m:sub>
                </m:sSub>
                <m:r>
                  <w:rPr>
                    <w:rFonts w:ascii="Cambria Math" w:hAnsi="Cambria Math" w:hint="eastAsia"/>
                    <w:sz w:val="20"/>
                    <w:szCs w:val="20"/>
                  </w:rPr>
                  <m:t xml:space="preserve"> = </m:t>
                </m:r>
                <m:sSub>
                  <m:sSubPr>
                    <m:ctrlPr>
                      <w:rPr>
                        <w:rFonts w:ascii="Cambria Math" w:hAnsi="Cambria Math"/>
                        <w:i/>
                        <w:sz w:val="20"/>
                        <w:szCs w:val="20"/>
                      </w:rPr>
                    </m:ctrlPr>
                  </m:sSubPr>
                  <m:e>
                    <m:r>
                      <w:rPr>
                        <w:rFonts w:ascii="Cambria Math" w:hAnsi="Cambria Math" w:hint="eastAsia"/>
                        <w:sz w:val="20"/>
                        <w:szCs w:val="20"/>
                      </w:rPr>
                      <m:t>f</m:t>
                    </m:r>
                  </m:e>
                  <m:sub>
                    <m:r>
                      <w:rPr>
                        <w:rFonts w:ascii="Cambria Math" w:hAnsi="Cambria Math" w:hint="eastAsia"/>
                        <w:sz w:val="20"/>
                        <w:szCs w:val="20"/>
                      </w:rPr>
                      <m:t>d</m:t>
                    </m:r>
                  </m:sub>
                </m:sSub>
                <m:r>
                  <w:rPr>
                    <w:rFonts w:ascii="Cambria Math" w:hAnsi="Cambria Math" w:hint="eastAsia"/>
                    <w:sz w:val="20"/>
                    <w:szCs w:val="20"/>
                  </w:rPr>
                  <m:t>(x)</m:t>
                </m:r>
              </m:oMath>
            </m:oMathPara>
          </w:p>
        </w:tc>
        <w:tc>
          <w:tcPr>
            <w:tcW w:w="657" w:type="dxa"/>
            <w:vAlign w:val="center"/>
          </w:tcPr>
          <w:p w14:paraId="391258F4" w14:textId="60D2B0EB" w:rsidR="00CD3196" w:rsidRPr="006912F6" w:rsidRDefault="00CD3196" w:rsidP="00EE181C">
            <w:pPr>
              <w:pStyle w:val="ab"/>
              <w:jc w:val="center"/>
              <w:rPr>
                <w:sz w:val="20"/>
                <w:szCs w:val="20"/>
              </w:rPr>
            </w:pPr>
            <w:r w:rsidRPr="006912F6">
              <w:rPr>
                <w:sz w:val="20"/>
                <w:szCs w:val="20"/>
              </w:rPr>
              <w:t>(</w:t>
            </w:r>
            <w:r w:rsidR="001612D9" w:rsidRPr="006912F6">
              <w:rPr>
                <w:sz w:val="20"/>
                <w:szCs w:val="20"/>
              </w:rPr>
              <w:t>1</w:t>
            </w:r>
            <w:r w:rsidRPr="006912F6">
              <w:rPr>
                <w:sz w:val="20"/>
                <w:szCs w:val="20"/>
              </w:rPr>
              <w:t>)</w:t>
            </w:r>
          </w:p>
        </w:tc>
      </w:tr>
    </w:tbl>
    <w:p w14:paraId="6E8A369D" w14:textId="0067720B" w:rsidR="00CD3196" w:rsidRPr="006912F6" w:rsidRDefault="00CD3196" w:rsidP="00CD3196">
      <w:pPr>
        <w:rPr>
          <w:rFonts w:cs="Times New Roman"/>
          <w:sz w:val="20"/>
          <w:szCs w:val="20"/>
        </w:rPr>
      </w:pPr>
      <w:r w:rsidRPr="006912F6">
        <w:rPr>
          <w:rFonts w:cs="Times New Roman"/>
          <w:sz w:val="20"/>
          <w:szCs w:val="20"/>
        </w:rPr>
        <w:lastRenderedPageBreak/>
        <w:t xml:space="preserve">Here, </w:t>
      </w:r>
      <m:oMath>
        <m:sSub>
          <m:sSubPr>
            <m:ctrlPr>
              <w:rPr>
                <w:rFonts w:ascii="Cambria Math" w:hAnsi="Cambria Math" w:cs="Times New Roman"/>
                <w:i/>
                <w:sz w:val="20"/>
                <w:szCs w:val="20"/>
              </w:rPr>
            </m:ctrlPr>
          </m:sSubPr>
          <m:e>
            <m:r>
              <w:rPr>
                <w:rFonts w:ascii="Cambria Math" w:hAnsi="Cambria Math" w:cs="Times New Roman" w:hint="eastAsia"/>
                <w:sz w:val="20"/>
                <w:szCs w:val="20"/>
              </w:rPr>
              <m:t>D</m:t>
            </m:r>
          </m:e>
          <m:sub>
            <m:r>
              <w:rPr>
                <w:rFonts w:ascii="Cambria Math" w:hAnsi="Cambria Math" w:cs="Times New Roman" w:hint="eastAsia"/>
                <w:sz w:val="20"/>
                <w:szCs w:val="20"/>
              </w:rPr>
              <m:t>d</m:t>
            </m:r>
          </m:sub>
        </m:sSub>
      </m:oMath>
      <w:r w:rsidRPr="006912F6">
        <w:rPr>
          <w:rFonts w:cs="Times New Roman"/>
          <w:sz w:val="20"/>
          <w:szCs w:val="20"/>
        </w:rPr>
        <w:t xml:space="preserve"> is a flood damage at a certain magnitude of peak water level under a given defence condition, subscribed by </w:t>
      </w:r>
      <w:r w:rsidRPr="006912F6">
        <w:rPr>
          <w:rFonts w:cs="Times New Roman"/>
          <w:i/>
          <w:sz w:val="20"/>
          <w:szCs w:val="20"/>
        </w:rPr>
        <w:t xml:space="preserve">d </w:t>
      </w:r>
      <w:r w:rsidRPr="006912F6">
        <w:rPr>
          <w:rFonts w:cs="Times New Roman"/>
          <w:sz w:val="20"/>
          <w:szCs w:val="20"/>
        </w:rPr>
        <w:t>(e.g. the current defence, 3.5m upgrade defence, etc.)</w:t>
      </w:r>
      <w:r w:rsidRPr="006912F6">
        <w:rPr>
          <w:rFonts w:cs="Times New Roman"/>
          <w:i/>
          <w:sz w:val="20"/>
          <w:szCs w:val="20"/>
        </w:rPr>
        <w:t xml:space="preserve">, </w:t>
      </w:r>
      <m:oMath>
        <m:sSub>
          <m:sSubPr>
            <m:ctrlPr>
              <w:rPr>
                <w:rFonts w:ascii="Cambria Math" w:hAnsi="Cambria Math" w:cs="Times New Roman"/>
                <w:i/>
                <w:sz w:val="20"/>
                <w:szCs w:val="20"/>
              </w:rPr>
            </m:ctrlPr>
          </m:sSubPr>
          <m:e>
            <m:r>
              <w:rPr>
                <w:rFonts w:ascii="Cambria Math" w:hAnsi="Cambria Math" w:cs="Times New Roman" w:hint="eastAsia"/>
                <w:sz w:val="20"/>
                <w:szCs w:val="20"/>
              </w:rPr>
              <m:t>f</m:t>
            </m:r>
          </m:e>
          <m:sub>
            <m:r>
              <w:rPr>
                <w:rFonts w:ascii="Cambria Math" w:hAnsi="Cambria Math" w:cs="Times New Roman" w:hint="eastAsia"/>
                <w:sz w:val="20"/>
                <w:szCs w:val="20"/>
              </w:rPr>
              <m:t>d</m:t>
            </m:r>
          </m:sub>
        </m:sSub>
      </m:oMath>
      <w:r w:rsidRPr="006912F6">
        <w:rPr>
          <w:rFonts w:cs="Times New Roman"/>
          <w:i/>
          <w:sz w:val="20"/>
          <w:szCs w:val="20"/>
        </w:rPr>
        <w:t xml:space="preserve"> </w:t>
      </w:r>
      <w:r w:rsidRPr="006912F6">
        <w:rPr>
          <w:rFonts w:cs="Times New Roman"/>
          <w:sz w:val="20"/>
          <w:szCs w:val="20"/>
        </w:rPr>
        <w:t xml:space="preserve">is any function defining a relation between peak water levels and flood damages, and </w:t>
      </w:r>
      <m:oMath>
        <m:r>
          <w:rPr>
            <w:rFonts w:ascii="Cambria Math" w:hAnsi="Cambria Math" w:cs="Times New Roman" w:hint="eastAsia"/>
            <w:sz w:val="20"/>
            <w:szCs w:val="20"/>
          </w:rPr>
          <m:t>x</m:t>
        </m:r>
      </m:oMath>
      <w:r w:rsidRPr="006912F6">
        <w:rPr>
          <w:rFonts w:cs="Times New Roman"/>
          <w:sz w:val="20"/>
          <w:szCs w:val="20"/>
        </w:rPr>
        <w:t xml:space="preserve"> is climatic variable of extreme still water level, sea-level rise and wave (i.e. ESWL+SLR+WAVE). As all the componential variables in climatic variable </w:t>
      </w:r>
      <w:r w:rsidRPr="006912F6">
        <w:rPr>
          <w:rFonts w:cs="Times New Roman"/>
          <w:i/>
          <w:sz w:val="20"/>
          <w:szCs w:val="20"/>
        </w:rPr>
        <w:t>x</w:t>
      </w:r>
      <w:r w:rsidRPr="006912F6">
        <w:rPr>
          <w:rFonts w:cs="Times New Roman"/>
          <w:sz w:val="20"/>
          <w:szCs w:val="20"/>
        </w:rPr>
        <w:t xml:space="preserve"> are random variables, the flood damages represented by equation (</w:t>
      </w:r>
      <w:r w:rsidR="001612D9" w:rsidRPr="006912F6">
        <w:rPr>
          <w:rFonts w:cs="Times New Roman"/>
          <w:sz w:val="20"/>
          <w:szCs w:val="20"/>
        </w:rPr>
        <w:t>1</w:t>
      </w:r>
      <w:r w:rsidRPr="006912F6">
        <w:rPr>
          <w:rFonts w:cs="Times New Roman"/>
          <w:sz w:val="20"/>
          <w:szCs w:val="20"/>
        </w:rPr>
        <w:t xml:space="preserve">) are also random variables. </w:t>
      </w:r>
    </w:p>
    <w:p w14:paraId="475E1D25" w14:textId="6191A64E" w:rsidR="00CD3196" w:rsidRPr="006912F6" w:rsidRDefault="00CD3196" w:rsidP="00CD3196">
      <w:pPr>
        <w:rPr>
          <w:rFonts w:cs="Times New Roman"/>
          <w:sz w:val="20"/>
          <w:szCs w:val="20"/>
        </w:rPr>
      </w:pPr>
      <w:r w:rsidRPr="006912F6">
        <w:rPr>
          <w:rFonts w:cs="Times New Roman"/>
          <w:sz w:val="20"/>
          <w:szCs w:val="20"/>
        </w:rPr>
        <w:t>The flood damage function (</w:t>
      </w:r>
      <m:oMath>
        <m:sSub>
          <m:sSubPr>
            <m:ctrlPr>
              <w:rPr>
                <w:rFonts w:ascii="Cambria Math" w:hAnsi="Cambria Math"/>
                <w:i/>
                <w:sz w:val="20"/>
                <w:szCs w:val="20"/>
              </w:rPr>
            </m:ctrlPr>
          </m:sSubPr>
          <m:e>
            <m:r>
              <w:rPr>
                <w:rFonts w:ascii="Cambria Math" w:hAnsi="Cambria Math" w:hint="eastAsia"/>
                <w:sz w:val="20"/>
                <w:szCs w:val="20"/>
              </w:rPr>
              <m:t>f</m:t>
            </m:r>
          </m:e>
          <m:sub>
            <m:r>
              <w:rPr>
                <w:rFonts w:ascii="Cambria Math" w:hAnsi="Cambria Math" w:hint="eastAsia"/>
                <w:sz w:val="20"/>
                <w:szCs w:val="20"/>
              </w:rPr>
              <m:t>d</m:t>
            </m:r>
          </m:sub>
        </m:sSub>
        <m:r>
          <w:rPr>
            <w:rFonts w:ascii="Cambria Math" w:hAnsi="Cambria Math" w:hint="eastAsia"/>
            <w:sz w:val="20"/>
            <w:szCs w:val="20"/>
          </w:rPr>
          <m:t>(x)</m:t>
        </m:r>
      </m:oMath>
      <w:r w:rsidRPr="006912F6">
        <w:rPr>
          <w:rFonts w:cs="Times New Roman"/>
          <w:sz w:val="20"/>
          <w:szCs w:val="20"/>
        </w:rPr>
        <w:t xml:space="preserve">) for each defence condition is used to convert the probability distribution of ESWL+SLR+ WAVE into the probability distribution of flood damages at any year. This Monte-Carlo simulation-based approach has been conducted for 2008 (the reference year of the probability of ESWL) and every 20 years from 2020 to 2100 in all the SLR scenarios. This paper has modelled changes in flood damages by MSLR, as shown in Figure </w:t>
      </w:r>
      <w:r w:rsidR="001612D9" w:rsidRPr="006912F6">
        <w:rPr>
          <w:rFonts w:cs="Times New Roman"/>
          <w:sz w:val="20"/>
          <w:szCs w:val="20"/>
        </w:rPr>
        <w:t>1.7</w:t>
      </w:r>
      <w:r w:rsidRPr="006912F6">
        <w:rPr>
          <w:rFonts w:cs="Times New Roman"/>
          <w:sz w:val="20"/>
          <w:szCs w:val="20"/>
        </w:rPr>
        <w:t xml:space="preserve">. </w:t>
      </w:r>
    </w:p>
    <w:p w14:paraId="0090F4E1" w14:textId="77777777" w:rsidR="00CD3196" w:rsidRPr="006912F6" w:rsidRDefault="00CD3196" w:rsidP="00CD3196">
      <w:pPr>
        <w:pStyle w:val="a7"/>
        <w:ind w:left="0"/>
        <w:jc w:val="center"/>
        <w:rPr>
          <w:rFonts w:cs="Times New Roman"/>
          <w:sz w:val="20"/>
          <w:szCs w:val="20"/>
        </w:rPr>
      </w:pPr>
      <w:r w:rsidRPr="006912F6">
        <w:rPr>
          <w:rFonts w:cs="Times New Roman"/>
          <w:noProof/>
          <w:sz w:val="20"/>
          <w:szCs w:val="20"/>
        </w:rPr>
        <w:drawing>
          <wp:inline distT="0" distB="0" distL="0" distR="0" wp14:anchorId="32E0D888" wp14:editId="76DF9E56">
            <wp:extent cx="4679302" cy="2847513"/>
            <wp:effectExtent l="0" t="0" r="0"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3">
                      <a:extLst>
                        <a:ext uri="{28A0092B-C50C-407E-A947-70E740481C1C}">
                          <a14:useLocalDpi xmlns:a14="http://schemas.microsoft.com/office/drawing/2010/main" val="0"/>
                        </a:ext>
                      </a:extLst>
                    </a:blip>
                    <a:srcRect t="36360" b="34100"/>
                    <a:stretch/>
                  </pic:blipFill>
                  <pic:spPr bwMode="auto">
                    <a:xfrm>
                      <a:off x="0" y="0"/>
                      <a:ext cx="4680000" cy="2847938"/>
                    </a:xfrm>
                    <a:prstGeom prst="rect">
                      <a:avLst/>
                    </a:prstGeom>
                    <a:noFill/>
                    <a:ln>
                      <a:noFill/>
                    </a:ln>
                    <a:extLst>
                      <a:ext uri="{53640926-AAD7-44D8-BBD7-CCE9431645EC}">
                        <a14:shadowObscured xmlns:a14="http://schemas.microsoft.com/office/drawing/2010/main"/>
                      </a:ext>
                    </a:extLst>
                  </pic:spPr>
                </pic:pic>
              </a:graphicData>
            </a:graphic>
          </wp:inline>
        </w:drawing>
      </w:r>
    </w:p>
    <w:p w14:paraId="7ABDC050" w14:textId="19A44B7F" w:rsidR="00CD3196" w:rsidRPr="006912F6" w:rsidRDefault="00CD3196" w:rsidP="00CD3196">
      <w:pPr>
        <w:jc w:val="both"/>
        <w:rPr>
          <w:rFonts w:cs="Times New Roman"/>
          <w:sz w:val="20"/>
          <w:szCs w:val="20"/>
        </w:rPr>
      </w:pPr>
      <w:bookmarkStart w:id="683" w:name="_Toc18071670"/>
      <w:bookmarkStart w:id="684" w:name="_Toc508685522"/>
      <w:r w:rsidRPr="006912F6">
        <w:rPr>
          <w:b/>
          <w:sz w:val="20"/>
          <w:szCs w:val="20"/>
        </w:rPr>
        <w:t xml:space="preserve">Figure </w:t>
      </w:r>
      <w:r w:rsidR="001612D9" w:rsidRPr="006912F6">
        <w:rPr>
          <w:b/>
          <w:sz w:val="20"/>
          <w:szCs w:val="20"/>
        </w:rPr>
        <w:t>1.</w:t>
      </w:r>
      <w:r w:rsidR="00857D49" w:rsidRPr="006912F6">
        <w:rPr>
          <w:b/>
          <w:sz w:val="20"/>
          <w:szCs w:val="20"/>
        </w:rPr>
        <w:t>7.</w:t>
      </w:r>
      <w:r w:rsidRPr="006912F6">
        <w:rPr>
          <w:sz w:val="20"/>
          <w:szCs w:val="20"/>
        </w:rPr>
        <w:t xml:space="preserve"> </w:t>
      </w:r>
      <w:r w:rsidRPr="006912F6">
        <w:rPr>
          <w:rFonts w:cs="Times New Roman"/>
          <w:sz w:val="20"/>
          <w:szCs w:val="20"/>
        </w:rPr>
        <w:t>Temporal changes in flood damages under the current flood defence in the High MSLR scenario</w:t>
      </w:r>
      <w:r w:rsidR="008D0637" w:rsidRPr="006912F6">
        <w:rPr>
          <w:rFonts w:cs="Times New Roman"/>
          <w:sz w:val="20"/>
          <w:szCs w:val="20"/>
        </w:rPr>
        <w:t xml:space="preserve"> </w:t>
      </w:r>
      <w:r w:rsidRPr="006912F6">
        <w:rPr>
          <w:rFonts w:cs="Times New Roman"/>
          <w:sz w:val="20"/>
          <w:szCs w:val="20"/>
        </w:rPr>
        <w:t>– Note that the time-series of flood damages are randomly generated annual maxima.</w:t>
      </w:r>
      <w:bookmarkEnd w:id="683"/>
      <w:r w:rsidRPr="006912F6">
        <w:rPr>
          <w:rFonts w:cs="Times New Roman"/>
          <w:sz w:val="20"/>
          <w:szCs w:val="20"/>
        </w:rPr>
        <w:t xml:space="preserve"> </w:t>
      </w:r>
    </w:p>
    <w:bookmarkEnd w:id="684"/>
    <w:p w14:paraId="5C87A42A" w14:textId="206EABDA" w:rsidR="00CD3196" w:rsidRPr="006912F6" w:rsidRDefault="00CD3196" w:rsidP="00CD3196">
      <w:pPr>
        <w:rPr>
          <w:rFonts w:cs="Times New Roman"/>
          <w:sz w:val="20"/>
          <w:szCs w:val="20"/>
        </w:rPr>
      </w:pPr>
      <w:r w:rsidRPr="006912F6">
        <w:rPr>
          <w:rFonts w:cs="Times New Roman"/>
          <w:sz w:val="20"/>
          <w:szCs w:val="20"/>
        </w:rPr>
        <w:t xml:space="preserve">The graph in Figure </w:t>
      </w:r>
      <w:r w:rsidR="001612D9" w:rsidRPr="006912F6">
        <w:rPr>
          <w:rFonts w:cs="Times New Roman"/>
          <w:sz w:val="20"/>
          <w:szCs w:val="20"/>
        </w:rPr>
        <w:t>1.7</w:t>
      </w:r>
      <w:r w:rsidRPr="006912F6">
        <w:rPr>
          <w:rFonts w:cs="Times New Roman"/>
          <w:sz w:val="20"/>
          <w:szCs w:val="20"/>
        </w:rPr>
        <w:t xml:space="preserve"> show</w:t>
      </w:r>
      <w:r w:rsidR="001612D9" w:rsidRPr="006912F6">
        <w:rPr>
          <w:rFonts w:cs="Times New Roman"/>
          <w:sz w:val="20"/>
          <w:szCs w:val="20"/>
        </w:rPr>
        <w:t>s</w:t>
      </w:r>
      <w:r w:rsidRPr="006912F6">
        <w:rPr>
          <w:rFonts w:cs="Times New Roman"/>
          <w:sz w:val="20"/>
          <w:szCs w:val="20"/>
        </w:rPr>
        <w:t xml:space="preserve"> the possible risk profiles of coastal flooding during sea-level rise by combining storm surge events, astronomical tides and sea-level rise. </w:t>
      </w:r>
      <w:r w:rsidR="0045757A" w:rsidRPr="006912F6">
        <w:rPr>
          <w:rFonts w:cs="Times New Roman"/>
          <w:sz w:val="20"/>
          <w:szCs w:val="20"/>
        </w:rPr>
        <w:t>It</w:t>
      </w:r>
      <w:r w:rsidRPr="006912F6">
        <w:rPr>
          <w:rFonts w:cs="Times New Roman"/>
          <w:sz w:val="20"/>
          <w:szCs w:val="20"/>
        </w:rPr>
        <w:t xml:space="preserve"> show</w:t>
      </w:r>
      <w:r w:rsidR="0045757A" w:rsidRPr="006912F6">
        <w:rPr>
          <w:rFonts w:cs="Times New Roman"/>
          <w:sz w:val="20"/>
          <w:szCs w:val="20"/>
        </w:rPr>
        <w:t>s</w:t>
      </w:r>
      <w:r w:rsidRPr="006912F6">
        <w:rPr>
          <w:rFonts w:cs="Times New Roman"/>
          <w:sz w:val="20"/>
          <w:szCs w:val="20"/>
        </w:rPr>
        <w:t xml:space="preserve"> temporal changes in the mean (red line) and probabilistic range (bounded by blue and black lines) of flood damages under the High SLR scenario. This representation of annual flood damages has important implications in addressing flood risk assessment issues. </w:t>
      </w:r>
    </w:p>
    <w:p w14:paraId="5AB1B6B3" w14:textId="4D5AB9FC" w:rsidR="00CD3196" w:rsidRPr="006912F6" w:rsidRDefault="00CD3196" w:rsidP="00CD3196">
      <w:pPr>
        <w:rPr>
          <w:rFonts w:cs="Times New Roman"/>
          <w:sz w:val="20"/>
          <w:szCs w:val="20"/>
        </w:rPr>
      </w:pPr>
      <w:r w:rsidRPr="006912F6">
        <w:rPr>
          <w:rFonts w:cs="Times New Roman"/>
          <w:sz w:val="20"/>
          <w:szCs w:val="20"/>
        </w:rPr>
        <w:t xml:space="preserve">Firstly, the random time-series of flood damages for the current coastal flood defence have been quantified based on the current projections of future sea-level rise and the extremity of coastal flooding (i.e. extreme still water level and wave). Thus, the annual flood risk (EAD) reflects all the stochastic properties of factors which have effects on flood damage at a given year. Secondly, the mean value of flood damage at a given year implies the most likely value of </w:t>
      </w:r>
      <w:r w:rsidRPr="006912F6">
        <w:rPr>
          <w:rFonts w:cs="Times New Roman"/>
          <w:sz w:val="20"/>
          <w:szCs w:val="20"/>
        </w:rPr>
        <w:lastRenderedPageBreak/>
        <w:t xml:space="preserve">flood damage at the year. Thus, the mean value of flood damage represents expected annual damage (EAD) in a given year. </w:t>
      </w:r>
    </w:p>
    <w:p w14:paraId="6EBAC9E4" w14:textId="77777777" w:rsidR="00CD3196" w:rsidRPr="006912F6" w:rsidRDefault="00CD3196" w:rsidP="00CD3196">
      <w:pPr>
        <w:jc w:val="both"/>
        <w:rPr>
          <w:rFonts w:cs="Times New Roman"/>
          <w:sz w:val="20"/>
          <w:szCs w:val="20"/>
        </w:rPr>
      </w:pPr>
    </w:p>
    <w:p w14:paraId="0EE01A01" w14:textId="11EBF559" w:rsidR="00CD3196" w:rsidRPr="006912F6" w:rsidRDefault="00CD3196" w:rsidP="001612D9">
      <w:pPr>
        <w:pStyle w:val="a7"/>
        <w:numPr>
          <w:ilvl w:val="1"/>
          <w:numId w:val="37"/>
        </w:numPr>
        <w:rPr>
          <w:rFonts w:cs="Times New Roman"/>
          <w:b/>
          <w:bCs/>
          <w:sz w:val="20"/>
          <w:szCs w:val="20"/>
        </w:rPr>
      </w:pPr>
      <w:r w:rsidRPr="006912F6">
        <w:rPr>
          <w:rFonts w:cs="Times New Roman"/>
          <w:b/>
          <w:bCs/>
          <w:sz w:val="20"/>
          <w:szCs w:val="20"/>
        </w:rPr>
        <w:t>Flood reduction and expected annual benefit (EAB)</w:t>
      </w:r>
    </w:p>
    <w:p w14:paraId="46525AAD" w14:textId="6D2ECF0A" w:rsidR="00CD3196" w:rsidRPr="006912F6" w:rsidRDefault="0045757A" w:rsidP="00CD3196">
      <w:pPr>
        <w:autoSpaceDE w:val="0"/>
        <w:autoSpaceDN w:val="0"/>
        <w:adjustRightInd w:val="0"/>
        <w:rPr>
          <w:rFonts w:cs="Times New Roman"/>
          <w:sz w:val="20"/>
          <w:szCs w:val="20"/>
        </w:rPr>
      </w:pPr>
      <w:r w:rsidRPr="006912F6">
        <w:rPr>
          <w:rFonts w:cs="Times New Roman"/>
          <w:sz w:val="20"/>
          <w:szCs w:val="20"/>
        </w:rPr>
        <w:t>A</w:t>
      </w:r>
      <w:r w:rsidR="00CD3196" w:rsidRPr="006912F6">
        <w:rPr>
          <w:rFonts w:cs="Times New Roman"/>
          <w:sz w:val="20"/>
          <w:szCs w:val="20"/>
        </w:rPr>
        <w:t xml:space="preserve"> selection of a pair of </w:t>
      </w:r>
      <w:r w:rsidR="008D0637" w:rsidRPr="006912F6">
        <w:rPr>
          <w:rFonts w:cs="Times New Roman"/>
          <w:sz w:val="20"/>
          <w:szCs w:val="20"/>
        </w:rPr>
        <w:t>impact</w:t>
      </w:r>
      <w:r w:rsidR="00CD3196" w:rsidRPr="006912F6">
        <w:rPr>
          <w:rFonts w:cs="Times New Roman"/>
          <w:sz w:val="20"/>
          <w:szCs w:val="20"/>
        </w:rPr>
        <w:t xml:space="preserve"> curves provides a unique relation as the performance of an adaptation measure</w:t>
      </w:r>
      <w:r w:rsidR="008D0637" w:rsidRPr="006912F6">
        <w:rPr>
          <w:rFonts w:cs="Times New Roman"/>
          <w:sz w:val="20"/>
          <w:szCs w:val="20"/>
        </w:rPr>
        <w:t xml:space="preserve"> taken</w:t>
      </w:r>
      <w:r w:rsidR="00CD3196" w:rsidRPr="006912F6">
        <w:rPr>
          <w:rFonts w:cs="Times New Roman"/>
          <w:sz w:val="20"/>
          <w:szCs w:val="20"/>
        </w:rPr>
        <w:t xml:space="preserve"> </w:t>
      </w:r>
      <w:r w:rsidR="008D0637" w:rsidRPr="006912F6">
        <w:rPr>
          <w:rFonts w:cs="Times New Roman"/>
          <w:sz w:val="20"/>
          <w:szCs w:val="20"/>
        </w:rPr>
        <w:t>for</w:t>
      </w:r>
      <w:r w:rsidR="00CD3196" w:rsidRPr="006912F6">
        <w:rPr>
          <w:rFonts w:cs="Times New Roman"/>
          <w:sz w:val="20"/>
          <w:szCs w:val="20"/>
        </w:rPr>
        <w:t xml:space="preserve"> a wide range of flood loadings as shown in Figure </w:t>
      </w:r>
      <w:r w:rsidR="001612D9" w:rsidRPr="006912F6">
        <w:rPr>
          <w:rFonts w:cs="Times New Roman"/>
          <w:sz w:val="20"/>
          <w:szCs w:val="20"/>
        </w:rPr>
        <w:t>1.8</w:t>
      </w:r>
      <w:r w:rsidRPr="006912F6">
        <w:rPr>
          <w:rFonts w:cs="Times New Roman"/>
          <w:sz w:val="20"/>
          <w:szCs w:val="20"/>
        </w:rPr>
        <w:t>.</w:t>
      </w:r>
    </w:p>
    <w:p w14:paraId="13C85A12" w14:textId="77777777" w:rsidR="0045757A" w:rsidRPr="006912F6" w:rsidRDefault="0045757A" w:rsidP="00CD3196">
      <w:pPr>
        <w:autoSpaceDE w:val="0"/>
        <w:autoSpaceDN w:val="0"/>
        <w:adjustRightInd w:val="0"/>
        <w:rPr>
          <w:sz w:val="20"/>
          <w:szCs w:val="20"/>
        </w:rPr>
      </w:pPr>
    </w:p>
    <w:p w14:paraId="606D6F2B" w14:textId="77777777" w:rsidR="00CD3196" w:rsidRPr="006912F6" w:rsidRDefault="00CD3196" w:rsidP="00CD3196">
      <w:pPr>
        <w:pStyle w:val="a7"/>
        <w:ind w:left="0"/>
        <w:jc w:val="center"/>
        <w:rPr>
          <w:rFonts w:cs="Times New Roman"/>
          <w:sz w:val="20"/>
          <w:szCs w:val="20"/>
        </w:rPr>
      </w:pPr>
      <w:r w:rsidRPr="006912F6" w:rsidDel="00B23720">
        <w:rPr>
          <w:noProof/>
          <w:sz w:val="20"/>
          <w:szCs w:val="20"/>
        </w:rPr>
        <w:t xml:space="preserve"> </w:t>
      </w:r>
      <w:r w:rsidRPr="006912F6">
        <w:rPr>
          <w:noProof/>
          <w:sz w:val="20"/>
          <w:szCs w:val="20"/>
        </w:rPr>
        <w:drawing>
          <wp:inline distT="0" distB="0" distL="0" distR="0" wp14:anchorId="05596B35" wp14:editId="54F505E5">
            <wp:extent cx="4853076" cy="3573031"/>
            <wp:effectExtent l="0" t="0" r="5080" b="0"/>
            <wp:docPr id="308" name="Pictur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b="2894"/>
                    <a:stretch/>
                  </pic:blipFill>
                  <pic:spPr bwMode="auto">
                    <a:xfrm>
                      <a:off x="0" y="0"/>
                      <a:ext cx="4868952" cy="3584720"/>
                    </a:xfrm>
                    <a:prstGeom prst="rect">
                      <a:avLst/>
                    </a:prstGeom>
                    <a:noFill/>
                    <a:ln>
                      <a:noFill/>
                    </a:ln>
                    <a:extLst>
                      <a:ext uri="{53640926-AAD7-44D8-BBD7-CCE9431645EC}">
                        <a14:shadowObscured xmlns:a14="http://schemas.microsoft.com/office/drawing/2010/main"/>
                      </a:ext>
                    </a:extLst>
                  </pic:spPr>
                </pic:pic>
              </a:graphicData>
            </a:graphic>
          </wp:inline>
        </w:drawing>
      </w:r>
    </w:p>
    <w:p w14:paraId="614EBA08" w14:textId="1A764330" w:rsidR="00CD3196" w:rsidRPr="006912F6" w:rsidRDefault="00CD3196" w:rsidP="0045757A">
      <w:pPr>
        <w:pStyle w:val="a4"/>
        <w:rPr>
          <w:rFonts w:cs="Times New Roman"/>
          <w:i w:val="0"/>
          <w:color w:val="auto"/>
          <w:sz w:val="20"/>
          <w:szCs w:val="20"/>
        </w:rPr>
      </w:pPr>
      <w:bookmarkStart w:id="685" w:name="_Toc18071671"/>
      <w:r w:rsidRPr="006912F6">
        <w:rPr>
          <w:b/>
          <w:i w:val="0"/>
          <w:color w:val="auto"/>
          <w:sz w:val="20"/>
          <w:szCs w:val="20"/>
        </w:rPr>
        <w:t xml:space="preserve">Figure </w:t>
      </w:r>
      <w:r w:rsidR="001612D9" w:rsidRPr="006912F6">
        <w:rPr>
          <w:b/>
          <w:i w:val="0"/>
          <w:color w:val="auto"/>
          <w:sz w:val="20"/>
          <w:szCs w:val="20"/>
        </w:rPr>
        <w:t>1.</w:t>
      </w:r>
      <w:r w:rsidR="00857D49" w:rsidRPr="006912F6">
        <w:rPr>
          <w:b/>
          <w:i w:val="0"/>
          <w:color w:val="auto"/>
          <w:sz w:val="20"/>
          <w:szCs w:val="20"/>
        </w:rPr>
        <w:t>8.</w:t>
      </w:r>
      <w:r w:rsidRPr="006912F6">
        <w:rPr>
          <w:i w:val="0"/>
          <w:color w:val="auto"/>
          <w:sz w:val="20"/>
          <w:szCs w:val="20"/>
        </w:rPr>
        <w:t xml:space="preserve"> </w:t>
      </w:r>
      <w:r w:rsidRPr="006912F6">
        <w:rPr>
          <w:rFonts w:cs="Times New Roman"/>
          <w:i w:val="0"/>
          <w:color w:val="auto"/>
          <w:sz w:val="20"/>
          <w:szCs w:val="20"/>
        </w:rPr>
        <w:t xml:space="preserve"> Monetised flood damages and reduction in the monetised flood </w:t>
      </w:r>
      <w:r w:rsidRPr="006912F6">
        <w:rPr>
          <w:rFonts w:cs="Times New Roman"/>
          <w:i w:val="0"/>
          <w:noProof/>
          <w:color w:val="auto"/>
          <w:sz w:val="20"/>
          <w:szCs w:val="20"/>
        </w:rPr>
        <w:t xml:space="preserve">damages </w:t>
      </w:r>
      <w:r w:rsidRPr="006912F6">
        <w:rPr>
          <w:rFonts w:cs="Times New Roman"/>
          <w:i w:val="0"/>
          <w:color w:val="auto"/>
          <w:sz w:val="20"/>
          <w:szCs w:val="20"/>
        </w:rPr>
        <w:t>(£ in 2016).</w:t>
      </w:r>
      <w:bookmarkEnd w:id="685"/>
    </w:p>
    <w:p w14:paraId="553EB872" w14:textId="77777777" w:rsidR="0045757A" w:rsidRPr="006912F6" w:rsidRDefault="0045757A" w:rsidP="0045757A"/>
    <w:p w14:paraId="2443B6F3" w14:textId="139B0AFD" w:rsidR="00CD3196" w:rsidRPr="006912F6" w:rsidRDefault="00CD3196" w:rsidP="00CD3196">
      <w:pPr>
        <w:rPr>
          <w:rFonts w:cs="Times New Roman"/>
          <w:sz w:val="20"/>
          <w:szCs w:val="20"/>
        </w:rPr>
      </w:pPr>
      <w:r w:rsidRPr="006912F6">
        <w:rPr>
          <w:rFonts w:eastAsia="맑은 고딕" w:cs="Times New Roman"/>
          <w:sz w:val="20"/>
          <w:szCs w:val="20"/>
        </w:rPr>
        <w:t xml:space="preserve">The benefit from the upgrade of the coastal defence at any year is also random variable dependant on the loading conditions of ESWL+SLR+WAVE. As seen in Figure </w:t>
      </w:r>
      <w:r w:rsidR="001612D9" w:rsidRPr="006912F6">
        <w:rPr>
          <w:rFonts w:eastAsia="맑은 고딕" w:cs="Times New Roman"/>
          <w:sz w:val="20"/>
          <w:szCs w:val="20"/>
        </w:rPr>
        <w:t>1.8</w:t>
      </w:r>
      <w:r w:rsidRPr="006912F6">
        <w:rPr>
          <w:rFonts w:eastAsia="맑은 고딕" w:cs="Times New Roman"/>
          <w:sz w:val="20"/>
          <w:szCs w:val="20"/>
        </w:rPr>
        <w:t xml:space="preserve">, the benefit from an adaptation option has discontinuity with climatic variable at extremely high water levels. In other words, the flood damage reduction effect declines beyond a certain water level. This is because of the capacity of the adaptation option. </w:t>
      </w:r>
      <w:r w:rsidRPr="006912F6">
        <w:rPr>
          <w:rFonts w:cs="Times New Roman"/>
          <w:sz w:val="20"/>
          <w:szCs w:val="20"/>
        </w:rPr>
        <w:t>In this regard, the estimation of expected annual benefits (EAB) also</w:t>
      </w:r>
      <w:r w:rsidR="008D0637" w:rsidRPr="006912F6">
        <w:rPr>
          <w:rFonts w:cs="Times New Roman"/>
          <w:sz w:val="20"/>
          <w:szCs w:val="20"/>
        </w:rPr>
        <w:t xml:space="preserve"> needs to</w:t>
      </w:r>
      <w:r w:rsidRPr="006912F6">
        <w:rPr>
          <w:rFonts w:cs="Times New Roman"/>
          <w:sz w:val="20"/>
          <w:szCs w:val="20"/>
        </w:rPr>
        <w:t xml:space="preserve"> adopt </w:t>
      </w:r>
      <w:r w:rsidR="008D0637" w:rsidRPr="006912F6">
        <w:rPr>
          <w:rFonts w:cs="Times New Roman"/>
          <w:sz w:val="20"/>
          <w:szCs w:val="20"/>
        </w:rPr>
        <w:t xml:space="preserve">a computerised approach (i.e. </w:t>
      </w:r>
      <w:r w:rsidRPr="006912F6">
        <w:rPr>
          <w:rFonts w:cs="Times New Roman"/>
          <w:sz w:val="20"/>
          <w:szCs w:val="20"/>
        </w:rPr>
        <w:t>a Monte-Carlo simulation</w:t>
      </w:r>
      <w:r w:rsidR="008D0637" w:rsidRPr="006912F6">
        <w:rPr>
          <w:rFonts w:cs="Times New Roman"/>
          <w:sz w:val="20"/>
          <w:szCs w:val="20"/>
        </w:rPr>
        <w:t>)</w:t>
      </w:r>
      <w:r w:rsidRPr="006912F6">
        <w:rPr>
          <w:rFonts w:cs="Times New Roman"/>
          <w:sz w:val="20"/>
          <w:szCs w:val="20"/>
        </w:rPr>
        <w:t xml:space="preserve"> to sample a large number of variables of ESWL+SLR+ WAVE from a predefined probability distribution at a given year into the benefit relation. This helps construct a new probability distribution of benefit values for a given intervention measure (i.e. the upgrade of coastal defence). The examples of change in EAB (i.e. mean) and its </w:t>
      </w:r>
      <w:r w:rsidRPr="006912F6">
        <w:rPr>
          <w:rFonts w:cs="Times New Roman"/>
          <w:sz w:val="20"/>
          <w:szCs w:val="20"/>
        </w:rPr>
        <w:lastRenderedPageBreak/>
        <w:t>probabilistic range (i.e. 5</w:t>
      </w:r>
      <w:r w:rsidRPr="006912F6">
        <w:rPr>
          <w:rFonts w:cs="Times New Roman"/>
          <w:sz w:val="20"/>
          <w:szCs w:val="20"/>
          <w:vertAlign w:val="superscript"/>
        </w:rPr>
        <w:t>th</w:t>
      </w:r>
      <w:r w:rsidRPr="006912F6">
        <w:rPr>
          <w:rFonts w:cs="Times New Roman"/>
          <w:sz w:val="20"/>
          <w:szCs w:val="20"/>
        </w:rPr>
        <w:t xml:space="preserve"> and 95</w:t>
      </w:r>
      <w:r w:rsidRPr="006912F6">
        <w:rPr>
          <w:rFonts w:cs="Times New Roman"/>
          <w:sz w:val="20"/>
          <w:szCs w:val="20"/>
          <w:vertAlign w:val="superscript"/>
        </w:rPr>
        <w:t>th</w:t>
      </w:r>
      <w:r w:rsidRPr="006912F6">
        <w:rPr>
          <w:rFonts w:cs="Times New Roman"/>
          <w:sz w:val="20"/>
          <w:szCs w:val="20"/>
        </w:rPr>
        <w:t xml:space="preserve"> percentiles) over time are shown for an adaptation measure (</w:t>
      </w:r>
      <m:oMath>
        <m:sSub>
          <m:sSubPr>
            <m:ctrlPr>
              <w:rPr>
                <w:rFonts w:ascii="Cambria Math" w:hAnsi="Cambria Math" w:cs="Times New Roman"/>
                <w:i/>
                <w:sz w:val="20"/>
                <w:szCs w:val="20"/>
              </w:rPr>
            </m:ctrlPr>
          </m:sSubPr>
          <m:e>
            <m:r>
              <w:rPr>
                <w:rFonts w:ascii="Cambria Math" w:hAnsi="Cambria Math" w:cs="Times New Roman"/>
                <w:sz w:val="20"/>
                <w:szCs w:val="20"/>
              </w:rPr>
              <m:t>U</m:t>
            </m:r>
          </m:e>
          <m:sub>
            <m:r>
              <w:rPr>
                <w:rFonts w:ascii="Cambria Math" w:hAnsi="Cambria Math" w:cs="Times New Roman"/>
                <w:sz w:val="20"/>
                <w:szCs w:val="20"/>
              </w:rPr>
              <m:t>c</m:t>
            </m:r>
            <m:r>
              <w:rPr>
                <w:rFonts w:ascii="Cambria Math" w:hAnsi="Cambria Math" w:cs="Times New Roman" w:hint="eastAsia"/>
                <w:sz w:val="20"/>
                <w:szCs w:val="20"/>
              </w:rPr>
              <m:t>→</m:t>
            </m:r>
            <m:r>
              <w:rPr>
                <w:rFonts w:ascii="Cambria Math" w:hAnsi="Cambria Math" w:cs="Times New Roman"/>
                <w:sz w:val="20"/>
                <w:szCs w:val="20"/>
              </w:rPr>
              <m:t>3.5m</m:t>
            </m:r>
          </m:sub>
        </m:sSub>
      </m:oMath>
      <w:r w:rsidRPr="006912F6">
        <w:rPr>
          <w:rFonts w:cs="Times New Roman"/>
          <w:sz w:val="20"/>
          <w:szCs w:val="20"/>
        </w:rPr>
        <w:t xml:space="preserve">) in the cases of High MSLR (Figure </w:t>
      </w:r>
      <w:r w:rsidR="001612D9" w:rsidRPr="006912F6">
        <w:rPr>
          <w:rFonts w:cs="Times New Roman"/>
          <w:sz w:val="20"/>
          <w:szCs w:val="20"/>
        </w:rPr>
        <w:t>1.9</w:t>
      </w:r>
      <w:r w:rsidRPr="006912F6">
        <w:rPr>
          <w:rFonts w:cs="Times New Roman"/>
          <w:sz w:val="20"/>
          <w:szCs w:val="20"/>
        </w:rPr>
        <w:t xml:space="preserve">). </w:t>
      </w:r>
    </w:p>
    <w:p w14:paraId="0977CE87" w14:textId="09F085F7" w:rsidR="00CD3196" w:rsidRPr="006912F6" w:rsidRDefault="00CD3196" w:rsidP="008D0637">
      <w:pPr>
        <w:jc w:val="center"/>
        <w:rPr>
          <w:rFonts w:eastAsia="맑은 고딕" w:cs="Times New Roman"/>
          <w:sz w:val="20"/>
          <w:szCs w:val="20"/>
        </w:rPr>
      </w:pPr>
      <w:r w:rsidRPr="006912F6">
        <w:rPr>
          <w:noProof/>
          <w:sz w:val="20"/>
          <w:szCs w:val="20"/>
        </w:rPr>
        <w:drawing>
          <wp:inline distT="0" distB="0" distL="0" distR="0" wp14:anchorId="1008F987" wp14:editId="435975E0">
            <wp:extent cx="4510800" cy="3147341"/>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10800" cy="3147341"/>
                    </a:xfrm>
                    <a:prstGeom prst="rect">
                      <a:avLst/>
                    </a:prstGeom>
                    <a:noFill/>
                    <a:ln>
                      <a:noFill/>
                    </a:ln>
                  </pic:spPr>
                </pic:pic>
              </a:graphicData>
            </a:graphic>
          </wp:inline>
        </w:drawing>
      </w:r>
    </w:p>
    <w:p w14:paraId="543ABED3" w14:textId="53A12B57" w:rsidR="00CD3196" w:rsidRPr="006912F6" w:rsidRDefault="00CD3196" w:rsidP="00CD3196">
      <w:pPr>
        <w:pStyle w:val="a4"/>
        <w:jc w:val="both"/>
        <w:rPr>
          <w:rFonts w:cs="Times New Roman"/>
          <w:i w:val="0"/>
          <w:iCs w:val="0"/>
          <w:noProof/>
          <w:color w:val="auto"/>
          <w:sz w:val="20"/>
          <w:szCs w:val="20"/>
        </w:rPr>
      </w:pPr>
      <w:bookmarkStart w:id="686" w:name="_Ref524267956"/>
      <w:bookmarkStart w:id="687" w:name="_Toc508685524"/>
      <w:bookmarkStart w:id="688" w:name="_Toc18071672"/>
      <w:r w:rsidRPr="006912F6">
        <w:rPr>
          <w:b/>
          <w:i w:val="0"/>
          <w:color w:val="auto"/>
          <w:sz w:val="20"/>
          <w:szCs w:val="20"/>
        </w:rPr>
        <w:t xml:space="preserve">Figure </w:t>
      </w:r>
      <w:bookmarkEnd w:id="686"/>
      <w:r w:rsidR="001612D9" w:rsidRPr="006912F6">
        <w:rPr>
          <w:b/>
          <w:i w:val="0"/>
          <w:color w:val="auto"/>
          <w:sz w:val="20"/>
          <w:szCs w:val="20"/>
        </w:rPr>
        <w:t>1.</w:t>
      </w:r>
      <w:r w:rsidR="00857D49" w:rsidRPr="006912F6">
        <w:rPr>
          <w:b/>
          <w:i w:val="0"/>
          <w:color w:val="auto"/>
          <w:sz w:val="20"/>
          <w:szCs w:val="20"/>
        </w:rPr>
        <w:t>9.</w:t>
      </w:r>
      <w:r w:rsidRPr="006912F6">
        <w:rPr>
          <w:i w:val="0"/>
          <w:color w:val="auto"/>
          <w:sz w:val="20"/>
          <w:szCs w:val="20"/>
        </w:rPr>
        <w:t xml:space="preserve"> </w:t>
      </w:r>
      <w:r w:rsidRPr="006912F6">
        <w:rPr>
          <w:rFonts w:cs="Times New Roman"/>
          <w:i w:val="0"/>
          <w:iCs w:val="0"/>
          <w:noProof/>
          <w:color w:val="auto"/>
          <w:sz w:val="20"/>
          <w:szCs w:val="20"/>
        </w:rPr>
        <w:t xml:space="preserve">Changes in benefit from the upgrade of coastal defence (the current level </w:t>
      </w:r>
      <w:r w:rsidRPr="006912F6">
        <w:rPr>
          <w:rFonts w:cs="Times New Roman"/>
          <w:i w:val="0"/>
          <w:iCs w:val="0"/>
          <w:noProof/>
          <w:color w:val="auto"/>
          <w:sz w:val="20"/>
          <w:szCs w:val="20"/>
        </w:rPr>
        <w:sym w:font="Wingdings 3" w:char="F022"/>
      </w:r>
      <w:r w:rsidRPr="006912F6">
        <w:rPr>
          <w:rFonts w:cs="Times New Roman"/>
          <w:i w:val="0"/>
          <w:iCs w:val="0"/>
          <w:noProof/>
          <w:color w:val="auto"/>
          <w:sz w:val="20"/>
          <w:szCs w:val="20"/>
        </w:rPr>
        <w:t xml:space="preserve"> 3.5 mAOD) and its probabilistic range under each MSLR scenario</w:t>
      </w:r>
      <w:bookmarkEnd w:id="687"/>
      <w:bookmarkEnd w:id="688"/>
    </w:p>
    <w:p w14:paraId="6CB77DD1" w14:textId="69C57AD1" w:rsidR="00CD3196" w:rsidRPr="006912F6" w:rsidRDefault="00CD3196" w:rsidP="00B92C4A">
      <w:pPr>
        <w:jc w:val="both"/>
        <w:rPr>
          <w:rFonts w:cs="Times New Roman"/>
          <w:sz w:val="20"/>
          <w:szCs w:val="20"/>
        </w:rPr>
      </w:pPr>
      <w:r w:rsidRPr="006912F6">
        <w:rPr>
          <w:rFonts w:cs="Times New Roman"/>
          <w:sz w:val="20"/>
          <w:szCs w:val="20"/>
        </w:rPr>
        <w:t xml:space="preserve">As sea level rises, the benefit from the upgrade of coastal defence increases. As the rising sea level increases the likelihood of flood damages in the floodplain, it leads to increase in the utility of the upgraded coastal defence. The mean values (red line) plotted in Figure </w:t>
      </w:r>
      <w:r w:rsidR="001612D9" w:rsidRPr="006912F6">
        <w:rPr>
          <w:rFonts w:cs="Times New Roman"/>
          <w:sz w:val="20"/>
          <w:szCs w:val="20"/>
        </w:rPr>
        <w:t>1.</w:t>
      </w:r>
      <w:r w:rsidRPr="006912F6">
        <w:rPr>
          <w:rFonts w:cs="Times New Roman"/>
          <w:sz w:val="20"/>
          <w:szCs w:val="20"/>
        </w:rPr>
        <w:t xml:space="preserve">9 describe the statistical expectation of benefit values (i.e. EAB) from the present perspective. As the future value is uncertain and random, EAB has to be estimated upon the statistical expectation towards the future. Likewise, a real option decision either to invest, or wait, at any year should be based on the statistical expectation of the benefit values in the future. If the investment decision is made with the expectation of a high impact, but low probability, event or past flood events which occurred at any year, the decision will always lead to immediate investment in an adaptation option at any occasion. </w:t>
      </w:r>
    </w:p>
    <w:p w14:paraId="199EB707" w14:textId="088B64C4" w:rsidR="005B3EBD" w:rsidRPr="006912F6" w:rsidRDefault="00CD3196" w:rsidP="00B92C4A">
      <w:pPr>
        <w:jc w:val="both"/>
        <w:rPr>
          <w:rFonts w:cs="Times New Roman"/>
          <w:sz w:val="20"/>
          <w:szCs w:val="20"/>
        </w:rPr>
      </w:pPr>
      <w:r w:rsidRPr="006912F6">
        <w:rPr>
          <w:rFonts w:cs="Times New Roman"/>
          <w:sz w:val="20"/>
          <w:szCs w:val="20"/>
        </w:rPr>
        <w:t xml:space="preserve">As shown in Figure </w:t>
      </w:r>
      <w:r w:rsidR="001612D9" w:rsidRPr="006912F6">
        <w:rPr>
          <w:rFonts w:cs="Times New Roman"/>
          <w:sz w:val="20"/>
          <w:szCs w:val="20"/>
        </w:rPr>
        <w:t>1.9</w:t>
      </w:r>
      <w:r w:rsidRPr="006912F6">
        <w:rPr>
          <w:rFonts w:cs="Times New Roman"/>
          <w:sz w:val="20"/>
          <w:szCs w:val="20"/>
        </w:rPr>
        <w:t>, the trajectories of the 5</w:t>
      </w:r>
      <w:r w:rsidRPr="006912F6">
        <w:rPr>
          <w:rFonts w:cs="Times New Roman"/>
          <w:sz w:val="20"/>
          <w:szCs w:val="20"/>
          <w:vertAlign w:val="superscript"/>
        </w:rPr>
        <w:t>th</w:t>
      </w:r>
      <w:r w:rsidRPr="006912F6">
        <w:rPr>
          <w:rFonts w:cs="Times New Roman"/>
          <w:sz w:val="20"/>
          <w:szCs w:val="20"/>
        </w:rPr>
        <w:t xml:space="preserve"> and 95</w:t>
      </w:r>
      <w:r w:rsidRPr="006912F6">
        <w:rPr>
          <w:rFonts w:cs="Times New Roman"/>
          <w:sz w:val="20"/>
          <w:szCs w:val="20"/>
          <w:vertAlign w:val="superscript"/>
        </w:rPr>
        <w:t>th</w:t>
      </w:r>
      <w:r w:rsidRPr="006912F6">
        <w:rPr>
          <w:rFonts w:cs="Times New Roman"/>
          <w:sz w:val="20"/>
          <w:szCs w:val="20"/>
        </w:rPr>
        <w:t xml:space="preserve"> percentiles allow us to visualise how random benefit values occur with a certain probability (i.e. 90%). This illustrates that, although the extreme events out of the 95</w:t>
      </w:r>
      <w:r w:rsidRPr="006912F6">
        <w:rPr>
          <w:rFonts w:cs="Times New Roman"/>
          <w:sz w:val="20"/>
          <w:szCs w:val="20"/>
          <w:vertAlign w:val="superscript"/>
        </w:rPr>
        <w:t>th</w:t>
      </w:r>
      <w:r w:rsidRPr="006912F6">
        <w:rPr>
          <w:rFonts w:cs="Times New Roman"/>
          <w:sz w:val="20"/>
          <w:szCs w:val="20"/>
        </w:rPr>
        <w:t xml:space="preserve"> percentile line are plausible in Lymington during the 21</w:t>
      </w:r>
      <w:r w:rsidRPr="006912F6">
        <w:rPr>
          <w:rFonts w:cs="Times New Roman"/>
          <w:sz w:val="20"/>
          <w:szCs w:val="20"/>
          <w:vertAlign w:val="superscript"/>
        </w:rPr>
        <w:t>st</w:t>
      </w:r>
      <w:r w:rsidRPr="006912F6">
        <w:rPr>
          <w:rFonts w:cs="Times New Roman"/>
          <w:sz w:val="20"/>
          <w:szCs w:val="20"/>
        </w:rPr>
        <w:t xml:space="preserve"> century, EAB </w:t>
      </w:r>
      <w:r w:rsidR="00814CF2" w:rsidRPr="006912F6">
        <w:rPr>
          <w:rFonts w:cs="Times New Roman"/>
          <w:sz w:val="20"/>
          <w:szCs w:val="20"/>
        </w:rPr>
        <w:t>after the introduction of</w:t>
      </w:r>
      <w:r w:rsidRPr="006912F6">
        <w:rPr>
          <w:rFonts w:cs="Times New Roman"/>
          <w:sz w:val="20"/>
          <w:szCs w:val="20"/>
        </w:rPr>
        <w:t xml:space="preserve"> </w:t>
      </w:r>
      <w:r w:rsidR="00814CF2" w:rsidRPr="006912F6">
        <w:rPr>
          <w:rFonts w:cs="Times New Roman"/>
          <w:sz w:val="20"/>
          <w:szCs w:val="20"/>
        </w:rPr>
        <w:t>an</w:t>
      </w:r>
      <w:r w:rsidRPr="006912F6">
        <w:rPr>
          <w:rFonts w:cs="Times New Roman"/>
          <w:sz w:val="20"/>
          <w:szCs w:val="20"/>
        </w:rPr>
        <w:t xml:space="preserve"> adaptation measure changes smoothly. This also implies that our statistical estimation of the expected values or expected flood damages that may occur in the future </w:t>
      </w:r>
      <w:r w:rsidR="00814CF2" w:rsidRPr="006912F6">
        <w:rPr>
          <w:rFonts w:cs="Times New Roman"/>
          <w:sz w:val="20"/>
          <w:szCs w:val="20"/>
        </w:rPr>
        <w:t xml:space="preserve">gradually </w:t>
      </w:r>
      <w:r w:rsidRPr="006912F6">
        <w:rPr>
          <w:rFonts w:cs="Times New Roman"/>
          <w:sz w:val="20"/>
          <w:szCs w:val="20"/>
        </w:rPr>
        <w:t xml:space="preserve">change under the non-stationarity of climatic variables, even if we observe a disastrous flood event that has a harmful effect on human environments. Thus, the estimation of EAB provides an economically rational basis upon which to assess real options and to make a real option decision. </w:t>
      </w:r>
      <w:bookmarkEnd w:id="0"/>
      <w:r w:rsidR="005B3EBD" w:rsidRPr="006912F6">
        <w:rPr>
          <w:rFonts w:cs="Times New Roman"/>
          <w:sz w:val="20"/>
          <w:szCs w:val="20"/>
        </w:rPr>
        <w:t xml:space="preserve">Note that EAB is the performance of the upgraded coastal defence versus the previous coastal defence against plausible coastal flooding. </w:t>
      </w:r>
    </w:p>
    <w:p w14:paraId="7E2E21BF" w14:textId="73107E4C" w:rsidR="00857D49" w:rsidRPr="006912F6" w:rsidRDefault="00857D49" w:rsidP="00857D49">
      <w:pPr>
        <w:jc w:val="both"/>
        <w:rPr>
          <w:rFonts w:cs="Times New Roman"/>
          <w:sz w:val="20"/>
          <w:szCs w:val="18"/>
        </w:rPr>
      </w:pPr>
      <w:r w:rsidRPr="006912F6">
        <w:rPr>
          <w:rFonts w:cs="Times New Roman"/>
          <w:sz w:val="20"/>
          <w:szCs w:val="18"/>
        </w:rPr>
        <w:lastRenderedPageBreak/>
        <w:t xml:space="preserve">The flood risk will be immediately reduced after the first-stage adaptation has been complemented. As long as the first-stage adaptation performs effectively against plausible coastal flooding, the expected flood damage or the number of flood events will decline. Thus, the second-stage adaptation is less useful from the current perspective. If mean sea level does not rise any longer, the second-stage adaptation will remain unimplemented. On contrary, if the sea level keeps rising around Lymington, the utility of the second-stage adaptation will increase. As shown in Figure </w:t>
      </w:r>
      <w:r w:rsidR="001612D9" w:rsidRPr="006912F6">
        <w:rPr>
          <w:rFonts w:cs="Times New Roman"/>
          <w:sz w:val="20"/>
          <w:szCs w:val="18"/>
        </w:rPr>
        <w:t>1.10</w:t>
      </w:r>
      <w:r w:rsidRPr="006912F6">
        <w:rPr>
          <w:rFonts w:cs="Times New Roman"/>
          <w:sz w:val="20"/>
          <w:szCs w:val="18"/>
        </w:rPr>
        <w:t xml:space="preserve">, the expected annual benefits of the second adaptation increase with different patterns according to the rates of sea-level rise. The levels of the upgraded coastal adaptation and the previous coastal adaptation determine the benefit curves as well. The EAB of a coastal adaptation at any year implies a statistical value that decision-makers expect to obtain if the coastal adaptation has been made at the year. Temporal changes in EAB for the second-stage coastal adaptations, are drawn by different SLR scenarios as below. </w:t>
      </w:r>
    </w:p>
    <w:p w14:paraId="4AD19446" w14:textId="77777777" w:rsidR="00857D49" w:rsidRPr="006912F6" w:rsidRDefault="00857D49" w:rsidP="00857D49">
      <w:pPr>
        <w:jc w:val="center"/>
        <w:rPr>
          <w:rFonts w:cs="Times New Roman"/>
        </w:rPr>
      </w:pPr>
      <w:r w:rsidRPr="006912F6">
        <w:rPr>
          <w:rFonts w:cs="Times New Roman"/>
          <w:noProof/>
        </w:rPr>
        <w:drawing>
          <wp:inline distT="0" distB="0" distL="0" distR="0" wp14:anchorId="44F97C0B" wp14:editId="32188505">
            <wp:extent cx="5852160" cy="4388873"/>
            <wp:effectExtent l="0" t="0" r="0" b="0"/>
            <wp:docPr id="310" name="Pictur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9692" t="4431" r="7557" b="9466"/>
                    <a:stretch/>
                  </pic:blipFill>
                  <pic:spPr bwMode="auto">
                    <a:xfrm>
                      <a:off x="0" y="0"/>
                      <a:ext cx="5860212" cy="4394912"/>
                    </a:xfrm>
                    <a:prstGeom prst="rect">
                      <a:avLst/>
                    </a:prstGeom>
                    <a:noFill/>
                    <a:ln>
                      <a:noFill/>
                    </a:ln>
                    <a:extLst>
                      <a:ext uri="{53640926-AAD7-44D8-BBD7-CCE9431645EC}">
                        <a14:shadowObscured xmlns:a14="http://schemas.microsoft.com/office/drawing/2010/main"/>
                      </a:ext>
                    </a:extLst>
                  </pic:spPr>
                </pic:pic>
              </a:graphicData>
            </a:graphic>
          </wp:inline>
        </w:drawing>
      </w:r>
    </w:p>
    <w:p w14:paraId="65320CE1" w14:textId="16D5B7C8" w:rsidR="00857D49" w:rsidRPr="006912F6" w:rsidRDefault="00857D49" w:rsidP="00857D49">
      <w:pPr>
        <w:jc w:val="both"/>
        <w:rPr>
          <w:rFonts w:cs="Times New Roman"/>
          <w:sz w:val="20"/>
          <w:szCs w:val="18"/>
        </w:rPr>
      </w:pPr>
      <w:bookmarkStart w:id="689" w:name="_Toc525419524"/>
      <w:r w:rsidRPr="006912F6">
        <w:rPr>
          <w:rFonts w:cs="Times New Roman"/>
          <w:b/>
          <w:bCs/>
          <w:sz w:val="20"/>
          <w:szCs w:val="18"/>
        </w:rPr>
        <w:t xml:space="preserve">Figure </w:t>
      </w:r>
      <w:r w:rsidR="001612D9" w:rsidRPr="006912F6">
        <w:rPr>
          <w:rFonts w:cs="Times New Roman"/>
          <w:b/>
          <w:bCs/>
          <w:sz w:val="20"/>
          <w:szCs w:val="18"/>
        </w:rPr>
        <w:t>1.</w:t>
      </w:r>
      <w:r w:rsidRPr="006912F6">
        <w:rPr>
          <w:rFonts w:cs="Times New Roman"/>
          <w:b/>
          <w:bCs/>
          <w:sz w:val="20"/>
          <w:szCs w:val="18"/>
        </w:rPr>
        <w:t>10.</w:t>
      </w:r>
      <w:r w:rsidRPr="006912F6">
        <w:rPr>
          <w:rFonts w:cs="Times New Roman"/>
          <w:sz w:val="20"/>
          <w:szCs w:val="18"/>
        </w:rPr>
        <w:t xml:space="preserve"> Changes in EAB over time for each of the adaptation measures under each sea-level rise scenario for Lymington.</w:t>
      </w:r>
      <w:bookmarkEnd w:id="689"/>
    </w:p>
    <w:p w14:paraId="4C251092" w14:textId="77777777" w:rsidR="00857D49" w:rsidRPr="006912F6" w:rsidRDefault="00857D49" w:rsidP="00857D49">
      <w:pPr>
        <w:jc w:val="both"/>
        <w:rPr>
          <w:rFonts w:cs="Times New Roman"/>
          <w:sz w:val="20"/>
          <w:szCs w:val="18"/>
        </w:rPr>
      </w:pPr>
    </w:p>
    <w:p w14:paraId="125A5B75" w14:textId="221E729E" w:rsidR="0037226C" w:rsidRPr="006912F6" w:rsidRDefault="0037226C">
      <w:pPr>
        <w:spacing w:before="0" w:after="160" w:line="259" w:lineRule="auto"/>
        <w:rPr>
          <w:rFonts w:cs="Times New Roman"/>
          <w:sz w:val="20"/>
          <w:szCs w:val="20"/>
        </w:rPr>
      </w:pPr>
      <w:r w:rsidRPr="006912F6">
        <w:rPr>
          <w:rFonts w:cs="Times New Roman"/>
          <w:sz w:val="20"/>
          <w:szCs w:val="20"/>
        </w:rPr>
        <w:br w:type="page"/>
      </w:r>
    </w:p>
    <w:p w14:paraId="051FCF26" w14:textId="3CBC8CAD" w:rsidR="00857D49" w:rsidRPr="006912F6" w:rsidRDefault="0037226C" w:rsidP="00B92C4A">
      <w:pPr>
        <w:jc w:val="both"/>
        <w:rPr>
          <w:rFonts w:cs="Times New Roman"/>
          <w:b/>
          <w:bCs/>
          <w:sz w:val="20"/>
          <w:szCs w:val="20"/>
        </w:rPr>
      </w:pPr>
      <w:r w:rsidRPr="006912F6">
        <w:rPr>
          <w:rFonts w:cs="Times New Roman"/>
          <w:b/>
          <w:bCs/>
          <w:sz w:val="20"/>
          <w:szCs w:val="20"/>
        </w:rPr>
        <w:lastRenderedPageBreak/>
        <w:t xml:space="preserve">References </w:t>
      </w:r>
    </w:p>
    <w:p w14:paraId="1023F5D4" w14:textId="77777777" w:rsidR="0037226C" w:rsidRPr="006912F6" w:rsidRDefault="0037226C" w:rsidP="0037226C">
      <w:pPr>
        <w:pStyle w:val="EndNoteBibliography"/>
        <w:ind w:left="720" w:hanging="720"/>
        <w:rPr>
          <w:rFonts w:ascii="Times New Roman" w:hAnsi="Times New Roman" w:cs="Times New Roman"/>
          <w:sz w:val="20"/>
          <w:szCs w:val="20"/>
        </w:rPr>
      </w:pPr>
      <w:bookmarkStart w:id="690" w:name="_ENREF_53"/>
      <w:bookmarkStart w:id="691" w:name="_ENREF_41"/>
      <w:r w:rsidRPr="006912F6">
        <w:rPr>
          <w:rFonts w:ascii="Times New Roman" w:hAnsi="Times New Roman" w:cs="Times New Roman"/>
          <w:sz w:val="20"/>
          <w:szCs w:val="20"/>
        </w:rPr>
        <w:t>EA. 2010. Flood and Coastal Erosion Risk Management appraisal guidance: FCERM-AG. Published by Environmental Agency. Available: https://assets.publishing.service.gov.uk/government/uploads/system/uploads/attachment_data/file/481768/LIT_4909.pdf [Accessed June 1, 2016].</w:t>
      </w:r>
      <w:bookmarkEnd w:id="691"/>
    </w:p>
    <w:p w14:paraId="4E9A8BB3" w14:textId="77777777" w:rsidR="0037226C" w:rsidRPr="006912F6" w:rsidRDefault="0037226C" w:rsidP="0037226C">
      <w:pPr>
        <w:pStyle w:val="EndNoteBibliography"/>
        <w:ind w:left="720" w:hanging="720"/>
        <w:rPr>
          <w:rFonts w:ascii="Times New Roman" w:hAnsi="Times New Roman" w:cs="Times New Roman"/>
          <w:sz w:val="20"/>
          <w:szCs w:val="20"/>
        </w:rPr>
      </w:pPr>
      <w:r w:rsidRPr="006912F6">
        <w:rPr>
          <w:rFonts w:ascii="Times New Roman" w:hAnsi="Times New Roman" w:cs="Times New Roman"/>
          <w:sz w:val="20"/>
          <w:szCs w:val="20"/>
        </w:rPr>
        <w:t xml:space="preserve">GROSSI, P. and KUNREUTHER, H. 2005. </w:t>
      </w:r>
      <w:r w:rsidRPr="006912F6">
        <w:rPr>
          <w:rFonts w:ascii="Times New Roman" w:hAnsi="Times New Roman" w:cs="Times New Roman"/>
          <w:i/>
          <w:sz w:val="20"/>
          <w:szCs w:val="20"/>
        </w:rPr>
        <w:t>Catastrophe modeling: a new approach to managing risk</w:t>
      </w:r>
      <w:r w:rsidRPr="006912F6">
        <w:rPr>
          <w:rFonts w:ascii="Times New Roman" w:hAnsi="Times New Roman" w:cs="Times New Roman"/>
          <w:sz w:val="20"/>
          <w:szCs w:val="20"/>
        </w:rPr>
        <w:t>, Springer Science &amp; Business Media.</w:t>
      </w:r>
      <w:bookmarkEnd w:id="690"/>
    </w:p>
    <w:p w14:paraId="19EE2906" w14:textId="77777777" w:rsidR="0037226C" w:rsidRPr="006912F6" w:rsidRDefault="0037226C" w:rsidP="0037226C">
      <w:pPr>
        <w:pStyle w:val="EndNoteBibliography"/>
        <w:ind w:left="720" w:hanging="720"/>
        <w:rPr>
          <w:rFonts w:ascii="Times New Roman" w:hAnsi="Times New Roman" w:cs="Times New Roman"/>
          <w:sz w:val="20"/>
          <w:szCs w:val="20"/>
        </w:rPr>
      </w:pPr>
      <w:bookmarkStart w:id="692" w:name="_ENREF_63"/>
      <w:bookmarkStart w:id="693" w:name="_ENREF_8"/>
      <w:r w:rsidRPr="006912F6">
        <w:rPr>
          <w:rFonts w:ascii="Times New Roman" w:hAnsi="Times New Roman" w:cs="Times New Roman"/>
          <w:sz w:val="20"/>
          <w:szCs w:val="20"/>
        </w:rPr>
        <w:t>HAIGH, I., NICHOLLS, R. and WELLS, N. 2009. Mean sea level trends around the English Channel over the 20th century and their wider context. Continental Shelf Research, 29, 2083-2098.</w:t>
      </w:r>
      <w:bookmarkEnd w:id="693"/>
    </w:p>
    <w:p w14:paraId="60A87A3C" w14:textId="77777777" w:rsidR="0037226C" w:rsidRPr="006912F6" w:rsidRDefault="0037226C" w:rsidP="0037226C">
      <w:pPr>
        <w:pStyle w:val="EndNoteBibliography"/>
        <w:ind w:left="720" w:hanging="720"/>
        <w:rPr>
          <w:rFonts w:ascii="Times New Roman" w:hAnsi="Times New Roman" w:cs="Times New Roman"/>
          <w:sz w:val="20"/>
          <w:szCs w:val="20"/>
        </w:rPr>
      </w:pPr>
      <w:r w:rsidRPr="006912F6">
        <w:rPr>
          <w:rFonts w:ascii="Times New Roman" w:hAnsi="Times New Roman" w:cs="Times New Roman"/>
          <w:sz w:val="20"/>
          <w:szCs w:val="20"/>
        </w:rPr>
        <w:t xml:space="preserve">HALL, J. and SOLOMATINE, D. 2008. A framework for uncertainty analysis in flood risk management decisions. </w:t>
      </w:r>
      <w:r w:rsidRPr="006912F6">
        <w:rPr>
          <w:rFonts w:ascii="Times New Roman" w:hAnsi="Times New Roman" w:cs="Times New Roman"/>
          <w:i/>
          <w:sz w:val="20"/>
          <w:szCs w:val="20"/>
        </w:rPr>
        <w:t>International Journal of River Basin Management,</w:t>
      </w:r>
      <w:r w:rsidRPr="006912F6">
        <w:rPr>
          <w:rFonts w:ascii="Times New Roman" w:hAnsi="Times New Roman" w:cs="Times New Roman"/>
          <w:sz w:val="20"/>
          <w:szCs w:val="20"/>
        </w:rPr>
        <w:t xml:space="preserve"> 6</w:t>
      </w:r>
      <w:r w:rsidRPr="006912F6">
        <w:rPr>
          <w:rFonts w:ascii="Times New Roman" w:hAnsi="Times New Roman" w:cs="Times New Roman"/>
          <w:b/>
          <w:sz w:val="20"/>
          <w:szCs w:val="20"/>
        </w:rPr>
        <w:t>,</w:t>
      </w:r>
      <w:r w:rsidRPr="006912F6">
        <w:rPr>
          <w:rFonts w:ascii="Times New Roman" w:hAnsi="Times New Roman" w:cs="Times New Roman"/>
          <w:sz w:val="20"/>
          <w:szCs w:val="20"/>
        </w:rPr>
        <w:t xml:space="preserve"> 85-98.</w:t>
      </w:r>
      <w:bookmarkEnd w:id="692"/>
    </w:p>
    <w:p w14:paraId="3A662C55" w14:textId="77777777" w:rsidR="0037226C" w:rsidRPr="006912F6" w:rsidRDefault="0037226C" w:rsidP="0037226C">
      <w:pPr>
        <w:pStyle w:val="EndNoteBibliography"/>
        <w:ind w:left="720" w:hanging="720"/>
        <w:rPr>
          <w:rFonts w:ascii="Times New Roman" w:hAnsi="Times New Roman" w:cs="Times New Roman"/>
          <w:sz w:val="20"/>
          <w:szCs w:val="20"/>
        </w:rPr>
      </w:pPr>
      <w:bookmarkStart w:id="694" w:name="_ENREF_13"/>
      <w:r w:rsidRPr="006912F6">
        <w:rPr>
          <w:rFonts w:ascii="Times New Roman" w:hAnsi="Times New Roman" w:cs="Times New Roman"/>
          <w:sz w:val="20"/>
          <w:szCs w:val="20"/>
        </w:rPr>
        <w:t>KIM, M.-J., NICHOLLS, R. J., PRESTON, J. M. and DE ALMEIDA, G. A. M. 2018. An assessment of the optimum timing of coastal flood adaptation given sea-level rise using real options analysis. Journal of Flood Risk Management, 0, e12494.</w:t>
      </w:r>
      <w:bookmarkEnd w:id="694"/>
    </w:p>
    <w:p w14:paraId="7CBF9F3A" w14:textId="77777777" w:rsidR="0037226C" w:rsidRPr="006912F6" w:rsidRDefault="0037226C" w:rsidP="0037226C">
      <w:pPr>
        <w:pStyle w:val="EndNoteBibliography"/>
        <w:ind w:left="720" w:hanging="720"/>
        <w:rPr>
          <w:rFonts w:ascii="Times New Roman" w:hAnsi="Times New Roman" w:cs="Times New Roman"/>
          <w:sz w:val="20"/>
          <w:szCs w:val="20"/>
        </w:rPr>
      </w:pPr>
      <w:bookmarkStart w:id="695" w:name="_ENREF_103"/>
      <w:bookmarkStart w:id="696" w:name="_ENREF_97"/>
      <w:r w:rsidRPr="006912F6">
        <w:rPr>
          <w:rFonts w:ascii="Times New Roman" w:hAnsi="Times New Roman" w:cs="Times New Roman"/>
          <w:sz w:val="20"/>
          <w:szCs w:val="20"/>
        </w:rPr>
        <w:t xml:space="preserve">LOWE, J., HOWARD, T., PARDAENS, A., TINKER, J., HOLT, J., WAKELIN, S., MILNE, G., LEAKE, J., WOLF, J. and HORSBURGH, K. 2009. UK Climate Projections science report: Marine and coastal projections. Published by Met Office Hadely Centre. Available: </w:t>
      </w:r>
      <w:hyperlink r:id="rId17" w:history="1">
        <w:r w:rsidRPr="006912F6">
          <w:rPr>
            <w:rStyle w:val="a8"/>
            <w:rFonts w:ascii="Times New Roman" w:hAnsi="Times New Roman" w:cs="Times New Roman"/>
            <w:color w:val="auto"/>
            <w:sz w:val="20"/>
            <w:szCs w:val="20"/>
            <w:u w:val="none"/>
          </w:rPr>
          <w:t>http://ukclimateprojections.metoffice.gov.uk/media.jsp?mediaid=87906&amp;filetype=pdf</w:t>
        </w:r>
      </w:hyperlink>
      <w:r w:rsidRPr="006912F6">
        <w:rPr>
          <w:rFonts w:ascii="Times New Roman" w:hAnsi="Times New Roman" w:cs="Times New Roman"/>
          <w:sz w:val="20"/>
          <w:szCs w:val="20"/>
        </w:rPr>
        <w:t xml:space="preserve"> [Accessed July 1, 2017].</w:t>
      </w:r>
      <w:bookmarkEnd w:id="696"/>
    </w:p>
    <w:p w14:paraId="5E4C78EB" w14:textId="77777777" w:rsidR="0037226C" w:rsidRPr="006912F6" w:rsidRDefault="0037226C" w:rsidP="0037226C">
      <w:pPr>
        <w:pStyle w:val="EndNoteBibliography"/>
        <w:ind w:left="720" w:hanging="720"/>
        <w:rPr>
          <w:rFonts w:ascii="Times New Roman" w:hAnsi="Times New Roman" w:cs="Times New Roman"/>
          <w:sz w:val="20"/>
          <w:szCs w:val="20"/>
        </w:rPr>
      </w:pPr>
      <w:r w:rsidRPr="006912F6">
        <w:rPr>
          <w:rFonts w:ascii="Times New Roman" w:hAnsi="Times New Roman" w:cs="Times New Roman"/>
          <w:sz w:val="20"/>
          <w:szCs w:val="20"/>
        </w:rPr>
        <w:t>MCMILLAN, A., BATSTONE, C., WORTH, D., TAWN, J., HORSBURGH, K. and LAWLESS, M. 2011. Coastal flood boundary conditions for UK mainland and islands. Project SC060064/TR2: Design sea levels.</w:t>
      </w:r>
      <w:bookmarkEnd w:id="695"/>
    </w:p>
    <w:p w14:paraId="36C7AB29" w14:textId="77777777" w:rsidR="0037226C" w:rsidRPr="006912F6" w:rsidRDefault="0037226C" w:rsidP="0037226C">
      <w:pPr>
        <w:pStyle w:val="EndNoteBibliography"/>
        <w:ind w:left="720" w:hanging="720"/>
        <w:rPr>
          <w:rFonts w:ascii="Times New Roman" w:hAnsi="Times New Roman" w:cs="Times New Roman"/>
          <w:sz w:val="20"/>
          <w:szCs w:val="20"/>
        </w:rPr>
      </w:pPr>
      <w:bookmarkStart w:id="697" w:name="_ENREF_17"/>
      <w:r w:rsidRPr="006912F6">
        <w:rPr>
          <w:rFonts w:ascii="Times New Roman" w:hAnsi="Times New Roman" w:cs="Times New Roman"/>
          <w:sz w:val="20"/>
          <w:szCs w:val="20"/>
        </w:rPr>
        <w:t>NICHOLLS, R. J., HANSON, S. E., LOWE, J. A., WARRICK, R. A., LU, X. and LONG, A. J. 2014. Sea‐level scenarios for evaluating coastal impacts. Wiley Interdisciplinary Reviews: Climate Change, 5, 129-150.</w:t>
      </w:r>
      <w:bookmarkEnd w:id="697"/>
    </w:p>
    <w:p w14:paraId="24FE0AEE" w14:textId="77777777" w:rsidR="0037226C" w:rsidRPr="006912F6" w:rsidRDefault="0037226C" w:rsidP="0037226C">
      <w:pPr>
        <w:pStyle w:val="EndNoteBibliography"/>
        <w:ind w:left="720" w:hanging="720"/>
        <w:rPr>
          <w:rFonts w:ascii="Times New Roman" w:hAnsi="Times New Roman" w:cs="Times New Roman"/>
          <w:sz w:val="20"/>
          <w:szCs w:val="20"/>
        </w:rPr>
      </w:pPr>
      <w:bookmarkStart w:id="698" w:name="_ENREF_132"/>
      <w:r w:rsidRPr="006912F6">
        <w:rPr>
          <w:rFonts w:ascii="Times New Roman" w:hAnsi="Times New Roman" w:cs="Times New Roman"/>
          <w:sz w:val="20"/>
          <w:szCs w:val="20"/>
        </w:rPr>
        <w:t>PENNING-ROWSELL, E., JOHNSON, C., TUNSTALL, S., TAPSELL, S., MORRIS, J., CHATTERTON, J. and GREEN, C. 2010. The benefits of flood and coastal risk management: a handbook of assessment techniques, Middlesex University Press</w:t>
      </w:r>
      <w:bookmarkEnd w:id="698"/>
    </w:p>
    <w:p w14:paraId="40F6076E" w14:textId="77777777" w:rsidR="0037226C" w:rsidRPr="006912F6" w:rsidRDefault="0037226C" w:rsidP="0037226C">
      <w:pPr>
        <w:pStyle w:val="EndNoteBibliography"/>
        <w:ind w:left="720" w:hanging="720"/>
        <w:rPr>
          <w:rFonts w:ascii="Times New Roman" w:hAnsi="Times New Roman" w:cs="Times New Roman"/>
          <w:sz w:val="20"/>
          <w:szCs w:val="20"/>
        </w:rPr>
      </w:pPr>
      <w:bookmarkStart w:id="699" w:name="_ENREF_133"/>
      <w:r w:rsidRPr="006912F6">
        <w:rPr>
          <w:rFonts w:ascii="Times New Roman" w:hAnsi="Times New Roman" w:cs="Times New Roman"/>
          <w:sz w:val="20"/>
          <w:szCs w:val="20"/>
        </w:rPr>
        <w:t xml:space="preserve">PENNING-ROWSELL, E., PRIEST, S., PARKER, D., MORRIS, J., TUNSTALL, S., VIAVATTENE, C., CHATTERTON, J. and OWEN, D. 2014. </w:t>
      </w:r>
      <w:r w:rsidRPr="006912F6">
        <w:rPr>
          <w:rFonts w:ascii="Times New Roman" w:hAnsi="Times New Roman" w:cs="Times New Roman"/>
          <w:i/>
          <w:sz w:val="20"/>
          <w:szCs w:val="20"/>
        </w:rPr>
        <w:t xml:space="preserve">Flood and coastal erosion risk management: a manual for economic appraisal, </w:t>
      </w:r>
      <w:r w:rsidRPr="006912F6">
        <w:rPr>
          <w:rFonts w:ascii="Times New Roman" w:hAnsi="Times New Roman" w:cs="Times New Roman"/>
          <w:sz w:val="20"/>
          <w:szCs w:val="20"/>
        </w:rPr>
        <w:t>London, Routledge.</w:t>
      </w:r>
      <w:bookmarkEnd w:id="699"/>
    </w:p>
    <w:p w14:paraId="3987DEED" w14:textId="77777777" w:rsidR="0037226C" w:rsidRPr="006912F6" w:rsidRDefault="0037226C" w:rsidP="0037226C">
      <w:r w:rsidRPr="006912F6">
        <w:br w:type="page"/>
      </w:r>
    </w:p>
    <w:p w14:paraId="1B07189E" w14:textId="1DF75DF5" w:rsidR="00CD3196" w:rsidRPr="006912F6" w:rsidRDefault="00CD3196" w:rsidP="00CD3196">
      <w:pPr>
        <w:pStyle w:val="a4"/>
        <w:spacing w:line="480" w:lineRule="auto"/>
        <w:jc w:val="both"/>
        <w:rPr>
          <w:b/>
          <w:bCs/>
          <w:i w:val="0"/>
          <w:iCs w:val="0"/>
          <w:color w:val="auto"/>
          <w:sz w:val="20"/>
          <w:szCs w:val="14"/>
        </w:rPr>
      </w:pPr>
      <w:bookmarkStart w:id="700" w:name="_Ref519540537"/>
      <w:bookmarkStart w:id="701" w:name="_Toc18331757"/>
      <w:r w:rsidRPr="006912F6">
        <w:rPr>
          <w:b/>
          <w:bCs/>
          <w:i w:val="0"/>
          <w:iCs w:val="0"/>
          <w:color w:val="auto"/>
          <w:sz w:val="20"/>
          <w:szCs w:val="14"/>
        </w:rPr>
        <w:lastRenderedPageBreak/>
        <w:t xml:space="preserve">Supplement </w:t>
      </w:r>
      <w:r w:rsidR="00B0357E" w:rsidRPr="006912F6">
        <w:rPr>
          <w:b/>
          <w:bCs/>
          <w:i w:val="0"/>
          <w:iCs w:val="0"/>
          <w:color w:val="auto"/>
          <w:sz w:val="20"/>
          <w:szCs w:val="14"/>
        </w:rPr>
        <w:t>2</w:t>
      </w:r>
      <w:r w:rsidRPr="006912F6">
        <w:rPr>
          <w:b/>
          <w:bCs/>
          <w:i w:val="0"/>
          <w:iCs w:val="0"/>
          <w:color w:val="auto"/>
          <w:sz w:val="20"/>
          <w:szCs w:val="14"/>
        </w:rPr>
        <w:t xml:space="preserve">. Investment costs for multiple-stage adaptation </w:t>
      </w:r>
    </w:p>
    <w:p w14:paraId="3A553979" w14:textId="10383A1E" w:rsidR="00B92C4A" w:rsidRPr="006912F6" w:rsidRDefault="00D71D48" w:rsidP="00B92C4A">
      <w:pPr>
        <w:rPr>
          <w:rFonts w:cs="Times New Roman"/>
          <w:sz w:val="20"/>
          <w:szCs w:val="18"/>
        </w:rPr>
      </w:pPr>
      <w:r w:rsidRPr="006912F6">
        <w:rPr>
          <w:rFonts w:cs="Times New Roman"/>
          <w:sz w:val="20"/>
          <w:szCs w:val="18"/>
        </w:rPr>
        <w:t>As</w:t>
      </w:r>
      <w:r w:rsidR="00B92C4A" w:rsidRPr="006912F6">
        <w:rPr>
          <w:rFonts w:cs="Times New Roman"/>
          <w:sz w:val="20"/>
          <w:szCs w:val="18"/>
        </w:rPr>
        <w:t xml:space="preserve"> this analysis evaluates a set of adaptation measures within each adaptation pathway, the investment cost for the upgrade of the coastal defence should be defined for option evaluations under each sea-level rise scenario. As aforementioned, dividing one single option into two parts of sequential </w:t>
      </w:r>
      <w:r w:rsidRPr="006912F6">
        <w:rPr>
          <w:rFonts w:cs="Times New Roman"/>
          <w:sz w:val="20"/>
          <w:szCs w:val="18"/>
        </w:rPr>
        <w:t>adaptation</w:t>
      </w:r>
      <w:r w:rsidR="00B92C4A" w:rsidRPr="006912F6">
        <w:rPr>
          <w:rFonts w:cs="Times New Roman"/>
          <w:sz w:val="20"/>
          <w:szCs w:val="18"/>
        </w:rPr>
        <w:t xml:space="preserve">s needs additional costs in order to maintain flexibility in the </w:t>
      </w:r>
      <w:r w:rsidRPr="006912F6">
        <w:rPr>
          <w:rFonts w:cs="Times New Roman"/>
          <w:sz w:val="20"/>
          <w:szCs w:val="18"/>
        </w:rPr>
        <w:t xml:space="preserve">sequential </w:t>
      </w:r>
      <w:r w:rsidR="00B92C4A" w:rsidRPr="006912F6">
        <w:rPr>
          <w:rFonts w:cs="Times New Roman"/>
          <w:sz w:val="20"/>
          <w:szCs w:val="18"/>
        </w:rPr>
        <w:t>adaptation</w:t>
      </w:r>
      <w:r w:rsidRPr="006912F6">
        <w:rPr>
          <w:rFonts w:cs="Times New Roman"/>
          <w:sz w:val="20"/>
          <w:szCs w:val="18"/>
        </w:rPr>
        <w:t>s</w:t>
      </w:r>
      <w:r w:rsidR="00B92C4A" w:rsidRPr="006912F6">
        <w:rPr>
          <w:rFonts w:cs="Times New Roman"/>
          <w:sz w:val="20"/>
          <w:szCs w:val="18"/>
        </w:rPr>
        <w:t>. Thus, the increase</w:t>
      </w:r>
      <w:r w:rsidRPr="006912F6">
        <w:rPr>
          <w:rFonts w:cs="Times New Roman"/>
          <w:sz w:val="20"/>
          <w:szCs w:val="18"/>
        </w:rPr>
        <w:t>s</w:t>
      </w:r>
      <w:r w:rsidR="00B92C4A" w:rsidRPr="006912F6">
        <w:rPr>
          <w:rFonts w:cs="Times New Roman"/>
          <w:sz w:val="20"/>
          <w:szCs w:val="18"/>
        </w:rPr>
        <w:t xml:space="preserve"> in cost due to the incorporation of flexibility in engineering or physical options need to be considered as variables that affect investment decisions in the real options analysis of future growth options. This </w:t>
      </w:r>
      <w:r w:rsidRPr="006912F6">
        <w:rPr>
          <w:rFonts w:cs="Times New Roman"/>
          <w:sz w:val="20"/>
          <w:szCs w:val="18"/>
        </w:rPr>
        <w:t>analysis</w:t>
      </w:r>
      <w:r w:rsidR="00B92C4A" w:rsidRPr="006912F6">
        <w:rPr>
          <w:rFonts w:cs="Times New Roman"/>
          <w:sz w:val="20"/>
          <w:szCs w:val="18"/>
        </w:rPr>
        <w:t xml:space="preserve"> assumes that the overall cost of sequential investments is higher than the cost of the equivalent single investment </w:t>
      </w:r>
      <w:r w:rsidRPr="006912F6">
        <w:rPr>
          <w:rFonts w:cs="Times New Roman"/>
          <w:sz w:val="20"/>
          <w:szCs w:val="18"/>
        </w:rPr>
        <w:t xml:space="preserve">that would be </w:t>
      </w:r>
      <w:r w:rsidR="00B92C4A" w:rsidRPr="006912F6">
        <w:rPr>
          <w:rFonts w:cs="Times New Roman"/>
          <w:sz w:val="20"/>
          <w:szCs w:val="18"/>
        </w:rPr>
        <w:t>made at once. If any additional expenditure does not occur to maintain flexibility, option holders or options analysts must choose multiple</w:t>
      </w:r>
      <w:r w:rsidRPr="006912F6">
        <w:rPr>
          <w:rFonts w:cs="Times New Roman"/>
          <w:sz w:val="20"/>
          <w:szCs w:val="18"/>
        </w:rPr>
        <w:t>-</w:t>
      </w:r>
      <w:r w:rsidR="00B92C4A" w:rsidRPr="006912F6">
        <w:rPr>
          <w:rFonts w:cs="Times New Roman"/>
          <w:sz w:val="20"/>
          <w:szCs w:val="18"/>
        </w:rPr>
        <w:t xml:space="preserve">stage </w:t>
      </w:r>
      <w:r w:rsidRPr="006912F6">
        <w:rPr>
          <w:rFonts w:cs="Times New Roman"/>
          <w:sz w:val="20"/>
          <w:szCs w:val="18"/>
        </w:rPr>
        <w:t>adaptation</w:t>
      </w:r>
      <w:r w:rsidR="00B92C4A" w:rsidRPr="006912F6">
        <w:rPr>
          <w:rFonts w:cs="Times New Roman"/>
          <w:sz w:val="20"/>
          <w:szCs w:val="18"/>
        </w:rPr>
        <w:t xml:space="preserve">s to address uncertainty in investment decisions. </w:t>
      </w:r>
      <w:r w:rsidRPr="006912F6">
        <w:rPr>
          <w:rFonts w:cs="Times New Roman"/>
          <w:sz w:val="20"/>
          <w:szCs w:val="18"/>
        </w:rPr>
        <w:t xml:space="preserve">Such a decision will always give decision-makers flexibility at no price. </w:t>
      </w:r>
      <w:r w:rsidR="00B92C4A" w:rsidRPr="006912F6">
        <w:rPr>
          <w:rFonts w:cs="Times New Roman"/>
          <w:sz w:val="20"/>
          <w:szCs w:val="18"/>
        </w:rPr>
        <w:t xml:space="preserve">This is not realistic and possible in practice to the best of our knowledge. In climate change adaptation, these additional expenditures for flexibility are attributable to the increased amount of construction work, mobility or additional enabling costs (e.g. approval). Thus, the increase in the overall cost is defined as a premium to be paid for future extension or flexibility, which conceptually corresponds to a call or put option premium (Dixit and Pindyck, 1994; Park, 2002).             </w:t>
      </w:r>
    </w:p>
    <w:p w14:paraId="728AA481" w14:textId="28B79418" w:rsidR="00B92C4A" w:rsidRPr="006912F6" w:rsidRDefault="00B92C4A" w:rsidP="00B92C4A">
      <w:pPr>
        <w:rPr>
          <w:rFonts w:cs="Times New Roman"/>
          <w:sz w:val="20"/>
          <w:szCs w:val="18"/>
        </w:rPr>
      </w:pPr>
      <w:r w:rsidRPr="006912F6">
        <w:rPr>
          <w:rFonts w:cs="Times New Roman"/>
          <w:sz w:val="20"/>
          <w:szCs w:val="18"/>
        </w:rPr>
        <w:t xml:space="preserve">This </w:t>
      </w:r>
      <w:r w:rsidR="00D71D48" w:rsidRPr="006912F6">
        <w:rPr>
          <w:rFonts w:cs="Times New Roman"/>
          <w:sz w:val="20"/>
          <w:szCs w:val="18"/>
        </w:rPr>
        <w:t>research</w:t>
      </w:r>
      <w:r w:rsidRPr="006912F6">
        <w:rPr>
          <w:rFonts w:cs="Times New Roman"/>
          <w:sz w:val="20"/>
          <w:szCs w:val="18"/>
        </w:rPr>
        <w:t xml:space="preserve"> assumes 20%, 30%, 40% and 50% premium scenarios for the analysis of the option to grow by multiplying an original investment cost (</w:t>
      </w:r>
      <w:r w:rsidRPr="006912F6">
        <w:rPr>
          <w:rFonts w:cs="Times New Roman"/>
          <w:i/>
          <w:sz w:val="20"/>
          <w:szCs w:val="18"/>
        </w:rPr>
        <w:t>I</w:t>
      </w:r>
      <w:r w:rsidRPr="006912F6">
        <w:rPr>
          <w:rFonts w:cs="Times New Roman"/>
          <w:sz w:val="20"/>
          <w:szCs w:val="18"/>
        </w:rPr>
        <w:t xml:space="preserve">) by the premium rates. That is, when a single large investment is divided into two sequential investments, the division increases the investment cost of each stage as much as the premium </w:t>
      </w:r>
      <w:r w:rsidR="00D71D48" w:rsidRPr="006912F6">
        <w:rPr>
          <w:rFonts w:cs="Times New Roman"/>
          <w:sz w:val="20"/>
          <w:szCs w:val="18"/>
        </w:rPr>
        <w:t xml:space="preserve">cost </w:t>
      </w:r>
      <w:r w:rsidRPr="006912F6">
        <w:rPr>
          <w:rFonts w:cs="Times New Roman"/>
          <w:sz w:val="20"/>
          <w:szCs w:val="18"/>
        </w:rPr>
        <w:t xml:space="preserve">as expressed in equation (1).  </w:t>
      </w:r>
    </w:p>
    <w:p w14:paraId="4BD5E8FE" w14:textId="77777777" w:rsidR="00B92C4A" w:rsidRPr="006912F6" w:rsidRDefault="00B92C4A" w:rsidP="00B92C4A">
      <w:pPr>
        <w:jc w:val="both"/>
        <w:rPr>
          <w:rFonts w:cs="Times New Roman"/>
          <w:sz w:val="12"/>
        </w:rPr>
      </w:pPr>
      <w:r w:rsidRPr="006912F6">
        <w:rPr>
          <w:rFonts w:cs="Times New Roman"/>
        </w:rPr>
        <w:t xml:space="preserve">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7655"/>
        <w:gridCol w:w="657"/>
      </w:tblGrid>
      <w:tr w:rsidR="00B92C4A" w:rsidRPr="006912F6" w14:paraId="5D55359D" w14:textId="77777777" w:rsidTr="000C4BE5">
        <w:tc>
          <w:tcPr>
            <w:tcW w:w="704" w:type="dxa"/>
            <w:vAlign w:val="center"/>
          </w:tcPr>
          <w:p w14:paraId="68582320" w14:textId="77777777" w:rsidR="00B92C4A" w:rsidRPr="006912F6" w:rsidRDefault="00B92C4A" w:rsidP="000C4BE5">
            <w:pPr>
              <w:pStyle w:val="ab"/>
              <w:spacing w:before="0" w:beforeAutospacing="0" w:after="0" w:afterAutospacing="0"/>
              <w:jc w:val="center"/>
              <w:rPr>
                <w:sz w:val="20"/>
                <w:szCs w:val="20"/>
              </w:rPr>
            </w:pPr>
          </w:p>
        </w:tc>
        <w:tc>
          <w:tcPr>
            <w:tcW w:w="7655" w:type="dxa"/>
            <w:vAlign w:val="center"/>
          </w:tcPr>
          <w:p w14:paraId="18486E13" w14:textId="7123CB59" w:rsidR="00B92C4A" w:rsidRPr="006912F6" w:rsidRDefault="003C7583" w:rsidP="000C4BE5">
            <w:pPr>
              <w:pStyle w:val="ab"/>
              <w:spacing w:before="0" w:beforeAutospacing="0" w:after="0" w:afterAutospacing="0"/>
              <w:jc w:val="center"/>
              <w:rPr>
                <w:i/>
                <w:sz w:val="20"/>
                <w:szCs w:val="20"/>
              </w:rPr>
            </w:pPr>
            <m:oMathPara>
              <m:oMath>
                <m:sSub>
                  <m:sSubPr>
                    <m:ctrlPr>
                      <w:rPr>
                        <w:rFonts w:ascii="Cambria Math" w:hAnsi="Cambria Math"/>
                        <w:i/>
                        <w:sz w:val="20"/>
                        <w:szCs w:val="20"/>
                      </w:rPr>
                    </m:ctrlPr>
                  </m:sSubPr>
                  <m:e>
                    <m:r>
                      <w:rPr>
                        <w:rFonts w:ascii="Cambria Math" w:hAnsi="Cambria Math"/>
                        <w:sz w:val="20"/>
                        <w:szCs w:val="20"/>
                      </w:rPr>
                      <m:t>I</m:t>
                    </m:r>
                  </m:e>
                  <m:sub>
                    <m:r>
                      <w:rPr>
                        <w:rFonts w:ascii="Cambria Math" w:hAnsi="Cambria Math"/>
                        <w:sz w:val="20"/>
                        <w:szCs w:val="20"/>
                      </w:rPr>
                      <m:t>o</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I</m:t>
                    </m:r>
                  </m:e>
                  <m:sub>
                    <m:r>
                      <w:rPr>
                        <w:rFonts w:ascii="Cambria Math" w:hAnsi="Cambria Math"/>
                        <w:sz w:val="20"/>
                        <w:szCs w:val="20"/>
                      </w:rPr>
                      <m:t>f</m:t>
                    </m:r>
                  </m:sub>
                </m:sSub>
                <m:r>
                  <w:rPr>
                    <w:rFonts w:ascii="Cambria Math" w:hAnsi="Cambria Math"/>
                    <w:sz w:val="20"/>
                    <w:szCs w:val="20"/>
                  </w:rPr>
                  <m:t xml:space="preserve">= </m:t>
                </m:r>
                <m:sSub>
                  <m:sSubPr>
                    <m:ctrlPr>
                      <w:rPr>
                        <w:rFonts w:ascii="Cambria Math" w:hAnsi="Cambria Math"/>
                        <w:i/>
                        <w:sz w:val="20"/>
                        <w:szCs w:val="20"/>
                      </w:rPr>
                    </m:ctrlPr>
                  </m:sSubPr>
                  <m:e>
                    <m:r>
                      <w:rPr>
                        <w:rFonts w:ascii="Cambria Math" w:hAnsi="Cambria Math"/>
                        <w:sz w:val="20"/>
                        <w:szCs w:val="20"/>
                      </w:rPr>
                      <m:t>I</m:t>
                    </m:r>
                  </m:e>
                  <m:sub>
                    <m:r>
                      <w:rPr>
                        <w:rFonts w:ascii="Cambria Math" w:hAnsi="Cambria Math"/>
                        <w:sz w:val="20"/>
                        <w:szCs w:val="20"/>
                      </w:rPr>
                      <m:t>1,o</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I</m:t>
                    </m:r>
                  </m:e>
                  <m:sub>
                    <m:r>
                      <w:rPr>
                        <w:rFonts w:ascii="Cambria Math" w:hAnsi="Cambria Math"/>
                        <w:sz w:val="20"/>
                        <w:szCs w:val="20"/>
                      </w:rPr>
                      <m:t>2,o</m:t>
                    </m:r>
                  </m:sub>
                </m:sSub>
              </m:oMath>
            </m:oMathPara>
          </w:p>
        </w:tc>
        <w:tc>
          <w:tcPr>
            <w:tcW w:w="657" w:type="dxa"/>
            <w:vAlign w:val="center"/>
          </w:tcPr>
          <w:p w14:paraId="2DB39483" w14:textId="3E9A9129" w:rsidR="00B92C4A" w:rsidRPr="006912F6" w:rsidRDefault="00B92C4A" w:rsidP="000C4BE5">
            <w:pPr>
              <w:pStyle w:val="ab"/>
              <w:spacing w:before="0" w:beforeAutospacing="0" w:afterAutospacing="0"/>
              <w:jc w:val="center"/>
              <w:rPr>
                <w:sz w:val="20"/>
                <w:szCs w:val="20"/>
              </w:rPr>
            </w:pPr>
            <w:r w:rsidRPr="006912F6">
              <w:rPr>
                <w:sz w:val="20"/>
                <w:szCs w:val="20"/>
              </w:rPr>
              <w:t>(</w:t>
            </w:r>
            <w:r w:rsidRPr="006912F6">
              <w:rPr>
                <w:sz w:val="20"/>
                <w:szCs w:val="20"/>
              </w:rPr>
              <w:fldChar w:fldCharType="begin"/>
            </w:r>
            <w:r w:rsidRPr="006912F6">
              <w:rPr>
                <w:sz w:val="20"/>
                <w:szCs w:val="20"/>
              </w:rPr>
              <w:instrText xml:space="preserve"> SEQ Eqq \* MERGEFORMAT </w:instrText>
            </w:r>
            <w:r w:rsidRPr="006912F6">
              <w:rPr>
                <w:sz w:val="20"/>
                <w:szCs w:val="20"/>
              </w:rPr>
              <w:fldChar w:fldCharType="separate"/>
            </w:r>
            <w:r w:rsidR="006B580B" w:rsidRPr="006912F6">
              <w:rPr>
                <w:noProof/>
                <w:sz w:val="20"/>
                <w:szCs w:val="20"/>
              </w:rPr>
              <w:t>1</w:t>
            </w:r>
            <w:r w:rsidRPr="006912F6">
              <w:rPr>
                <w:sz w:val="20"/>
                <w:szCs w:val="20"/>
              </w:rPr>
              <w:fldChar w:fldCharType="end"/>
            </w:r>
            <w:r w:rsidRPr="006912F6">
              <w:rPr>
                <w:sz w:val="20"/>
                <w:szCs w:val="20"/>
              </w:rPr>
              <w:t>)</w:t>
            </w:r>
          </w:p>
        </w:tc>
      </w:tr>
    </w:tbl>
    <w:p w14:paraId="28F6A194" w14:textId="77777777" w:rsidR="00B92C4A" w:rsidRPr="006912F6" w:rsidRDefault="00B92C4A" w:rsidP="00B92C4A">
      <w:pPr>
        <w:jc w:val="both"/>
        <w:rPr>
          <w:rFonts w:cs="Times New Roman"/>
          <w:sz w:val="12"/>
        </w:rPr>
      </w:pPr>
    </w:p>
    <w:p w14:paraId="18A16091" w14:textId="08F3EBD7" w:rsidR="00B92C4A" w:rsidRPr="006912F6" w:rsidRDefault="00B92C4A" w:rsidP="00B92C4A">
      <w:pPr>
        <w:rPr>
          <w:rFonts w:cs="Times New Roman"/>
          <w:sz w:val="20"/>
          <w:szCs w:val="18"/>
        </w:rPr>
      </w:pPr>
      <w:r w:rsidRPr="006912F6">
        <w:rPr>
          <w:rFonts w:cs="Times New Roman"/>
          <w:sz w:val="20"/>
          <w:szCs w:val="18"/>
        </w:rPr>
        <w:t xml:space="preserve">Here, </w:t>
      </w:r>
      <m:oMath>
        <m:sSub>
          <m:sSubPr>
            <m:ctrlPr>
              <w:rPr>
                <w:rFonts w:ascii="Cambria Math" w:hAnsi="Cambria Math" w:cs="Times New Roman"/>
                <w:i/>
                <w:sz w:val="20"/>
                <w:szCs w:val="18"/>
              </w:rPr>
            </m:ctrlPr>
          </m:sSubPr>
          <m:e>
            <m:r>
              <w:rPr>
                <w:rFonts w:ascii="Cambria Math" w:hAnsi="Cambria Math" w:cs="Times New Roman"/>
                <w:sz w:val="20"/>
                <w:szCs w:val="18"/>
              </w:rPr>
              <m:t>I</m:t>
            </m:r>
          </m:e>
          <m:sub>
            <m:r>
              <w:rPr>
                <w:rFonts w:ascii="Cambria Math" w:hAnsi="Cambria Math" w:cs="Times New Roman"/>
                <w:sz w:val="20"/>
                <w:szCs w:val="18"/>
              </w:rPr>
              <m:t>o</m:t>
            </m:r>
          </m:sub>
        </m:sSub>
        <m:r>
          <m:rPr>
            <m:sty m:val="p"/>
          </m:rPr>
          <w:rPr>
            <w:rFonts w:ascii="Cambria Math" w:hAnsi="Cambria Math" w:cs="Times New Roman"/>
            <w:sz w:val="20"/>
            <w:szCs w:val="18"/>
          </w:rPr>
          <m:t xml:space="preserve"> </m:t>
        </m:r>
      </m:oMath>
      <w:r w:rsidRPr="006912F6">
        <w:rPr>
          <w:rFonts w:cs="Times New Roman"/>
          <w:sz w:val="20"/>
          <w:szCs w:val="18"/>
        </w:rPr>
        <w:t xml:space="preserve">is an investment cost for an original option, </w:t>
      </w:r>
      <m:oMath>
        <m:sSub>
          <m:sSubPr>
            <m:ctrlPr>
              <w:rPr>
                <w:rFonts w:ascii="Cambria Math" w:hAnsi="Cambria Math" w:cs="Times New Roman"/>
                <w:i/>
                <w:sz w:val="20"/>
                <w:szCs w:val="18"/>
              </w:rPr>
            </m:ctrlPr>
          </m:sSubPr>
          <m:e>
            <m:r>
              <w:rPr>
                <w:rFonts w:ascii="Cambria Math" w:hAnsi="Cambria Math" w:cs="Times New Roman"/>
                <w:sz w:val="20"/>
                <w:szCs w:val="18"/>
              </w:rPr>
              <m:t>I</m:t>
            </m:r>
          </m:e>
          <m:sub>
            <m:r>
              <w:rPr>
                <w:rFonts w:ascii="Cambria Math" w:hAnsi="Cambria Math" w:cs="Times New Roman"/>
                <w:sz w:val="20"/>
                <w:szCs w:val="18"/>
              </w:rPr>
              <m:t>f</m:t>
            </m:r>
          </m:sub>
        </m:sSub>
      </m:oMath>
      <w:r w:rsidRPr="006912F6">
        <w:rPr>
          <w:rFonts w:cs="Times New Roman"/>
          <w:sz w:val="20"/>
          <w:szCs w:val="18"/>
        </w:rPr>
        <w:t xml:space="preserve"> is an option premium to be paid for flexibility, and </w:t>
      </w:r>
      <m:oMath>
        <m:sSub>
          <m:sSubPr>
            <m:ctrlPr>
              <w:rPr>
                <w:rFonts w:ascii="Cambria Math" w:hAnsi="Cambria Math" w:cs="Times New Roman"/>
                <w:i/>
                <w:sz w:val="20"/>
                <w:szCs w:val="18"/>
              </w:rPr>
            </m:ctrlPr>
          </m:sSubPr>
          <m:e>
            <m:r>
              <w:rPr>
                <w:rFonts w:ascii="Cambria Math" w:hAnsi="Cambria Math" w:cs="Times New Roman"/>
                <w:sz w:val="20"/>
                <w:szCs w:val="18"/>
              </w:rPr>
              <m:t>I</m:t>
            </m:r>
          </m:e>
          <m:sub>
            <m:r>
              <w:rPr>
                <w:rFonts w:ascii="Cambria Math" w:hAnsi="Cambria Math" w:cs="Times New Roman"/>
                <w:sz w:val="20"/>
                <w:szCs w:val="18"/>
              </w:rPr>
              <m:t>1,o</m:t>
            </m:r>
          </m:sub>
        </m:sSub>
        <m:r>
          <w:rPr>
            <w:rFonts w:ascii="Cambria Math" w:hAnsi="Cambria Math" w:cs="Times New Roman"/>
            <w:sz w:val="20"/>
            <w:szCs w:val="18"/>
          </w:rPr>
          <m:t xml:space="preserve"> </m:t>
        </m:r>
      </m:oMath>
      <w:r w:rsidR="00667743" w:rsidRPr="006912F6">
        <w:rPr>
          <w:rFonts w:cs="Times New Roman"/>
          <w:sz w:val="20"/>
          <w:szCs w:val="18"/>
        </w:rPr>
        <w:t xml:space="preserve">and </w:t>
      </w:r>
      <m:oMath>
        <m:sSub>
          <m:sSubPr>
            <m:ctrlPr>
              <w:rPr>
                <w:rFonts w:ascii="Cambria Math" w:hAnsi="Cambria Math" w:cs="Times New Roman"/>
                <w:i/>
                <w:sz w:val="20"/>
                <w:szCs w:val="18"/>
              </w:rPr>
            </m:ctrlPr>
          </m:sSubPr>
          <m:e>
            <m:r>
              <w:rPr>
                <w:rFonts w:ascii="Cambria Math" w:hAnsi="Cambria Math" w:cs="Times New Roman"/>
                <w:sz w:val="20"/>
                <w:szCs w:val="18"/>
              </w:rPr>
              <m:t>I</m:t>
            </m:r>
          </m:e>
          <m:sub>
            <m:r>
              <w:rPr>
                <w:rFonts w:ascii="Cambria Math" w:hAnsi="Cambria Math" w:cs="Times New Roman"/>
                <w:sz w:val="20"/>
                <w:szCs w:val="18"/>
              </w:rPr>
              <m:t>2,o</m:t>
            </m:r>
          </m:sub>
        </m:sSub>
      </m:oMath>
      <w:r w:rsidR="00667743" w:rsidRPr="006912F6">
        <w:rPr>
          <w:rFonts w:cs="Times New Roman"/>
          <w:sz w:val="20"/>
          <w:szCs w:val="18"/>
        </w:rPr>
        <w:t xml:space="preserve"> </w:t>
      </w:r>
      <w:r w:rsidR="00D71D48" w:rsidRPr="006912F6">
        <w:rPr>
          <w:rFonts w:cs="Times New Roman"/>
          <w:sz w:val="20"/>
          <w:szCs w:val="18"/>
        </w:rPr>
        <w:t>are</w:t>
      </w:r>
      <w:r w:rsidRPr="006912F6">
        <w:rPr>
          <w:rFonts w:cs="Times New Roman"/>
          <w:sz w:val="20"/>
          <w:szCs w:val="18"/>
        </w:rPr>
        <w:t xml:space="preserve"> the first and second stage investment costs, respectively. </w:t>
      </w:r>
    </w:p>
    <w:p w14:paraId="02025E31" w14:textId="1BC2314E" w:rsidR="00B92C4A" w:rsidRPr="006912F6" w:rsidRDefault="00B92C4A" w:rsidP="00B92C4A">
      <w:pPr>
        <w:rPr>
          <w:rFonts w:cs="Times New Roman"/>
          <w:sz w:val="20"/>
          <w:szCs w:val="18"/>
        </w:rPr>
      </w:pPr>
      <w:r w:rsidRPr="006912F6">
        <w:rPr>
          <w:rFonts w:cs="Times New Roman"/>
          <w:sz w:val="20"/>
          <w:szCs w:val="18"/>
        </w:rPr>
        <w:t>The analysis of the costs during the project life involves the identification of all the relevant cash flows relating to the acquisition and use of assets for building coastal defences (EA, 2015). The key components of costs considered during the life of coastal defences are as follows: (1) procurements and design costs; (2) capital construction costs; (3) operation and maintenance costs; (4) monitoring costs; and (5) replacement and decommissioning costs (ibid). As the estimation of a capital cost for construction needs a site-specific information on defence types, environmental conditions (e.g. water levels and coast line), working conditions (e.g. accessibility to construction sites) and the availability of materials, it is difficult to provide an accurate estimate of coastal defence cost in the early stage of projects (EA, 2015). Environment Agency (EA) in the UK provides the indicative costs of coastal defence available for very early</w:t>
      </w:r>
      <w:r w:rsidR="00D71D48" w:rsidRPr="006912F6">
        <w:rPr>
          <w:rFonts w:cs="Times New Roman"/>
          <w:sz w:val="20"/>
          <w:szCs w:val="18"/>
        </w:rPr>
        <w:t>-</w:t>
      </w:r>
      <w:r w:rsidRPr="006912F6">
        <w:rPr>
          <w:rFonts w:cs="Times New Roman"/>
          <w:sz w:val="20"/>
          <w:szCs w:val="18"/>
        </w:rPr>
        <w:t xml:space="preserve">stage projects or natural level assessments as shown in Table </w:t>
      </w:r>
      <w:r w:rsidR="007671DA" w:rsidRPr="006912F6">
        <w:rPr>
          <w:rFonts w:cs="Times New Roman"/>
          <w:sz w:val="20"/>
          <w:szCs w:val="18"/>
        </w:rPr>
        <w:t>2</w:t>
      </w:r>
      <w:r w:rsidRPr="006912F6">
        <w:rPr>
          <w:rFonts w:cs="Times New Roman"/>
          <w:sz w:val="20"/>
          <w:szCs w:val="18"/>
        </w:rPr>
        <w:t>.1.</w:t>
      </w:r>
    </w:p>
    <w:p w14:paraId="6D81342E" w14:textId="10BBBB6E" w:rsidR="00B92C4A" w:rsidRPr="006912F6" w:rsidRDefault="00B92C4A" w:rsidP="00B92C4A">
      <w:pPr>
        <w:rPr>
          <w:rFonts w:cs="Times New Roman"/>
          <w:sz w:val="20"/>
          <w:szCs w:val="18"/>
        </w:rPr>
      </w:pPr>
    </w:p>
    <w:p w14:paraId="2FE4242A" w14:textId="638996A3" w:rsidR="00B92C4A" w:rsidRPr="006912F6" w:rsidRDefault="00B92C4A" w:rsidP="00B92C4A">
      <w:pPr>
        <w:pStyle w:val="a4"/>
        <w:rPr>
          <w:rFonts w:cs="Times New Roman"/>
          <w:i w:val="0"/>
          <w:iCs w:val="0"/>
          <w:color w:val="auto"/>
          <w:sz w:val="20"/>
          <w:szCs w:val="14"/>
        </w:rPr>
      </w:pPr>
      <w:bookmarkStart w:id="702" w:name="_Toc18071477"/>
      <w:r w:rsidRPr="006912F6">
        <w:rPr>
          <w:rFonts w:cs="Times New Roman"/>
          <w:b/>
          <w:i w:val="0"/>
          <w:color w:val="auto"/>
          <w:sz w:val="20"/>
          <w:szCs w:val="14"/>
        </w:rPr>
        <w:lastRenderedPageBreak/>
        <w:t xml:space="preserve">Table </w:t>
      </w:r>
      <w:r w:rsidR="00667743" w:rsidRPr="006912F6">
        <w:rPr>
          <w:rFonts w:cs="Times New Roman"/>
          <w:b/>
          <w:i w:val="0"/>
          <w:color w:val="auto"/>
          <w:sz w:val="20"/>
          <w:szCs w:val="14"/>
        </w:rPr>
        <w:t>2</w:t>
      </w:r>
      <w:r w:rsidRPr="006912F6">
        <w:rPr>
          <w:rFonts w:cs="Times New Roman"/>
          <w:b/>
          <w:i w:val="0"/>
          <w:color w:val="auto"/>
          <w:sz w:val="20"/>
          <w:szCs w:val="14"/>
        </w:rPr>
        <w:t>.</w:t>
      </w:r>
      <w:r w:rsidRPr="006912F6">
        <w:rPr>
          <w:rFonts w:cs="Times New Roman"/>
          <w:b/>
          <w:i w:val="0"/>
          <w:color w:val="auto"/>
          <w:sz w:val="20"/>
          <w:szCs w:val="14"/>
        </w:rPr>
        <w:fldChar w:fldCharType="begin"/>
      </w:r>
      <w:r w:rsidRPr="006912F6">
        <w:rPr>
          <w:rFonts w:cs="Times New Roman"/>
          <w:b/>
          <w:i w:val="0"/>
          <w:color w:val="auto"/>
          <w:sz w:val="20"/>
          <w:szCs w:val="14"/>
        </w:rPr>
        <w:instrText xml:space="preserve"> SEQ Table_D. \* ARABIC </w:instrText>
      </w:r>
      <w:r w:rsidRPr="006912F6">
        <w:rPr>
          <w:rFonts w:cs="Times New Roman"/>
          <w:b/>
          <w:i w:val="0"/>
          <w:color w:val="auto"/>
          <w:sz w:val="20"/>
          <w:szCs w:val="14"/>
        </w:rPr>
        <w:fldChar w:fldCharType="separate"/>
      </w:r>
      <w:r w:rsidR="006B580B" w:rsidRPr="006912F6">
        <w:rPr>
          <w:rFonts w:cs="Times New Roman"/>
          <w:b/>
          <w:i w:val="0"/>
          <w:noProof/>
          <w:color w:val="auto"/>
          <w:sz w:val="20"/>
          <w:szCs w:val="14"/>
        </w:rPr>
        <w:t>1</w:t>
      </w:r>
      <w:r w:rsidRPr="006912F6">
        <w:rPr>
          <w:rFonts w:cs="Times New Roman"/>
          <w:b/>
          <w:i w:val="0"/>
          <w:color w:val="auto"/>
          <w:sz w:val="20"/>
          <w:szCs w:val="14"/>
        </w:rPr>
        <w:fldChar w:fldCharType="end"/>
      </w:r>
      <w:r w:rsidRPr="006912F6">
        <w:rPr>
          <w:rFonts w:cs="Times New Roman"/>
          <w:color w:val="auto"/>
          <w:sz w:val="20"/>
          <w:szCs w:val="14"/>
        </w:rPr>
        <w:t xml:space="preserve"> </w:t>
      </w:r>
      <w:r w:rsidRPr="006912F6">
        <w:rPr>
          <w:rFonts w:cs="Times New Roman"/>
          <w:i w:val="0"/>
          <w:color w:val="auto"/>
          <w:sz w:val="20"/>
          <w:szCs w:val="14"/>
        </w:rPr>
        <w:t>Indicative costs associated with the cost of coastal defences (EA, 2015)</w:t>
      </w:r>
      <w:bookmarkEnd w:id="702"/>
    </w:p>
    <w:tbl>
      <w:tblPr>
        <w:tblpPr w:leftFromText="180" w:rightFromText="180" w:vertAnchor="text" w:horzAnchor="margin" w:tblpXSpec="center" w:tblpY="2"/>
        <w:tblW w:w="0" w:type="auto"/>
        <w:tblBorders>
          <w:top w:val="nil"/>
          <w:left w:val="nil"/>
          <w:bottom w:val="nil"/>
          <w:right w:val="nil"/>
        </w:tblBorders>
        <w:tblLayout w:type="fixed"/>
        <w:tblLook w:val="0000" w:firstRow="0" w:lastRow="0" w:firstColumn="0" w:lastColumn="0" w:noHBand="0" w:noVBand="0"/>
      </w:tblPr>
      <w:tblGrid>
        <w:gridCol w:w="2830"/>
        <w:gridCol w:w="1984"/>
        <w:gridCol w:w="1985"/>
        <w:gridCol w:w="1985"/>
      </w:tblGrid>
      <w:tr w:rsidR="006912F6" w:rsidRPr="006912F6" w14:paraId="43AC295B" w14:textId="77777777" w:rsidTr="00B0357E">
        <w:trPr>
          <w:trHeight w:val="400"/>
        </w:trPr>
        <w:tc>
          <w:tcPr>
            <w:tcW w:w="2830"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tcPr>
          <w:p w14:paraId="5E4C3919" w14:textId="77777777" w:rsidR="00B92C4A" w:rsidRPr="006912F6" w:rsidRDefault="00B92C4A" w:rsidP="000C4BE5">
            <w:pPr>
              <w:autoSpaceDE w:val="0"/>
              <w:autoSpaceDN w:val="0"/>
              <w:adjustRightInd w:val="0"/>
              <w:spacing w:before="0" w:line="240" w:lineRule="auto"/>
              <w:rPr>
                <w:rFonts w:cs="Times New Roman"/>
                <w:b/>
                <w:sz w:val="20"/>
              </w:rPr>
            </w:pPr>
            <w:r w:rsidRPr="006912F6">
              <w:rPr>
                <w:rFonts w:cs="Times New Roman"/>
                <w:b/>
                <w:sz w:val="20"/>
              </w:rPr>
              <w:t>Options</w:t>
            </w:r>
          </w:p>
        </w:tc>
        <w:tc>
          <w:tcPr>
            <w:tcW w:w="1984"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tcPr>
          <w:p w14:paraId="2D375CC2" w14:textId="77777777" w:rsidR="00B92C4A" w:rsidRPr="006912F6" w:rsidRDefault="00B92C4A" w:rsidP="000C4BE5">
            <w:pPr>
              <w:autoSpaceDE w:val="0"/>
              <w:autoSpaceDN w:val="0"/>
              <w:adjustRightInd w:val="0"/>
              <w:spacing w:before="0" w:line="240" w:lineRule="auto"/>
              <w:rPr>
                <w:rFonts w:cs="Times New Roman"/>
                <w:b/>
                <w:sz w:val="20"/>
              </w:rPr>
            </w:pPr>
            <w:r w:rsidRPr="006912F6">
              <w:rPr>
                <w:rFonts w:cs="Times New Roman"/>
                <w:b/>
                <w:sz w:val="20"/>
              </w:rPr>
              <w:t>Capital cost</w:t>
            </w:r>
          </w:p>
        </w:tc>
        <w:tc>
          <w:tcPr>
            <w:tcW w:w="1985"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tcPr>
          <w:p w14:paraId="3FEE4ECD" w14:textId="77777777" w:rsidR="00B92C4A" w:rsidRPr="006912F6" w:rsidRDefault="00B92C4A" w:rsidP="000C4BE5">
            <w:pPr>
              <w:autoSpaceDE w:val="0"/>
              <w:autoSpaceDN w:val="0"/>
              <w:adjustRightInd w:val="0"/>
              <w:spacing w:before="0" w:line="240" w:lineRule="auto"/>
              <w:rPr>
                <w:rFonts w:cs="Times New Roman"/>
                <w:b/>
                <w:sz w:val="20"/>
              </w:rPr>
            </w:pPr>
            <w:r w:rsidRPr="006912F6">
              <w:rPr>
                <w:rFonts w:cs="Times New Roman"/>
                <w:b/>
                <w:sz w:val="20"/>
              </w:rPr>
              <w:t>Maintenance cost</w:t>
            </w:r>
          </w:p>
        </w:tc>
        <w:tc>
          <w:tcPr>
            <w:tcW w:w="1985"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tcPr>
          <w:p w14:paraId="3451DD86" w14:textId="77777777" w:rsidR="00B92C4A" w:rsidRPr="006912F6" w:rsidRDefault="00B92C4A" w:rsidP="000C4BE5">
            <w:pPr>
              <w:autoSpaceDE w:val="0"/>
              <w:autoSpaceDN w:val="0"/>
              <w:adjustRightInd w:val="0"/>
              <w:spacing w:before="0" w:line="240" w:lineRule="auto"/>
              <w:rPr>
                <w:rFonts w:cs="Times New Roman"/>
                <w:b/>
                <w:sz w:val="20"/>
              </w:rPr>
            </w:pPr>
            <w:r w:rsidRPr="006912F6">
              <w:rPr>
                <w:rFonts w:cs="Times New Roman"/>
                <w:b/>
                <w:sz w:val="20"/>
              </w:rPr>
              <w:t>Indicative cost (£/m)</w:t>
            </w:r>
          </w:p>
        </w:tc>
      </w:tr>
      <w:tr w:rsidR="006912F6" w:rsidRPr="006912F6" w14:paraId="0A77A1D2" w14:textId="77777777" w:rsidTr="000C4BE5">
        <w:trPr>
          <w:trHeight w:val="283"/>
        </w:trPr>
        <w:tc>
          <w:tcPr>
            <w:tcW w:w="2830" w:type="dxa"/>
            <w:tcBorders>
              <w:top w:val="single" w:sz="4" w:space="0" w:color="auto"/>
              <w:left w:val="single" w:sz="4" w:space="0" w:color="auto"/>
              <w:bottom w:val="single" w:sz="4" w:space="0" w:color="auto"/>
              <w:right w:val="single" w:sz="4" w:space="0" w:color="auto"/>
            </w:tcBorders>
            <w:vAlign w:val="center"/>
          </w:tcPr>
          <w:p w14:paraId="3EBB736E"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Beach recharge and breakwater </w:t>
            </w:r>
          </w:p>
        </w:tc>
        <w:tc>
          <w:tcPr>
            <w:tcW w:w="1984" w:type="dxa"/>
            <w:tcBorders>
              <w:top w:val="single" w:sz="4" w:space="0" w:color="auto"/>
              <w:left w:val="single" w:sz="4" w:space="0" w:color="auto"/>
              <w:bottom w:val="single" w:sz="4" w:space="0" w:color="auto"/>
              <w:right w:val="single" w:sz="4" w:space="0" w:color="auto"/>
            </w:tcBorders>
            <w:vAlign w:val="center"/>
          </w:tcPr>
          <w:p w14:paraId="384827F7"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High </w:t>
            </w:r>
          </w:p>
        </w:tc>
        <w:tc>
          <w:tcPr>
            <w:tcW w:w="1985" w:type="dxa"/>
            <w:tcBorders>
              <w:top w:val="single" w:sz="4" w:space="0" w:color="auto"/>
              <w:left w:val="single" w:sz="4" w:space="0" w:color="auto"/>
              <w:bottom w:val="single" w:sz="4" w:space="0" w:color="auto"/>
              <w:right w:val="single" w:sz="4" w:space="0" w:color="auto"/>
            </w:tcBorders>
            <w:vAlign w:val="center"/>
          </w:tcPr>
          <w:p w14:paraId="433202E0"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Medium </w:t>
            </w:r>
          </w:p>
        </w:tc>
        <w:tc>
          <w:tcPr>
            <w:tcW w:w="1985" w:type="dxa"/>
            <w:tcBorders>
              <w:top w:val="single" w:sz="4" w:space="0" w:color="auto"/>
              <w:left w:val="single" w:sz="4" w:space="0" w:color="auto"/>
              <w:bottom w:val="single" w:sz="4" w:space="0" w:color="auto"/>
              <w:right w:val="single" w:sz="4" w:space="0" w:color="auto"/>
            </w:tcBorders>
            <w:vAlign w:val="center"/>
          </w:tcPr>
          <w:p w14:paraId="70A52489"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 </w:t>
            </w:r>
          </w:p>
        </w:tc>
      </w:tr>
      <w:tr w:rsidR="006912F6" w:rsidRPr="006912F6" w14:paraId="36A97099" w14:textId="77777777" w:rsidTr="000C4BE5">
        <w:trPr>
          <w:trHeight w:val="283"/>
        </w:trPr>
        <w:tc>
          <w:tcPr>
            <w:tcW w:w="2830" w:type="dxa"/>
            <w:tcBorders>
              <w:top w:val="single" w:sz="4" w:space="0" w:color="auto"/>
              <w:left w:val="single" w:sz="4" w:space="0" w:color="auto"/>
              <w:bottom w:val="single" w:sz="4" w:space="0" w:color="auto"/>
              <w:right w:val="single" w:sz="4" w:space="0" w:color="auto"/>
            </w:tcBorders>
            <w:vAlign w:val="center"/>
          </w:tcPr>
          <w:p w14:paraId="2A87A71E"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Beach recharge and groynes </w:t>
            </w:r>
          </w:p>
        </w:tc>
        <w:tc>
          <w:tcPr>
            <w:tcW w:w="1984" w:type="dxa"/>
            <w:tcBorders>
              <w:top w:val="single" w:sz="4" w:space="0" w:color="auto"/>
              <w:left w:val="single" w:sz="4" w:space="0" w:color="auto"/>
              <w:bottom w:val="single" w:sz="4" w:space="0" w:color="auto"/>
              <w:right w:val="single" w:sz="4" w:space="0" w:color="auto"/>
            </w:tcBorders>
            <w:vAlign w:val="center"/>
          </w:tcPr>
          <w:p w14:paraId="3122FBB9"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High </w:t>
            </w:r>
          </w:p>
        </w:tc>
        <w:tc>
          <w:tcPr>
            <w:tcW w:w="1985" w:type="dxa"/>
            <w:tcBorders>
              <w:top w:val="single" w:sz="4" w:space="0" w:color="auto"/>
              <w:left w:val="single" w:sz="4" w:space="0" w:color="auto"/>
              <w:bottom w:val="single" w:sz="4" w:space="0" w:color="auto"/>
              <w:right w:val="single" w:sz="4" w:space="0" w:color="auto"/>
            </w:tcBorders>
            <w:vAlign w:val="center"/>
          </w:tcPr>
          <w:p w14:paraId="261FA92C"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Medium </w:t>
            </w:r>
          </w:p>
        </w:tc>
        <w:tc>
          <w:tcPr>
            <w:tcW w:w="1985" w:type="dxa"/>
            <w:tcBorders>
              <w:top w:val="single" w:sz="4" w:space="0" w:color="auto"/>
              <w:left w:val="single" w:sz="4" w:space="0" w:color="auto"/>
              <w:bottom w:val="single" w:sz="4" w:space="0" w:color="auto"/>
              <w:right w:val="single" w:sz="4" w:space="0" w:color="auto"/>
            </w:tcBorders>
            <w:vAlign w:val="center"/>
          </w:tcPr>
          <w:p w14:paraId="27A9C2F8"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 </w:t>
            </w:r>
          </w:p>
        </w:tc>
      </w:tr>
      <w:tr w:rsidR="006912F6" w:rsidRPr="006912F6" w14:paraId="611889EB" w14:textId="77777777" w:rsidTr="000C4BE5">
        <w:trPr>
          <w:trHeight w:val="283"/>
        </w:trPr>
        <w:tc>
          <w:tcPr>
            <w:tcW w:w="2830" w:type="dxa"/>
            <w:tcBorders>
              <w:top w:val="single" w:sz="4" w:space="0" w:color="auto"/>
              <w:left w:val="single" w:sz="4" w:space="0" w:color="auto"/>
              <w:bottom w:val="single" w:sz="4" w:space="0" w:color="auto"/>
              <w:right w:val="single" w:sz="4" w:space="0" w:color="auto"/>
            </w:tcBorders>
            <w:vAlign w:val="center"/>
          </w:tcPr>
          <w:p w14:paraId="1D516285"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Rock armour </w:t>
            </w:r>
          </w:p>
        </w:tc>
        <w:tc>
          <w:tcPr>
            <w:tcW w:w="1984" w:type="dxa"/>
            <w:tcBorders>
              <w:top w:val="single" w:sz="4" w:space="0" w:color="auto"/>
              <w:left w:val="single" w:sz="4" w:space="0" w:color="auto"/>
              <w:bottom w:val="single" w:sz="4" w:space="0" w:color="auto"/>
              <w:right w:val="single" w:sz="4" w:space="0" w:color="auto"/>
            </w:tcBorders>
            <w:vAlign w:val="center"/>
          </w:tcPr>
          <w:p w14:paraId="563D3FFD"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High </w:t>
            </w:r>
          </w:p>
        </w:tc>
        <w:tc>
          <w:tcPr>
            <w:tcW w:w="1985" w:type="dxa"/>
            <w:tcBorders>
              <w:top w:val="single" w:sz="4" w:space="0" w:color="auto"/>
              <w:left w:val="single" w:sz="4" w:space="0" w:color="auto"/>
              <w:bottom w:val="single" w:sz="4" w:space="0" w:color="auto"/>
              <w:right w:val="single" w:sz="4" w:space="0" w:color="auto"/>
            </w:tcBorders>
            <w:vAlign w:val="center"/>
          </w:tcPr>
          <w:p w14:paraId="06CCA52E"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Low </w:t>
            </w:r>
          </w:p>
        </w:tc>
        <w:tc>
          <w:tcPr>
            <w:tcW w:w="1985" w:type="dxa"/>
            <w:tcBorders>
              <w:top w:val="single" w:sz="4" w:space="0" w:color="auto"/>
              <w:left w:val="single" w:sz="4" w:space="0" w:color="auto"/>
              <w:bottom w:val="single" w:sz="4" w:space="0" w:color="auto"/>
              <w:right w:val="single" w:sz="4" w:space="0" w:color="auto"/>
            </w:tcBorders>
            <w:vAlign w:val="center"/>
          </w:tcPr>
          <w:p w14:paraId="73E98823"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 </w:t>
            </w:r>
          </w:p>
        </w:tc>
      </w:tr>
      <w:tr w:rsidR="006912F6" w:rsidRPr="006912F6" w14:paraId="07E5EBC6" w14:textId="77777777" w:rsidTr="000C4BE5">
        <w:trPr>
          <w:trHeight w:val="283"/>
        </w:trPr>
        <w:tc>
          <w:tcPr>
            <w:tcW w:w="2830" w:type="dxa"/>
            <w:tcBorders>
              <w:top w:val="single" w:sz="4" w:space="0" w:color="auto"/>
              <w:left w:val="single" w:sz="4" w:space="0" w:color="auto"/>
              <w:bottom w:val="single" w:sz="4" w:space="0" w:color="auto"/>
              <w:right w:val="single" w:sz="4" w:space="0" w:color="auto"/>
            </w:tcBorders>
            <w:vAlign w:val="center"/>
          </w:tcPr>
          <w:p w14:paraId="056FE919"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Impermeable revetments and seawalls </w:t>
            </w:r>
          </w:p>
        </w:tc>
        <w:tc>
          <w:tcPr>
            <w:tcW w:w="1984" w:type="dxa"/>
            <w:tcBorders>
              <w:top w:val="single" w:sz="4" w:space="0" w:color="auto"/>
              <w:left w:val="single" w:sz="4" w:space="0" w:color="auto"/>
              <w:bottom w:val="single" w:sz="4" w:space="0" w:color="auto"/>
              <w:right w:val="single" w:sz="4" w:space="0" w:color="auto"/>
            </w:tcBorders>
            <w:vAlign w:val="center"/>
          </w:tcPr>
          <w:p w14:paraId="314E06B3"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High </w:t>
            </w:r>
          </w:p>
        </w:tc>
        <w:tc>
          <w:tcPr>
            <w:tcW w:w="1985" w:type="dxa"/>
            <w:tcBorders>
              <w:top w:val="single" w:sz="4" w:space="0" w:color="auto"/>
              <w:left w:val="single" w:sz="4" w:space="0" w:color="auto"/>
              <w:bottom w:val="single" w:sz="4" w:space="0" w:color="auto"/>
              <w:right w:val="single" w:sz="4" w:space="0" w:color="auto"/>
            </w:tcBorders>
            <w:vAlign w:val="center"/>
          </w:tcPr>
          <w:p w14:paraId="1963D7B9"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Low </w:t>
            </w:r>
          </w:p>
        </w:tc>
        <w:tc>
          <w:tcPr>
            <w:tcW w:w="1985" w:type="dxa"/>
            <w:tcBorders>
              <w:top w:val="single" w:sz="4" w:space="0" w:color="auto"/>
              <w:left w:val="single" w:sz="4" w:space="0" w:color="auto"/>
              <w:bottom w:val="single" w:sz="4" w:space="0" w:color="auto"/>
              <w:right w:val="single" w:sz="4" w:space="0" w:color="auto"/>
            </w:tcBorders>
            <w:vAlign w:val="center"/>
          </w:tcPr>
          <w:p w14:paraId="26578DC1"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2,000–5,000 </w:t>
            </w:r>
          </w:p>
        </w:tc>
      </w:tr>
      <w:tr w:rsidR="006912F6" w:rsidRPr="006912F6" w14:paraId="6C1944EB" w14:textId="77777777" w:rsidTr="000C4BE5">
        <w:trPr>
          <w:trHeight w:val="283"/>
        </w:trPr>
        <w:tc>
          <w:tcPr>
            <w:tcW w:w="2830" w:type="dxa"/>
            <w:tcBorders>
              <w:top w:val="single" w:sz="4" w:space="0" w:color="auto"/>
              <w:left w:val="single" w:sz="4" w:space="0" w:color="auto"/>
              <w:bottom w:val="single" w:sz="4" w:space="0" w:color="auto"/>
              <w:right w:val="single" w:sz="4" w:space="0" w:color="auto"/>
            </w:tcBorders>
            <w:vAlign w:val="center"/>
          </w:tcPr>
          <w:p w14:paraId="1A92C96C"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Timber revetments </w:t>
            </w:r>
          </w:p>
        </w:tc>
        <w:tc>
          <w:tcPr>
            <w:tcW w:w="1984" w:type="dxa"/>
            <w:tcBorders>
              <w:top w:val="single" w:sz="4" w:space="0" w:color="auto"/>
              <w:left w:val="single" w:sz="4" w:space="0" w:color="auto"/>
              <w:bottom w:val="single" w:sz="4" w:space="0" w:color="auto"/>
              <w:right w:val="single" w:sz="4" w:space="0" w:color="auto"/>
            </w:tcBorders>
            <w:vAlign w:val="center"/>
          </w:tcPr>
          <w:p w14:paraId="0C45FA72"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Medium </w:t>
            </w:r>
          </w:p>
        </w:tc>
        <w:tc>
          <w:tcPr>
            <w:tcW w:w="1985" w:type="dxa"/>
            <w:tcBorders>
              <w:top w:val="single" w:sz="4" w:space="0" w:color="auto"/>
              <w:left w:val="single" w:sz="4" w:space="0" w:color="auto"/>
              <w:bottom w:val="single" w:sz="4" w:space="0" w:color="auto"/>
              <w:right w:val="single" w:sz="4" w:space="0" w:color="auto"/>
            </w:tcBorders>
            <w:vAlign w:val="center"/>
          </w:tcPr>
          <w:p w14:paraId="73A5A274"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Medium </w:t>
            </w:r>
          </w:p>
        </w:tc>
        <w:tc>
          <w:tcPr>
            <w:tcW w:w="1985" w:type="dxa"/>
            <w:tcBorders>
              <w:top w:val="single" w:sz="4" w:space="0" w:color="auto"/>
              <w:left w:val="single" w:sz="4" w:space="0" w:color="auto"/>
              <w:bottom w:val="single" w:sz="4" w:space="0" w:color="auto"/>
              <w:right w:val="single" w:sz="4" w:space="0" w:color="auto"/>
            </w:tcBorders>
            <w:vAlign w:val="center"/>
          </w:tcPr>
          <w:p w14:paraId="34564170"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20–500 </w:t>
            </w:r>
          </w:p>
        </w:tc>
      </w:tr>
      <w:tr w:rsidR="006912F6" w:rsidRPr="006912F6" w14:paraId="53805AA7" w14:textId="77777777" w:rsidTr="000C4BE5">
        <w:trPr>
          <w:trHeight w:val="283"/>
        </w:trPr>
        <w:tc>
          <w:tcPr>
            <w:tcW w:w="2830" w:type="dxa"/>
            <w:tcBorders>
              <w:top w:val="single" w:sz="4" w:space="0" w:color="auto"/>
              <w:left w:val="single" w:sz="4" w:space="0" w:color="auto"/>
              <w:bottom w:val="single" w:sz="4" w:space="0" w:color="auto"/>
              <w:right w:val="single" w:sz="4" w:space="0" w:color="auto"/>
            </w:tcBorders>
            <w:vAlign w:val="center"/>
          </w:tcPr>
          <w:p w14:paraId="2075E668"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Rock revetments </w:t>
            </w:r>
          </w:p>
        </w:tc>
        <w:tc>
          <w:tcPr>
            <w:tcW w:w="1984" w:type="dxa"/>
            <w:tcBorders>
              <w:top w:val="single" w:sz="4" w:space="0" w:color="auto"/>
              <w:left w:val="single" w:sz="4" w:space="0" w:color="auto"/>
              <w:bottom w:val="single" w:sz="4" w:space="0" w:color="auto"/>
              <w:right w:val="single" w:sz="4" w:space="0" w:color="auto"/>
            </w:tcBorders>
            <w:vAlign w:val="center"/>
          </w:tcPr>
          <w:p w14:paraId="6614E125"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High </w:t>
            </w:r>
          </w:p>
        </w:tc>
        <w:tc>
          <w:tcPr>
            <w:tcW w:w="1985" w:type="dxa"/>
            <w:tcBorders>
              <w:top w:val="single" w:sz="4" w:space="0" w:color="auto"/>
              <w:left w:val="single" w:sz="4" w:space="0" w:color="auto"/>
              <w:bottom w:val="single" w:sz="4" w:space="0" w:color="auto"/>
              <w:right w:val="single" w:sz="4" w:space="0" w:color="auto"/>
            </w:tcBorders>
            <w:vAlign w:val="center"/>
          </w:tcPr>
          <w:p w14:paraId="4A0E3F94"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Low </w:t>
            </w:r>
          </w:p>
        </w:tc>
        <w:tc>
          <w:tcPr>
            <w:tcW w:w="1985" w:type="dxa"/>
            <w:tcBorders>
              <w:top w:val="single" w:sz="4" w:space="0" w:color="auto"/>
              <w:left w:val="single" w:sz="4" w:space="0" w:color="auto"/>
              <w:bottom w:val="single" w:sz="4" w:space="0" w:color="auto"/>
              <w:right w:val="single" w:sz="4" w:space="0" w:color="auto"/>
            </w:tcBorders>
            <w:vAlign w:val="center"/>
          </w:tcPr>
          <w:p w14:paraId="1FA9E344"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1,000–3,000 </w:t>
            </w:r>
          </w:p>
        </w:tc>
      </w:tr>
      <w:tr w:rsidR="006912F6" w:rsidRPr="006912F6" w14:paraId="772B262C" w14:textId="77777777" w:rsidTr="000C4BE5">
        <w:trPr>
          <w:trHeight w:val="283"/>
        </w:trPr>
        <w:tc>
          <w:tcPr>
            <w:tcW w:w="2830" w:type="dxa"/>
            <w:tcBorders>
              <w:top w:val="single" w:sz="4" w:space="0" w:color="auto"/>
              <w:left w:val="single" w:sz="4" w:space="0" w:color="auto"/>
              <w:bottom w:val="single" w:sz="4" w:space="0" w:color="auto"/>
              <w:right w:val="single" w:sz="4" w:space="0" w:color="auto"/>
            </w:tcBorders>
            <w:vAlign w:val="center"/>
          </w:tcPr>
          <w:p w14:paraId="7E22A649"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Groynes </w:t>
            </w:r>
          </w:p>
        </w:tc>
        <w:tc>
          <w:tcPr>
            <w:tcW w:w="1984" w:type="dxa"/>
            <w:tcBorders>
              <w:top w:val="single" w:sz="4" w:space="0" w:color="auto"/>
              <w:left w:val="single" w:sz="4" w:space="0" w:color="auto"/>
              <w:bottom w:val="single" w:sz="4" w:space="0" w:color="auto"/>
              <w:right w:val="single" w:sz="4" w:space="0" w:color="auto"/>
            </w:tcBorders>
            <w:vAlign w:val="center"/>
          </w:tcPr>
          <w:p w14:paraId="125234C2"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Medium </w:t>
            </w:r>
          </w:p>
        </w:tc>
        <w:tc>
          <w:tcPr>
            <w:tcW w:w="1985" w:type="dxa"/>
            <w:tcBorders>
              <w:top w:val="single" w:sz="4" w:space="0" w:color="auto"/>
              <w:left w:val="single" w:sz="4" w:space="0" w:color="auto"/>
              <w:bottom w:val="single" w:sz="4" w:space="0" w:color="auto"/>
              <w:right w:val="single" w:sz="4" w:space="0" w:color="auto"/>
            </w:tcBorders>
            <w:vAlign w:val="center"/>
          </w:tcPr>
          <w:p w14:paraId="76BEC23A"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Medium </w:t>
            </w:r>
          </w:p>
        </w:tc>
        <w:tc>
          <w:tcPr>
            <w:tcW w:w="1985" w:type="dxa"/>
            <w:tcBorders>
              <w:top w:val="single" w:sz="4" w:space="0" w:color="auto"/>
              <w:left w:val="single" w:sz="4" w:space="0" w:color="auto"/>
              <w:bottom w:val="single" w:sz="4" w:space="0" w:color="auto"/>
              <w:right w:val="single" w:sz="4" w:space="0" w:color="auto"/>
            </w:tcBorders>
            <w:vAlign w:val="center"/>
          </w:tcPr>
          <w:p w14:paraId="0F2E1D6A"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10,000 to 100,000 per structure </w:t>
            </w:r>
          </w:p>
        </w:tc>
      </w:tr>
      <w:tr w:rsidR="006912F6" w:rsidRPr="006912F6" w14:paraId="13426BCE" w14:textId="77777777" w:rsidTr="000C4BE5">
        <w:trPr>
          <w:trHeight w:val="283"/>
        </w:trPr>
        <w:tc>
          <w:tcPr>
            <w:tcW w:w="2830" w:type="dxa"/>
            <w:tcBorders>
              <w:top w:val="single" w:sz="4" w:space="0" w:color="auto"/>
              <w:left w:val="single" w:sz="4" w:space="0" w:color="auto"/>
              <w:bottom w:val="single" w:sz="4" w:space="0" w:color="auto"/>
              <w:right w:val="single" w:sz="4" w:space="0" w:color="auto"/>
            </w:tcBorders>
            <w:vAlign w:val="center"/>
          </w:tcPr>
          <w:p w14:paraId="4D646ECE"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Nearshore breakwaters </w:t>
            </w:r>
          </w:p>
        </w:tc>
        <w:tc>
          <w:tcPr>
            <w:tcW w:w="1984" w:type="dxa"/>
            <w:tcBorders>
              <w:top w:val="single" w:sz="4" w:space="0" w:color="auto"/>
              <w:left w:val="single" w:sz="4" w:space="0" w:color="auto"/>
              <w:bottom w:val="single" w:sz="4" w:space="0" w:color="auto"/>
              <w:right w:val="single" w:sz="4" w:space="0" w:color="auto"/>
            </w:tcBorders>
            <w:vAlign w:val="center"/>
          </w:tcPr>
          <w:p w14:paraId="20FBA264"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Medium </w:t>
            </w:r>
          </w:p>
        </w:tc>
        <w:tc>
          <w:tcPr>
            <w:tcW w:w="1985" w:type="dxa"/>
            <w:tcBorders>
              <w:top w:val="single" w:sz="4" w:space="0" w:color="auto"/>
              <w:left w:val="single" w:sz="4" w:space="0" w:color="auto"/>
              <w:bottom w:val="single" w:sz="4" w:space="0" w:color="auto"/>
              <w:right w:val="single" w:sz="4" w:space="0" w:color="auto"/>
            </w:tcBorders>
            <w:vAlign w:val="center"/>
          </w:tcPr>
          <w:p w14:paraId="709189BA"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Low </w:t>
            </w:r>
          </w:p>
        </w:tc>
        <w:tc>
          <w:tcPr>
            <w:tcW w:w="1985" w:type="dxa"/>
            <w:tcBorders>
              <w:top w:val="single" w:sz="4" w:space="0" w:color="auto"/>
              <w:left w:val="single" w:sz="4" w:space="0" w:color="auto"/>
              <w:bottom w:val="single" w:sz="4" w:space="0" w:color="auto"/>
              <w:right w:val="single" w:sz="4" w:space="0" w:color="auto"/>
            </w:tcBorders>
            <w:vAlign w:val="center"/>
          </w:tcPr>
          <w:p w14:paraId="1A5D95A4"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400–1,000 </w:t>
            </w:r>
          </w:p>
        </w:tc>
      </w:tr>
      <w:tr w:rsidR="006912F6" w:rsidRPr="006912F6" w14:paraId="5006ED0C" w14:textId="77777777" w:rsidTr="000C4BE5">
        <w:trPr>
          <w:trHeight w:val="283"/>
        </w:trPr>
        <w:tc>
          <w:tcPr>
            <w:tcW w:w="2830" w:type="dxa"/>
            <w:tcBorders>
              <w:top w:val="single" w:sz="4" w:space="0" w:color="auto"/>
              <w:left w:val="single" w:sz="4" w:space="0" w:color="auto"/>
              <w:bottom w:val="single" w:sz="4" w:space="0" w:color="auto"/>
              <w:right w:val="single" w:sz="4" w:space="0" w:color="auto"/>
            </w:tcBorders>
            <w:vAlign w:val="center"/>
          </w:tcPr>
          <w:p w14:paraId="762E6C4A"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Artificial rock dune protection </w:t>
            </w:r>
          </w:p>
        </w:tc>
        <w:tc>
          <w:tcPr>
            <w:tcW w:w="1984" w:type="dxa"/>
            <w:tcBorders>
              <w:top w:val="single" w:sz="4" w:space="0" w:color="auto"/>
              <w:left w:val="single" w:sz="4" w:space="0" w:color="auto"/>
              <w:bottom w:val="single" w:sz="4" w:space="0" w:color="auto"/>
              <w:right w:val="single" w:sz="4" w:space="0" w:color="auto"/>
            </w:tcBorders>
            <w:vAlign w:val="center"/>
          </w:tcPr>
          <w:p w14:paraId="6DFD4466"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Medium </w:t>
            </w:r>
          </w:p>
        </w:tc>
        <w:tc>
          <w:tcPr>
            <w:tcW w:w="1985" w:type="dxa"/>
            <w:tcBorders>
              <w:top w:val="single" w:sz="4" w:space="0" w:color="auto"/>
              <w:left w:val="single" w:sz="4" w:space="0" w:color="auto"/>
              <w:bottom w:val="single" w:sz="4" w:space="0" w:color="auto"/>
              <w:right w:val="single" w:sz="4" w:space="0" w:color="auto"/>
            </w:tcBorders>
            <w:vAlign w:val="center"/>
          </w:tcPr>
          <w:p w14:paraId="2835DE17"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Low </w:t>
            </w:r>
          </w:p>
        </w:tc>
        <w:tc>
          <w:tcPr>
            <w:tcW w:w="1985" w:type="dxa"/>
            <w:tcBorders>
              <w:top w:val="single" w:sz="4" w:space="0" w:color="auto"/>
              <w:left w:val="single" w:sz="4" w:space="0" w:color="auto"/>
              <w:bottom w:val="single" w:sz="4" w:space="0" w:color="auto"/>
              <w:right w:val="single" w:sz="4" w:space="0" w:color="auto"/>
            </w:tcBorders>
            <w:vAlign w:val="center"/>
          </w:tcPr>
          <w:p w14:paraId="3595D486"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200–600 </w:t>
            </w:r>
          </w:p>
        </w:tc>
      </w:tr>
      <w:tr w:rsidR="006912F6" w:rsidRPr="006912F6" w14:paraId="042111F8" w14:textId="77777777" w:rsidTr="000C4BE5">
        <w:trPr>
          <w:trHeight w:val="283"/>
        </w:trPr>
        <w:tc>
          <w:tcPr>
            <w:tcW w:w="2830" w:type="dxa"/>
            <w:tcBorders>
              <w:top w:val="single" w:sz="4" w:space="0" w:color="auto"/>
              <w:left w:val="single" w:sz="4" w:space="0" w:color="auto"/>
              <w:bottom w:val="single" w:sz="4" w:space="0" w:color="auto"/>
              <w:right w:val="single" w:sz="4" w:space="0" w:color="auto"/>
            </w:tcBorders>
            <w:vAlign w:val="center"/>
          </w:tcPr>
          <w:p w14:paraId="34C0D36E"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Gabion revetments </w:t>
            </w:r>
          </w:p>
        </w:tc>
        <w:tc>
          <w:tcPr>
            <w:tcW w:w="1984" w:type="dxa"/>
            <w:tcBorders>
              <w:top w:val="single" w:sz="4" w:space="0" w:color="auto"/>
              <w:left w:val="single" w:sz="4" w:space="0" w:color="auto"/>
              <w:bottom w:val="single" w:sz="4" w:space="0" w:color="auto"/>
              <w:right w:val="single" w:sz="4" w:space="0" w:color="auto"/>
            </w:tcBorders>
            <w:vAlign w:val="center"/>
          </w:tcPr>
          <w:p w14:paraId="647BF648"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Medium </w:t>
            </w:r>
          </w:p>
        </w:tc>
        <w:tc>
          <w:tcPr>
            <w:tcW w:w="1985" w:type="dxa"/>
            <w:tcBorders>
              <w:top w:val="single" w:sz="4" w:space="0" w:color="auto"/>
              <w:left w:val="single" w:sz="4" w:space="0" w:color="auto"/>
              <w:bottom w:val="single" w:sz="4" w:space="0" w:color="auto"/>
              <w:right w:val="single" w:sz="4" w:space="0" w:color="auto"/>
            </w:tcBorders>
            <w:vAlign w:val="center"/>
          </w:tcPr>
          <w:p w14:paraId="02A40166"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Medium </w:t>
            </w:r>
          </w:p>
        </w:tc>
        <w:tc>
          <w:tcPr>
            <w:tcW w:w="1985" w:type="dxa"/>
            <w:tcBorders>
              <w:top w:val="single" w:sz="4" w:space="0" w:color="auto"/>
              <w:left w:val="single" w:sz="4" w:space="0" w:color="auto"/>
              <w:bottom w:val="single" w:sz="4" w:space="0" w:color="auto"/>
              <w:right w:val="single" w:sz="4" w:space="0" w:color="auto"/>
            </w:tcBorders>
            <w:vAlign w:val="center"/>
          </w:tcPr>
          <w:p w14:paraId="68D66657"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50–500 </w:t>
            </w:r>
          </w:p>
        </w:tc>
      </w:tr>
      <w:tr w:rsidR="006912F6" w:rsidRPr="006912F6" w14:paraId="1EE6E739" w14:textId="77777777" w:rsidTr="000C4BE5">
        <w:trPr>
          <w:trHeight w:val="283"/>
        </w:trPr>
        <w:tc>
          <w:tcPr>
            <w:tcW w:w="2830" w:type="dxa"/>
            <w:tcBorders>
              <w:top w:val="single" w:sz="4" w:space="0" w:color="auto"/>
              <w:left w:val="single" w:sz="4" w:space="0" w:color="auto"/>
              <w:bottom w:val="single" w:sz="4" w:space="0" w:color="auto"/>
              <w:right w:val="single" w:sz="4" w:space="0" w:color="auto"/>
            </w:tcBorders>
            <w:vAlign w:val="center"/>
          </w:tcPr>
          <w:p w14:paraId="03BB12F7"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Beach nourishment </w:t>
            </w:r>
          </w:p>
        </w:tc>
        <w:tc>
          <w:tcPr>
            <w:tcW w:w="1984" w:type="dxa"/>
            <w:tcBorders>
              <w:top w:val="single" w:sz="4" w:space="0" w:color="auto"/>
              <w:left w:val="single" w:sz="4" w:space="0" w:color="auto"/>
              <w:bottom w:val="single" w:sz="4" w:space="0" w:color="auto"/>
              <w:right w:val="single" w:sz="4" w:space="0" w:color="auto"/>
            </w:tcBorders>
            <w:vAlign w:val="center"/>
          </w:tcPr>
          <w:p w14:paraId="3AD3463A"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Medium </w:t>
            </w:r>
          </w:p>
        </w:tc>
        <w:tc>
          <w:tcPr>
            <w:tcW w:w="1985" w:type="dxa"/>
            <w:tcBorders>
              <w:top w:val="single" w:sz="4" w:space="0" w:color="auto"/>
              <w:left w:val="single" w:sz="4" w:space="0" w:color="auto"/>
              <w:bottom w:val="single" w:sz="4" w:space="0" w:color="auto"/>
              <w:right w:val="single" w:sz="4" w:space="0" w:color="auto"/>
            </w:tcBorders>
            <w:vAlign w:val="center"/>
          </w:tcPr>
          <w:p w14:paraId="5639F743"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Medium </w:t>
            </w:r>
          </w:p>
        </w:tc>
        <w:tc>
          <w:tcPr>
            <w:tcW w:w="1985" w:type="dxa"/>
            <w:tcBorders>
              <w:top w:val="single" w:sz="4" w:space="0" w:color="auto"/>
              <w:left w:val="single" w:sz="4" w:space="0" w:color="auto"/>
              <w:bottom w:val="single" w:sz="4" w:space="0" w:color="auto"/>
              <w:right w:val="single" w:sz="4" w:space="0" w:color="auto"/>
            </w:tcBorders>
            <w:vAlign w:val="center"/>
          </w:tcPr>
          <w:p w14:paraId="08CF972A"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50–2,000 </w:t>
            </w:r>
          </w:p>
        </w:tc>
      </w:tr>
      <w:tr w:rsidR="006912F6" w:rsidRPr="006912F6" w14:paraId="22A8A337" w14:textId="77777777" w:rsidTr="000C4BE5">
        <w:trPr>
          <w:trHeight w:val="283"/>
        </w:trPr>
        <w:tc>
          <w:tcPr>
            <w:tcW w:w="2830" w:type="dxa"/>
            <w:tcBorders>
              <w:top w:val="single" w:sz="4" w:space="0" w:color="auto"/>
              <w:left w:val="single" w:sz="4" w:space="0" w:color="auto"/>
              <w:bottom w:val="single" w:sz="4" w:space="0" w:color="auto"/>
              <w:right w:val="single" w:sz="4" w:space="0" w:color="auto"/>
            </w:tcBorders>
            <w:vAlign w:val="center"/>
          </w:tcPr>
          <w:p w14:paraId="1B413BB1"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Shingle recycling/ re-profiling </w:t>
            </w:r>
          </w:p>
        </w:tc>
        <w:tc>
          <w:tcPr>
            <w:tcW w:w="1984" w:type="dxa"/>
            <w:tcBorders>
              <w:top w:val="single" w:sz="4" w:space="0" w:color="auto"/>
              <w:left w:val="single" w:sz="4" w:space="0" w:color="auto"/>
              <w:bottom w:val="single" w:sz="4" w:space="0" w:color="auto"/>
              <w:right w:val="single" w:sz="4" w:space="0" w:color="auto"/>
            </w:tcBorders>
            <w:vAlign w:val="center"/>
          </w:tcPr>
          <w:p w14:paraId="309BC1CE"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Low </w:t>
            </w:r>
          </w:p>
        </w:tc>
        <w:tc>
          <w:tcPr>
            <w:tcW w:w="1985" w:type="dxa"/>
            <w:tcBorders>
              <w:top w:val="single" w:sz="4" w:space="0" w:color="auto"/>
              <w:left w:val="single" w:sz="4" w:space="0" w:color="auto"/>
              <w:bottom w:val="single" w:sz="4" w:space="0" w:color="auto"/>
              <w:right w:val="single" w:sz="4" w:space="0" w:color="auto"/>
            </w:tcBorders>
            <w:vAlign w:val="center"/>
          </w:tcPr>
          <w:p w14:paraId="6266C0C5"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Low </w:t>
            </w:r>
          </w:p>
        </w:tc>
        <w:tc>
          <w:tcPr>
            <w:tcW w:w="1985" w:type="dxa"/>
            <w:tcBorders>
              <w:top w:val="single" w:sz="4" w:space="0" w:color="auto"/>
              <w:left w:val="single" w:sz="4" w:space="0" w:color="auto"/>
              <w:bottom w:val="single" w:sz="4" w:space="0" w:color="auto"/>
              <w:right w:val="single" w:sz="4" w:space="0" w:color="auto"/>
            </w:tcBorders>
            <w:vAlign w:val="center"/>
          </w:tcPr>
          <w:p w14:paraId="1AFE239B" w14:textId="77777777" w:rsidR="00B92C4A" w:rsidRPr="006912F6" w:rsidRDefault="00B92C4A" w:rsidP="000C4BE5">
            <w:pPr>
              <w:autoSpaceDE w:val="0"/>
              <w:autoSpaceDN w:val="0"/>
              <w:adjustRightInd w:val="0"/>
              <w:spacing w:before="0" w:line="240" w:lineRule="auto"/>
              <w:rPr>
                <w:rFonts w:cs="Times New Roman"/>
                <w:sz w:val="20"/>
              </w:rPr>
            </w:pPr>
            <w:r w:rsidRPr="006912F6">
              <w:rPr>
                <w:rFonts w:cs="Times New Roman"/>
                <w:sz w:val="20"/>
              </w:rPr>
              <w:t xml:space="preserve">10–200 </w:t>
            </w:r>
          </w:p>
        </w:tc>
      </w:tr>
    </w:tbl>
    <w:p w14:paraId="3A8A2768" w14:textId="77777777" w:rsidR="00B92C4A" w:rsidRPr="006912F6" w:rsidRDefault="00B92C4A" w:rsidP="00B92C4A">
      <w:pPr>
        <w:rPr>
          <w:rFonts w:cs="Times New Roman"/>
          <w:sz w:val="8"/>
        </w:rPr>
      </w:pPr>
    </w:p>
    <w:p w14:paraId="5C3F292D" w14:textId="08D52AE1" w:rsidR="00B92C4A" w:rsidRPr="006912F6" w:rsidRDefault="00B92C4A" w:rsidP="00B92C4A">
      <w:pPr>
        <w:jc w:val="both"/>
        <w:rPr>
          <w:rFonts w:cs="Times New Roman"/>
          <w:sz w:val="20"/>
          <w:szCs w:val="18"/>
        </w:rPr>
      </w:pPr>
      <w:r w:rsidRPr="006912F6">
        <w:rPr>
          <w:rFonts w:cs="Times New Roman"/>
          <w:sz w:val="20"/>
          <w:szCs w:val="18"/>
        </w:rPr>
        <w:t>The costs for a single large investment have been taken from the North Solent Shoreline management (NFCD, 2010). This plan estimated the investment cost for the replacement of coastal defence</w:t>
      </w:r>
      <w:r w:rsidR="00181232" w:rsidRPr="006912F6">
        <w:rPr>
          <w:rFonts w:cs="Times New Roman"/>
          <w:sz w:val="20"/>
          <w:szCs w:val="18"/>
        </w:rPr>
        <w:t xml:space="preserve"> for Lymington</w:t>
      </w:r>
      <w:r w:rsidRPr="006912F6">
        <w:rPr>
          <w:rFonts w:cs="Times New Roman"/>
          <w:sz w:val="20"/>
          <w:szCs w:val="18"/>
        </w:rPr>
        <w:t xml:space="preserve"> (i.e. Impermeable revetments and seawalls) at £ 64.2 million, which includes a maintenance cost over the life of the project (100 years). The upgrade of coastal defence is planned to be implemented 30 to 60 years later. To estimate the cost of dike heightening in each stage,</w:t>
      </w:r>
      <w:r w:rsidR="00181232" w:rsidRPr="006912F6">
        <w:rPr>
          <w:rFonts w:cs="Times New Roman"/>
          <w:sz w:val="20"/>
          <w:szCs w:val="18"/>
        </w:rPr>
        <w:t xml:space="preserve"> this research</w:t>
      </w:r>
      <w:r w:rsidRPr="006912F6">
        <w:rPr>
          <w:rFonts w:cs="Times New Roman"/>
          <w:sz w:val="20"/>
          <w:szCs w:val="18"/>
        </w:rPr>
        <w:t xml:space="preserve"> uses Van dantzig model (1956) which assumes that the cost of defence heightening (</w:t>
      </w:r>
      <m:oMath>
        <m:r>
          <m:rPr>
            <m:sty m:val="p"/>
          </m:rPr>
          <w:rPr>
            <w:rFonts w:ascii="Cambria Math" w:hAnsi="Cambria Math" w:cs="Times New Roman"/>
            <w:sz w:val="20"/>
            <w:szCs w:val="18"/>
          </w:rPr>
          <m:t>I</m:t>
        </m:r>
      </m:oMath>
      <w:r w:rsidRPr="006912F6">
        <w:rPr>
          <w:rFonts w:cs="Times New Roman"/>
          <w:sz w:val="20"/>
          <w:szCs w:val="18"/>
        </w:rPr>
        <w:t>) has a linear relation with the raised height (</w:t>
      </w:r>
      <m:oMath>
        <m:r>
          <m:rPr>
            <m:sty m:val="p"/>
          </m:rPr>
          <w:rPr>
            <w:rFonts w:ascii="Cambria Math" w:hAnsi="Cambria Math" w:cs="Times New Roman"/>
            <w:sz w:val="20"/>
            <w:szCs w:val="18"/>
          </w:rPr>
          <m:t>H</m:t>
        </m:r>
      </m:oMath>
      <w:r w:rsidRPr="006912F6">
        <w:rPr>
          <w:rFonts w:cs="Times New Roman"/>
          <w:sz w:val="20"/>
          <w:szCs w:val="18"/>
        </w:rPr>
        <w:t>). This model provides a simple representation of relationship between the cost of dike heightening and the increase in dike height in equation (2) (Slijkhuis et al., 1997)</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7655"/>
        <w:gridCol w:w="657"/>
      </w:tblGrid>
      <w:tr w:rsidR="006912F6" w:rsidRPr="006912F6" w14:paraId="43E7ACA2" w14:textId="77777777" w:rsidTr="000C4BE5">
        <w:tc>
          <w:tcPr>
            <w:tcW w:w="704" w:type="dxa"/>
            <w:vAlign w:val="center"/>
          </w:tcPr>
          <w:p w14:paraId="3C9DE745" w14:textId="77777777" w:rsidR="00B92C4A" w:rsidRPr="006912F6" w:rsidRDefault="00B92C4A" w:rsidP="00B92C4A">
            <w:pPr>
              <w:pStyle w:val="ab"/>
              <w:spacing w:before="0" w:beforeAutospacing="0" w:after="0" w:afterAutospacing="0"/>
              <w:jc w:val="both"/>
              <w:rPr>
                <w:sz w:val="20"/>
                <w:szCs w:val="18"/>
              </w:rPr>
            </w:pPr>
          </w:p>
        </w:tc>
        <w:tc>
          <w:tcPr>
            <w:tcW w:w="7655" w:type="dxa"/>
            <w:vAlign w:val="center"/>
          </w:tcPr>
          <w:p w14:paraId="10BE0B0D" w14:textId="2382032D" w:rsidR="00B92C4A" w:rsidRPr="006912F6" w:rsidRDefault="00181232" w:rsidP="00B92C4A">
            <w:pPr>
              <w:jc w:val="both"/>
              <w:rPr>
                <w:rFonts w:cs="Times New Roman"/>
                <w:i/>
                <w:iCs/>
                <w:sz w:val="20"/>
                <w:szCs w:val="18"/>
              </w:rPr>
            </w:pPr>
            <m:oMathPara>
              <m:oMath>
                <m:r>
                  <w:rPr>
                    <w:rFonts w:ascii="Cambria Math" w:hAnsi="Cambria Math" w:cs="Times New Roman"/>
                    <w:sz w:val="20"/>
                    <w:szCs w:val="18"/>
                  </w:rPr>
                  <m:t>I=</m:t>
                </m:r>
                <m:sSub>
                  <m:sSubPr>
                    <m:ctrlPr>
                      <w:rPr>
                        <w:rFonts w:ascii="Cambria Math" w:hAnsi="Cambria Math" w:cs="Times New Roman"/>
                        <w:i/>
                        <w:iCs/>
                        <w:sz w:val="20"/>
                        <w:szCs w:val="18"/>
                      </w:rPr>
                    </m:ctrlPr>
                  </m:sSubPr>
                  <m:e>
                    <m:r>
                      <w:rPr>
                        <w:rFonts w:ascii="Cambria Math" w:hAnsi="Cambria Math" w:cs="Times New Roman"/>
                        <w:sz w:val="20"/>
                        <w:szCs w:val="18"/>
                      </w:rPr>
                      <m:t>I</m:t>
                    </m:r>
                  </m:e>
                  <m:sub>
                    <m:r>
                      <w:rPr>
                        <w:rFonts w:ascii="Cambria Math" w:hAnsi="Cambria Math" w:cs="Times New Roman"/>
                        <w:sz w:val="20"/>
                        <w:szCs w:val="18"/>
                      </w:rPr>
                      <m:t>m</m:t>
                    </m:r>
                  </m:sub>
                </m:sSub>
                <m:r>
                  <w:rPr>
                    <w:rFonts w:ascii="Cambria Math" w:hAnsi="Cambria Math" w:cs="Times New Roman"/>
                    <w:sz w:val="20"/>
                    <w:szCs w:val="18"/>
                  </w:rPr>
                  <m:t>+</m:t>
                </m:r>
                <m:sSup>
                  <m:sSupPr>
                    <m:ctrlPr>
                      <w:rPr>
                        <w:rFonts w:ascii="Cambria Math" w:hAnsi="Cambria Math" w:cs="Times New Roman"/>
                        <w:i/>
                        <w:iCs/>
                        <w:sz w:val="20"/>
                        <w:szCs w:val="18"/>
                      </w:rPr>
                    </m:ctrlPr>
                  </m:sSupPr>
                  <m:e>
                    <m:r>
                      <w:rPr>
                        <w:rFonts w:ascii="Cambria Math" w:hAnsi="Cambria Math" w:cs="Times New Roman"/>
                        <w:sz w:val="20"/>
                        <w:szCs w:val="18"/>
                      </w:rPr>
                      <m:t>I</m:t>
                    </m:r>
                  </m:e>
                  <m:sup>
                    <m:r>
                      <w:rPr>
                        <w:rFonts w:ascii="Cambria Math" w:hAnsi="Cambria Math" w:cs="Times New Roman"/>
                        <w:sz w:val="20"/>
                        <w:szCs w:val="18"/>
                      </w:rPr>
                      <m:t>'</m:t>
                    </m:r>
                  </m:sup>
                </m:sSup>
                <m:r>
                  <w:rPr>
                    <w:rFonts w:ascii="Cambria Math" w:hAnsi="Cambria Math" w:cs="Times New Roman"/>
                    <w:sz w:val="20"/>
                    <w:szCs w:val="18"/>
                  </w:rPr>
                  <m:t>*</m:t>
                </m:r>
                <m:d>
                  <m:dPr>
                    <m:ctrlPr>
                      <w:rPr>
                        <w:rFonts w:ascii="Cambria Math" w:hAnsi="Cambria Math" w:cs="Times New Roman"/>
                        <w:i/>
                        <w:iCs/>
                        <w:sz w:val="20"/>
                        <w:szCs w:val="18"/>
                      </w:rPr>
                    </m:ctrlPr>
                  </m:dPr>
                  <m:e>
                    <m:r>
                      <w:rPr>
                        <w:rFonts w:ascii="Cambria Math" w:hAnsi="Cambria Math" w:cs="Times New Roman"/>
                        <w:sz w:val="20"/>
                        <w:szCs w:val="18"/>
                      </w:rPr>
                      <m:t>H-</m:t>
                    </m:r>
                    <m:sSub>
                      <m:sSubPr>
                        <m:ctrlPr>
                          <w:rPr>
                            <w:rFonts w:ascii="Cambria Math" w:hAnsi="Cambria Math" w:cs="Times New Roman"/>
                            <w:i/>
                            <w:iCs/>
                            <w:sz w:val="20"/>
                            <w:szCs w:val="18"/>
                          </w:rPr>
                        </m:ctrlPr>
                      </m:sSubPr>
                      <m:e>
                        <m:r>
                          <w:rPr>
                            <w:rFonts w:ascii="Cambria Math" w:hAnsi="Cambria Math" w:cs="Times New Roman"/>
                            <w:sz w:val="20"/>
                            <w:szCs w:val="18"/>
                          </w:rPr>
                          <m:t>H</m:t>
                        </m:r>
                      </m:e>
                      <m:sub>
                        <m:r>
                          <w:rPr>
                            <w:rFonts w:ascii="Cambria Math" w:hAnsi="Cambria Math" w:cs="Times New Roman"/>
                            <w:sz w:val="20"/>
                            <w:szCs w:val="18"/>
                          </w:rPr>
                          <m:t>0</m:t>
                        </m:r>
                      </m:sub>
                    </m:sSub>
                  </m:e>
                </m:d>
              </m:oMath>
            </m:oMathPara>
          </w:p>
        </w:tc>
        <w:tc>
          <w:tcPr>
            <w:tcW w:w="657" w:type="dxa"/>
            <w:vAlign w:val="center"/>
          </w:tcPr>
          <w:p w14:paraId="65BAA20D" w14:textId="2BD0354F" w:rsidR="00B92C4A" w:rsidRPr="006912F6" w:rsidRDefault="00B92C4A" w:rsidP="00B92C4A">
            <w:pPr>
              <w:pStyle w:val="ab"/>
              <w:spacing w:before="0" w:beforeAutospacing="0" w:afterAutospacing="0"/>
              <w:jc w:val="both"/>
              <w:rPr>
                <w:sz w:val="20"/>
                <w:szCs w:val="18"/>
              </w:rPr>
            </w:pPr>
            <w:r w:rsidRPr="006912F6">
              <w:rPr>
                <w:sz w:val="20"/>
                <w:szCs w:val="18"/>
              </w:rPr>
              <w:t>(</w:t>
            </w:r>
            <w:r w:rsidRPr="006912F6">
              <w:rPr>
                <w:sz w:val="20"/>
                <w:szCs w:val="18"/>
              </w:rPr>
              <w:fldChar w:fldCharType="begin"/>
            </w:r>
            <w:r w:rsidRPr="006912F6">
              <w:rPr>
                <w:sz w:val="20"/>
                <w:szCs w:val="18"/>
              </w:rPr>
              <w:instrText xml:space="preserve"> SEQ Eqq \* MERGEFORMAT </w:instrText>
            </w:r>
            <w:r w:rsidRPr="006912F6">
              <w:rPr>
                <w:sz w:val="20"/>
                <w:szCs w:val="18"/>
              </w:rPr>
              <w:fldChar w:fldCharType="separate"/>
            </w:r>
            <w:r w:rsidR="006B580B" w:rsidRPr="006912F6">
              <w:rPr>
                <w:noProof/>
                <w:sz w:val="20"/>
                <w:szCs w:val="18"/>
              </w:rPr>
              <w:t>2</w:t>
            </w:r>
            <w:r w:rsidRPr="006912F6">
              <w:rPr>
                <w:sz w:val="20"/>
                <w:szCs w:val="18"/>
              </w:rPr>
              <w:fldChar w:fldCharType="end"/>
            </w:r>
            <w:r w:rsidRPr="006912F6">
              <w:rPr>
                <w:sz w:val="20"/>
                <w:szCs w:val="18"/>
              </w:rPr>
              <w:t>)</w:t>
            </w:r>
          </w:p>
        </w:tc>
      </w:tr>
    </w:tbl>
    <w:p w14:paraId="29D68983" w14:textId="03EA4A24" w:rsidR="00B92C4A" w:rsidRPr="006912F6" w:rsidRDefault="00B92C4A" w:rsidP="00B92C4A">
      <w:pPr>
        <w:jc w:val="both"/>
        <w:rPr>
          <w:rFonts w:cs="Times New Roman"/>
          <w:sz w:val="20"/>
          <w:szCs w:val="18"/>
        </w:rPr>
      </w:pPr>
      <w:r w:rsidRPr="006912F6">
        <w:rPr>
          <w:rFonts w:cs="Times New Roman"/>
          <w:sz w:val="20"/>
          <w:szCs w:val="18"/>
        </w:rPr>
        <w:t xml:space="preserve">Here, </w:t>
      </w:r>
      <m:oMath>
        <m:sSub>
          <m:sSubPr>
            <m:ctrlPr>
              <w:rPr>
                <w:rFonts w:ascii="Cambria Math" w:hAnsi="Cambria Math" w:cs="Times New Roman"/>
                <w:i/>
                <w:sz w:val="20"/>
                <w:szCs w:val="18"/>
              </w:rPr>
            </m:ctrlPr>
          </m:sSubPr>
          <m:e>
            <m:r>
              <w:rPr>
                <w:rFonts w:ascii="Cambria Math" w:hAnsi="Cambria Math" w:cs="Times New Roman"/>
                <w:sz w:val="20"/>
                <w:szCs w:val="18"/>
              </w:rPr>
              <m:t>I</m:t>
            </m:r>
          </m:e>
          <m:sub>
            <m:r>
              <w:rPr>
                <w:rFonts w:ascii="Cambria Math" w:hAnsi="Cambria Math" w:cs="Times New Roman"/>
                <w:sz w:val="20"/>
                <w:szCs w:val="18"/>
              </w:rPr>
              <m:t>m</m:t>
            </m:r>
          </m:sub>
        </m:sSub>
      </m:oMath>
      <w:r w:rsidRPr="006912F6">
        <w:rPr>
          <w:rFonts w:cs="Times New Roman"/>
          <w:sz w:val="20"/>
          <w:szCs w:val="18"/>
        </w:rPr>
        <w:t xml:space="preserve"> is mobilisation cost, </w:t>
      </w:r>
      <m:oMath>
        <m:sSup>
          <m:sSupPr>
            <m:ctrlPr>
              <w:rPr>
                <w:rFonts w:ascii="Cambria Math" w:hAnsi="Cambria Math" w:cs="Times New Roman"/>
                <w:i/>
                <w:sz w:val="20"/>
                <w:szCs w:val="18"/>
              </w:rPr>
            </m:ctrlPr>
          </m:sSupPr>
          <m:e>
            <m:r>
              <w:rPr>
                <w:rFonts w:ascii="Cambria Math" w:hAnsi="Cambria Math" w:cs="Times New Roman"/>
                <w:sz w:val="20"/>
                <w:szCs w:val="18"/>
              </w:rPr>
              <m:t>I</m:t>
            </m:r>
          </m:e>
          <m:sup>
            <m:r>
              <w:rPr>
                <w:rFonts w:ascii="Cambria Math" w:hAnsi="Cambria Math" w:cs="Times New Roman"/>
                <w:sz w:val="20"/>
                <w:szCs w:val="18"/>
              </w:rPr>
              <m:t>'</m:t>
            </m:r>
          </m:sup>
        </m:sSup>
      </m:oMath>
      <w:r w:rsidRPr="006912F6">
        <w:rPr>
          <w:rFonts w:cs="Times New Roman"/>
          <w:sz w:val="20"/>
          <w:szCs w:val="18"/>
        </w:rPr>
        <w:t xml:space="preserve"> is a unit cost per the meter of dike heightening, and </w:t>
      </w:r>
      <m:oMath>
        <m:r>
          <w:rPr>
            <w:rFonts w:ascii="Cambria Math" w:hAnsi="Cambria Math" w:cs="Times New Roman"/>
            <w:sz w:val="20"/>
            <w:szCs w:val="18"/>
          </w:rPr>
          <m:t xml:space="preserve">H, </m:t>
        </m:r>
        <m:sSub>
          <m:sSubPr>
            <m:ctrlPr>
              <w:rPr>
                <w:rFonts w:ascii="Cambria Math" w:hAnsi="Cambria Math" w:cs="Times New Roman"/>
                <w:i/>
                <w:iCs/>
                <w:sz w:val="20"/>
                <w:szCs w:val="18"/>
              </w:rPr>
            </m:ctrlPr>
          </m:sSubPr>
          <m:e>
            <m:r>
              <w:rPr>
                <w:rFonts w:ascii="Cambria Math" w:hAnsi="Cambria Math" w:cs="Times New Roman"/>
                <w:sz w:val="20"/>
                <w:szCs w:val="18"/>
              </w:rPr>
              <m:t>H</m:t>
            </m:r>
          </m:e>
          <m:sub>
            <m:r>
              <w:rPr>
                <w:rFonts w:ascii="Cambria Math" w:hAnsi="Cambria Math" w:cs="Times New Roman"/>
                <w:sz w:val="20"/>
                <w:szCs w:val="18"/>
              </w:rPr>
              <m:t>0</m:t>
            </m:r>
          </m:sub>
        </m:sSub>
      </m:oMath>
      <w:r w:rsidRPr="006912F6">
        <w:rPr>
          <w:rFonts w:cs="Times New Roman"/>
          <w:sz w:val="20"/>
          <w:szCs w:val="18"/>
        </w:rPr>
        <w:t xml:space="preserve"> is the raised level and the initial level of the defence crest, respectively. The lowest crest level of coastal defence is measured at 2.5 mAOD in Lymington. Thus, </w:t>
      </w:r>
      <m:oMath>
        <m:sSub>
          <m:sSubPr>
            <m:ctrlPr>
              <w:rPr>
                <w:rFonts w:ascii="Cambria Math" w:hAnsi="Cambria Math" w:cs="Times New Roman"/>
                <w:i/>
                <w:sz w:val="20"/>
                <w:szCs w:val="18"/>
              </w:rPr>
            </m:ctrlPr>
          </m:sSubPr>
          <m:e>
            <m:r>
              <w:rPr>
                <w:rFonts w:ascii="Cambria Math" w:hAnsi="Cambria Math" w:cs="Times New Roman"/>
                <w:sz w:val="20"/>
                <w:szCs w:val="18"/>
              </w:rPr>
              <m:t>H</m:t>
            </m:r>
          </m:e>
          <m:sub>
            <m:r>
              <w:rPr>
                <w:rFonts w:ascii="Cambria Math" w:hAnsi="Cambria Math" w:cs="Times New Roman"/>
                <w:sz w:val="20"/>
                <w:szCs w:val="18"/>
              </w:rPr>
              <m:t>0</m:t>
            </m:r>
          </m:sub>
        </m:sSub>
      </m:oMath>
      <w:r w:rsidRPr="006912F6">
        <w:rPr>
          <w:rFonts w:cs="Times New Roman"/>
          <w:i/>
          <w:sz w:val="20"/>
          <w:szCs w:val="18"/>
        </w:rPr>
        <w:t xml:space="preserve"> i</w:t>
      </w:r>
      <w:r w:rsidRPr="006912F6">
        <w:rPr>
          <w:rFonts w:cs="Times New Roman"/>
          <w:sz w:val="20"/>
          <w:szCs w:val="18"/>
        </w:rPr>
        <w:t>s set to be 2.5 mAOD in this model. A mobilisation cost (</w:t>
      </w:r>
      <m:oMath>
        <m:sSub>
          <m:sSubPr>
            <m:ctrlPr>
              <w:rPr>
                <w:rFonts w:ascii="Cambria Math" w:hAnsi="Cambria Math" w:cs="Times New Roman"/>
                <w:i/>
                <w:sz w:val="20"/>
                <w:szCs w:val="18"/>
              </w:rPr>
            </m:ctrlPr>
          </m:sSubPr>
          <m:e>
            <m:r>
              <w:rPr>
                <w:rFonts w:ascii="Cambria Math" w:hAnsi="Cambria Math" w:cs="Times New Roman"/>
                <w:sz w:val="20"/>
                <w:szCs w:val="18"/>
              </w:rPr>
              <m:t>I</m:t>
            </m:r>
          </m:e>
          <m:sub>
            <m:r>
              <w:rPr>
                <w:rFonts w:ascii="Cambria Math" w:hAnsi="Cambria Math" w:cs="Times New Roman"/>
                <w:sz w:val="20"/>
                <w:szCs w:val="18"/>
              </w:rPr>
              <m:t>m</m:t>
            </m:r>
          </m:sub>
        </m:sSub>
      </m:oMath>
      <w:r w:rsidRPr="006912F6">
        <w:rPr>
          <w:rFonts w:cs="Times New Roman"/>
          <w:sz w:val="20"/>
          <w:szCs w:val="18"/>
        </w:rPr>
        <w:t xml:space="preserve">) is assumed to be approximately 10% of the total capital cost, following the EA guidance (EA, 2015). As the capital cost is proportional to increase in the height of the coastal defence by the model, the capital cost and total cost for different levels of coastal defence are assessed as shown in Table </w:t>
      </w:r>
      <w:r w:rsidR="00667743" w:rsidRPr="006912F6">
        <w:rPr>
          <w:rFonts w:cs="Times New Roman"/>
          <w:sz w:val="20"/>
          <w:szCs w:val="18"/>
        </w:rPr>
        <w:t>2</w:t>
      </w:r>
      <w:r w:rsidRPr="006912F6">
        <w:rPr>
          <w:rFonts w:cs="Times New Roman"/>
          <w:sz w:val="20"/>
          <w:szCs w:val="18"/>
        </w:rPr>
        <w:t>.2.</w:t>
      </w:r>
    </w:p>
    <w:p w14:paraId="33EC5595" w14:textId="0C9C011C" w:rsidR="00B92C4A" w:rsidRPr="006912F6" w:rsidRDefault="00B92C4A" w:rsidP="00B92C4A">
      <w:pPr>
        <w:jc w:val="both"/>
        <w:rPr>
          <w:rFonts w:cs="Times New Roman"/>
          <w:sz w:val="20"/>
          <w:szCs w:val="18"/>
        </w:rPr>
      </w:pPr>
    </w:p>
    <w:p w14:paraId="57E349B1" w14:textId="458EDFD2" w:rsidR="00B92C4A" w:rsidRPr="006912F6" w:rsidRDefault="00B92C4A" w:rsidP="00B92C4A">
      <w:pPr>
        <w:jc w:val="both"/>
        <w:rPr>
          <w:rFonts w:cs="Times New Roman"/>
          <w:sz w:val="20"/>
          <w:szCs w:val="18"/>
        </w:rPr>
      </w:pPr>
    </w:p>
    <w:p w14:paraId="152D50EF" w14:textId="0686ABE8" w:rsidR="00B92C4A" w:rsidRPr="006912F6" w:rsidRDefault="00B92C4A" w:rsidP="00B92C4A">
      <w:pPr>
        <w:jc w:val="both"/>
        <w:rPr>
          <w:rFonts w:cs="Times New Roman"/>
          <w:sz w:val="20"/>
          <w:szCs w:val="18"/>
        </w:rPr>
      </w:pPr>
    </w:p>
    <w:p w14:paraId="777D96E7" w14:textId="281321E4" w:rsidR="00B92C4A" w:rsidRPr="006912F6" w:rsidRDefault="00B92C4A" w:rsidP="00B92C4A">
      <w:pPr>
        <w:jc w:val="both"/>
        <w:rPr>
          <w:rFonts w:cs="Times New Roman"/>
          <w:sz w:val="20"/>
          <w:szCs w:val="18"/>
        </w:rPr>
      </w:pPr>
    </w:p>
    <w:p w14:paraId="0107F8FB" w14:textId="77777777" w:rsidR="00B92C4A" w:rsidRPr="006912F6" w:rsidRDefault="00B92C4A" w:rsidP="00B92C4A">
      <w:pPr>
        <w:jc w:val="both"/>
        <w:rPr>
          <w:rFonts w:cs="Times New Roman"/>
          <w:sz w:val="20"/>
          <w:szCs w:val="18"/>
        </w:rPr>
      </w:pPr>
    </w:p>
    <w:p w14:paraId="26662515" w14:textId="063E3DC4" w:rsidR="00B92C4A" w:rsidRPr="006912F6" w:rsidRDefault="00B92C4A" w:rsidP="00B92C4A">
      <w:pPr>
        <w:pStyle w:val="a4"/>
        <w:jc w:val="left"/>
        <w:rPr>
          <w:rFonts w:cs="Times New Roman"/>
          <w:iCs w:val="0"/>
          <w:color w:val="auto"/>
          <w:sz w:val="20"/>
          <w:szCs w:val="14"/>
        </w:rPr>
      </w:pPr>
      <w:r w:rsidRPr="006912F6">
        <w:rPr>
          <w:rFonts w:cs="Times New Roman"/>
          <w:b/>
          <w:i w:val="0"/>
          <w:color w:val="auto"/>
          <w:sz w:val="20"/>
          <w:szCs w:val="14"/>
        </w:rPr>
        <w:lastRenderedPageBreak/>
        <w:t xml:space="preserve">Table </w:t>
      </w:r>
      <w:r w:rsidR="00667743" w:rsidRPr="006912F6">
        <w:rPr>
          <w:rFonts w:cs="Times New Roman"/>
          <w:b/>
          <w:i w:val="0"/>
          <w:color w:val="auto"/>
          <w:sz w:val="20"/>
          <w:szCs w:val="14"/>
        </w:rPr>
        <w:t>2</w:t>
      </w:r>
      <w:r w:rsidRPr="006912F6">
        <w:rPr>
          <w:rFonts w:cs="Times New Roman"/>
          <w:b/>
          <w:i w:val="0"/>
          <w:color w:val="auto"/>
          <w:sz w:val="20"/>
          <w:szCs w:val="14"/>
        </w:rPr>
        <w:t>.2</w:t>
      </w:r>
      <w:r w:rsidRPr="006912F6">
        <w:rPr>
          <w:rFonts w:cs="Times New Roman"/>
          <w:color w:val="auto"/>
          <w:sz w:val="20"/>
          <w:szCs w:val="14"/>
        </w:rPr>
        <w:t xml:space="preserve"> </w:t>
      </w:r>
      <w:r w:rsidRPr="006912F6">
        <w:rPr>
          <w:rFonts w:cs="Times New Roman"/>
          <w:i w:val="0"/>
          <w:color w:val="auto"/>
          <w:sz w:val="20"/>
          <w:szCs w:val="14"/>
        </w:rPr>
        <w:t>Estimate of indicative costs for the coastal defence upgrade by different sizes of heightening for a single-stage investment option</w:t>
      </w:r>
    </w:p>
    <w:p w14:paraId="37A95CD6" w14:textId="77777777" w:rsidR="00B92C4A" w:rsidRPr="006912F6" w:rsidRDefault="00B92C4A" w:rsidP="00B92C4A">
      <w:pPr>
        <w:spacing w:line="276" w:lineRule="auto"/>
        <w:jc w:val="both"/>
        <w:rPr>
          <w:rFonts w:cs="Times New Roman"/>
          <w:sz w:val="6"/>
        </w:rPr>
      </w:pPr>
    </w:p>
    <w:tbl>
      <w:tblPr>
        <w:tblStyle w:val="TableGrid2"/>
        <w:tblW w:w="0" w:type="auto"/>
        <w:jc w:val="center"/>
        <w:tblLook w:val="04A0" w:firstRow="1" w:lastRow="0" w:firstColumn="1" w:lastColumn="0" w:noHBand="0" w:noVBand="1"/>
      </w:tblPr>
      <w:tblGrid>
        <w:gridCol w:w="1803"/>
        <w:gridCol w:w="1594"/>
        <w:gridCol w:w="2127"/>
        <w:gridCol w:w="1984"/>
        <w:gridCol w:w="1508"/>
      </w:tblGrid>
      <w:tr w:rsidR="006912F6" w:rsidRPr="006912F6" w14:paraId="5D215B22" w14:textId="77777777" w:rsidTr="00B0357E">
        <w:trPr>
          <w:jc w:val="center"/>
        </w:trPr>
        <w:tc>
          <w:tcPr>
            <w:tcW w:w="1803" w:type="dxa"/>
            <w:vAlign w:val="center"/>
          </w:tcPr>
          <w:p w14:paraId="775B5F25" w14:textId="77777777" w:rsidR="00B92C4A" w:rsidRPr="006912F6" w:rsidRDefault="00B92C4A" w:rsidP="000C4BE5">
            <w:pPr>
              <w:spacing w:before="0" w:line="240" w:lineRule="auto"/>
              <w:jc w:val="center"/>
              <w:rPr>
                <w:rFonts w:cs="Times New Roman"/>
                <w:sz w:val="20"/>
                <w:szCs w:val="20"/>
              </w:rPr>
            </w:pPr>
            <w:r w:rsidRPr="006912F6">
              <w:rPr>
                <w:rFonts w:cs="Times New Roman"/>
                <w:sz w:val="20"/>
                <w:szCs w:val="20"/>
              </w:rPr>
              <w:t>Upgrade options</w:t>
            </w:r>
          </w:p>
        </w:tc>
        <w:tc>
          <w:tcPr>
            <w:tcW w:w="1594" w:type="dxa"/>
            <w:vAlign w:val="center"/>
          </w:tcPr>
          <w:p w14:paraId="075E13BE" w14:textId="77777777" w:rsidR="00B92C4A" w:rsidRPr="006912F6" w:rsidRDefault="00B92C4A" w:rsidP="000C4BE5">
            <w:pPr>
              <w:spacing w:before="0" w:line="240" w:lineRule="auto"/>
              <w:jc w:val="center"/>
              <w:rPr>
                <w:rFonts w:cs="Times New Roman"/>
                <w:sz w:val="20"/>
                <w:szCs w:val="20"/>
              </w:rPr>
            </w:pPr>
            <w:r w:rsidRPr="006912F6">
              <w:rPr>
                <w:rFonts w:cs="Times New Roman"/>
                <w:sz w:val="20"/>
                <w:szCs w:val="20"/>
              </w:rPr>
              <w:t>Total costs (</w:t>
            </w:r>
            <w:r w:rsidRPr="006912F6">
              <w:rPr>
                <w:rFonts w:cs="Times New Roman"/>
                <w:i/>
                <w:sz w:val="20"/>
                <w:szCs w:val="20"/>
              </w:rPr>
              <w:t>I</w:t>
            </w:r>
            <w:r w:rsidRPr="006912F6">
              <w:rPr>
                <w:rFonts w:cs="Times New Roman"/>
                <w:sz w:val="20"/>
                <w:szCs w:val="20"/>
              </w:rPr>
              <w:t>)</w:t>
            </w:r>
          </w:p>
        </w:tc>
        <w:tc>
          <w:tcPr>
            <w:tcW w:w="2127" w:type="dxa"/>
            <w:vAlign w:val="center"/>
          </w:tcPr>
          <w:p w14:paraId="3F2818E5" w14:textId="77777777" w:rsidR="00B92C4A" w:rsidRPr="006912F6" w:rsidRDefault="00B92C4A" w:rsidP="000C4BE5">
            <w:pPr>
              <w:spacing w:before="0" w:line="240" w:lineRule="auto"/>
              <w:jc w:val="center"/>
              <w:rPr>
                <w:rFonts w:cs="Times New Roman"/>
                <w:sz w:val="20"/>
                <w:szCs w:val="20"/>
              </w:rPr>
            </w:pPr>
            <w:r w:rsidRPr="006912F6">
              <w:rPr>
                <w:rFonts w:cs="Times New Roman"/>
                <w:sz w:val="20"/>
                <w:szCs w:val="20"/>
              </w:rPr>
              <w:t>Mobilisation costs (</w:t>
            </w:r>
            <w:r w:rsidRPr="006912F6">
              <w:rPr>
                <w:rFonts w:cs="Times New Roman"/>
                <w:i/>
                <w:sz w:val="20"/>
                <w:szCs w:val="20"/>
              </w:rPr>
              <w:t>I</w:t>
            </w:r>
            <w:r w:rsidRPr="006912F6">
              <w:rPr>
                <w:rFonts w:cs="Times New Roman"/>
                <w:i/>
                <w:sz w:val="20"/>
                <w:szCs w:val="20"/>
                <w:vertAlign w:val="subscript"/>
              </w:rPr>
              <w:t>0</w:t>
            </w:r>
            <w:r w:rsidRPr="006912F6">
              <w:rPr>
                <w:rFonts w:cs="Times New Roman"/>
                <w:sz w:val="20"/>
                <w:szCs w:val="20"/>
              </w:rPr>
              <w:t>)</w:t>
            </w:r>
          </w:p>
        </w:tc>
        <w:tc>
          <w:tcPr>
            <w:tcW w:w="1984" w:type="dxa"/>
            <w:vAlign w:val="center"/>
          </w:tcPr>
          <w:p w14:paraId="004FDDDD" w14:textId="77777777" w:rsidR="00B92C4A" w:rsidRPr="006912F6" w:rsidRDefault="00B92C4A" w:rsidP="000C4BE5">
            <w:pPr>
              <w:spacing w:before="0" w:line="240" w:lineRule="auto"/>
              <w:jc w:val="center"/>
              <w:rPr>
                <w:rFonts w:cs="Times New Roman"/>
                <w:sz w:val="20"/>
                <w:szCs w:val="20"/>
              </w:rPr>
            </w:pPr>
            <w:r w:rsidRPr="006912F6">
              <w:rPr>
                <w:rFonts w:cs="Times New Roman"/>
                <w:sz w:val="20"/>
                <w:szCs w:val="20"/>
              </w:rPr>
              <w:t xml:space="preserve">Capital cost </w:t>
            </w:r>
          </w:p>
          <w:p w14:paraId="12FF2481" w14:textId="03023675" w:rsidR="00B92C4A" w:rsidRPr="006912F6" w:rsidRDefault="003C7583" w:rsidP="000C4BE5">
            <w:pPr>
              <w:spacing w:before="0" w:line="240" w:lineRule="auto"/>
              <w:jc w:val="center"/>
              <w:rPr>
                <w:rFonts w:cs="Times New Roman"/>
                <w:i/>
                <w:sz w:val="20"/>
                <w:szCs w:val="20"/>
              </w:rPr>
            </w:pPr>
            <m:oMathPara>
              <m:oMath>
                <m:sSup>
                  <m:sSupPr>
                    <m:ctrlPr>
                      <w:rPr>
                        <w:rFonts w:ascii="Cambria Math" w:hAnsi="Cambria Math" w:cs="Times New Roman"/>
                        <w:i/>
                        <w:sz w:val="20"/>
                        <w:szCs w:val="20"/>
                      </w:rPr>
                    </m:ctrlPr>
                  </m:sSupPr>
                  <m:e>
                    <m:r>
                      <w:rPr>
                        <w:rFonts w:ascii="Cambria Math" w:hAnsi="Cambria Math" w:cs="Times New Roman"/>
                        <w:sz w:val="20"/>
                        <w:szCs w:val="20"/>
                      </w:rPr>
                      <m:t>I</m:t>
                    </m:r>
                  </m:e>
                  <m:sup>
                    <m:r>
                      <w:rPr>
                        <w:rFonts w:ascii="Cambria Math" w:hAnsi="Cambria Math" w:cs="Times New Roman"/>
                        <w:sz w:val="20"/>
                        <w:szCs w:val="20"/>
                      </w:rPr>
                      <m:t>'</m:t>
                    </m:r>
                  </m:sup>
                </m:sSup>
                <m:r>
                  <w:rPr>
                    <w:rFonts w:ascii="Cambria Math" w:hAnsi="Cambria Math" w:cs="Times New Roman"/>
                    <w:sz w:val="20"/>
                    <w:szCs w:val="20"/>
                  </w:rPr>
                  <m:t>*</m:t>
                </m:r>
                <m:d>
                  <m:dPr>
                    <m:ctrlPr>
                      <w:rPr>
                        <w:rFonts w:ascii="Cambria Math" w:hAnsi="Cambria Math" w:cs="Times New Roman"/>
                        <w:i/>
                        <w:sz w:val="20"/>
                        <w:szCs w:val="20"/>
                      </w:rPr>
                    </m:ctrlPr>
                  </m:dPr>
                  <m:e>
                    <m:r>
                      <w:rPr>
                        <w:rFonts w:ascii="Cambria Math" w:hAnsi="Cambria Math" w:cs="Times New Roman"/>
                        <w:sz w:val="20"/>
                        <w:szCs w:val="20"/>
                      </w:rPr>
                      <m:t>H-</m:t>
                    </m:r>
                    <m:sSub>
                      <m:sSubPr>
                        <m:ctrlPr>
                          <w:rPr>
                            <w:rFonts w:ascii="Cambria Math" w:hAnsi="Cambria Math" w:cs="Times New Roman"/>
                            <w:i/>
                            <w:sz w:val="20"/>
                            <w:szCs w:val="20"/>
                          </w:rPr>
                        </m:ctrlPr>
                      </m:sSubPr>
                      <m:e>
                        <m:r>
                          <w:rPr>
                            <w:rFonts w:ascii="Cambria Math" w:hAnsi="Cambria Math" w:cs="Times New Roman"/>
                            <w:sz w:val="20"/>
                            <w:szCs w:val="20"/>
                          </w:rPr>
                          <m:t>H</m:t>
                        </m:r>
                      </m:e>
                      <m:sub>
                        <m:r>
                          <w:rPr>
                            <w:rFonts w:ascii="Cambria Math" w:hAnsi="Cambria Math" w:cs="Times New Roman"/>
                            <w:sz w:val="20"/>
                            <w:szCs w:val="20"/>
                          </w:rPr>
                          <m:t>0</m:t>
                        </m:r>
                      </m:sub>
                    </m:sSub>
                  </m:e>
                </m:d>
              </m:oMath>
            </m:oMathPara>
          </w:p>
        </w:tc>
        <w:tc>
          <w:tcPr>
            <w:tcW w:w="1508" w:type="dxa"/>
            <w:vAlign w:val="center"/>
          </w:tcPr>
          <w:p w14:paraId="61282BB3" w14:textId="77777777" w:rsidR="00B92C4A" w:rsidRPr="006912F6" w:rsidRDefault="00B92C4A" w:rsidP="000C4BE5">
            <w:pPr>
              <w:spacing w:before="0" w:line="240" w:lineRule="auto"/>
              <w:jc w:val="center"/>
              <w:rPr>
                <w:rFonts w:cs="Times New Roman"/>
                <w:sz w:val="20"/>
                <w:szCs w:val="20"/>
              </w:rPr>
            </w:pPr>
            <w:r w:rsidRPr="006912F6">
              <w:rPr>
                <w:rFonts w:cs="Times New Roman"/>
                <w:sz w:val="20"/>
                <w:szCs w:val="20"/>
              </w:rPr>
              <w:t>Remark</w:t>
            </w:r>
          </w:p>
        </w:tc>
      </w:tr>
      <w:tr w:rsidR="006912F6" w:rsidRPr="006912F6" w14:paraId="6BEB5132" w14:textId="77777777" w:rsidTr="00A95F81">
        <w:trPr>
          <w:trHeight w:val="397"/>
          <w:jc w:val="center"/>
        </w:trPr>
        <w:tc>
          <w:tcPr>
            <w:tcW w:w="1803" w:type="dxa"/>
            <w:vAlign w:val="center"/>
          </w:tcPr>
          <w:p w14:paraId="63B202FD" w14:textId="2FE4BE7F" w:rsidR="00862374" w:rsidRPr="006912F6" w:rsidRDefault="003C7583" w:rsidP="00862374">
            <w:pPr>
              <w:spacing w:before="0" w:line="240" w:lineRule="auto"/>
              <w:jc w:val="center"/>
              <w:rPr>
                <w:rFonts w:cs="Times New Roman"/>
                <w:i/>
                <w:iCs/>
                <w:sz w:val="20"/>
              </w:rPr>
            </w:pPr>
            <m:oMathPara>
              <m:oMath>
                <m:sSub>
                  <m:sSubPr>
                    <m:ctrlPr>
                      <w:rPr>
                        <w:rFonts w:ascii="Cambria Math" w:hAnsi="Cambria Math" w:cs="Times New Roman"/>
                        <w:i/>
                        <w:iCs/>
                        <w:sz w:val="20"/>
                      </w:rPr>
                    </m:ctrlPr>
                  </m:sSubPr>
                  <m:e>
                    <m:r>
                      <w:rPr>
                        <w:rFonts w:ascii="Cambria Math" w:hAnsi="Cambria Math" w:cs="Times New Roman"/>
                        <w:sz w:val="20"/>
                      </w:rPr>
                      <m:t>U</m:t>
                    </m:r>
                  </m:e>
                  <m:sub>
                    <m:r>
                      <w:rPr>
                        <w:rFonts w:ascii="Cambria Math" w:hAnsi="Cambria Math" w:cs="Times New Roman"/>
                        <w:sz w:val="20"/>
                      </w:rPr>
                      <m:t>c→3.0m</m:t>
                    </m:r>
                  </m:sub>
                </m:sSub>
              </m:oMath>
            </m:oMathPara>
          </w:p>
        </w:tc>
        <w:tc>
          <w:tcPr>
            <w:tcW w:w="1594" w:type="dxa"/>
            <w:vAlign w:val="center"/>
          </w:tcPr>
          <w:p w14:paraId="3F29835F" w14:textId="1E1B6992" w:rsidR="00862374" w:rsidRPr="006912F6" w:rsidRDefault="00862374" w:rsidP="00862374">
            <w:pPr>
              <w:spacing w:before="0" w:line="240" w:lineRule="auto"/>
              <w:jc w:val="center"/>
              <w:rPr>
                <w:rFonts w:cs="Times New Roman"/>
                <w:sz w:val="20"/>
              </w:rPr>
            </w:pPr>
            <w:r w:rsidRPr="006912F6">
              <w:rPr>
                <w:rFonts w:cs="Times New Roman"/>
                <w:sz w:val="20"/>
              </w:rPr>
              <w:t>£ 32.1 M</w:t>
            </w:r>
          </w:p>
        </w:tc>
        <w:tc>
          <w:tcPr>
            <w:tcW w:w="2127" w:type="dxa"/>
            <w:vAlign w:val="center"/>
          </w:tcPr>
          <w:p w14:paraId="36A196B9" w14:textId="327CBBCD" w:rsidR="00862374" w:rsidRPr="006912F6" w:rsidRDefault="00862374" w:rsidP="00862374">
            <w:pPr>
              <w:spacing w:before="0" w:line="240" w:lineRule="auto"/>
              <w:jc w:val="center"/>
              <w:rPr>
                <w:rFonts w:cs="Times New Roman"/>
                <w:sz w:val="20"/>
              </w:rPr>
            </w:pPr>
            <w:r w:rsidRPr="006912F6">
              <w:rPr>
                <w:rFonts w:cs="Times New Roman"/>
                <w:sz w:val="20"/>
              </w:rPr>
              <w:t>£ 2.9 M</w:t>
            </w:r>
          </w:p>
        </w:tc>
        <w:tc>
          <w:tcPr>
            <w:tcW w:w="1984" w:type="dxa"/>
            <w:vAlign w:val="center"/>
          </w:tcPr>
          <w:p w14:paraId="70200E6C" w14:textId="509E8405" w:rsidR="00862374" w:rsidRPr="006912F6" w:rsidRDefault="00862374" w:rsidP="00862374">
            <w:pPr>
              <w:spacing w:before="0" w:line="240" w:lineRule="auto"/>
              <w:jc w:val="center"/>
              <w:rPr>
                <w:rFonts w:cs="Times New Roman"/>
                <w:sz w:val="20"/>
              </w:rPr>
            </w:pPr>
            <w:r w:rsidRPr="006912F6">
              <w:rPr>
                <w:rFonts w:cs="Times New Roman"/>
                <w:sz w:val="20"/>
              </w:rPr>
              <w:t>£ 29.2 M</w:t>
            </w:r>
          </w:p>
        </w:tc>
        <w:tc>
          <w:tcPr>
            <w:tcW w:w="1508" w:type="dxa"/>
            <w:vMerge w:val="restart"/>
            <w:vAlign w:val="center"/>
          </w:tcPr>
          <w:p w14:paraId="18D62F8F" w14:textId="2DC9F03E" w:rsidR="00862374" w:rsidRPr="006912F6" w:rsidRDefault="00862374" w:rsidP="00862374">
            <w:pPr>
              <w:spacing w:before="0" w:line="240" w:lineRule="auto"/>
              <w:rPr>
                <w:rFonts w:cs="Times New Roman"/>
                <w:sz w:val="18"/>
                <w:szCs w:val="18"/>
              </w:rPr>
            </w:pPr>
            <w:r w:rsidRPr="006912F6">
              <w:rPr>
                <w:rFonts w:cs="Times New Roman"/>
                <w:i/>
                <w:sz w:val="18"/>
                <w:szCs w:val="18"/>
              </w:rPr>
              <w:t>I</w:t>
            </w:r>
            <w:r w:rsidRPr="006912F6">
              <w:rPr>
                <w:rFonts w:cs="Times New Roman"/>
                <w:i/>
                <w:sz w:val="18"/>
                <w:szCs w:val="18"/>
                <w:vertAlign w:val="subscript"/>
              </w:rPr>
              <w:t xml:space="preserve">0 </w:t>
            </w:r>
            <w:r w:rsidRPr="006912F6">
              <w:rPr>
                <w:rFonts w:cs="Times New Roman"/>
                <w:i/>
                <w:sz w:val="18"/>
                <w:szCs w:val="18"/>
              </w:rPr>
              <w:t>= 10% ×</w:t>
            </w:r>
            <w:r w:rsidRPr="006912F6">
              <w:rPr>
                <w:rFonts w:cs="Times New Roman"/>
                <w:i/>
                <w:sz w:val="18"/>
                <w:szCs w:val="18"/>
                <w:vertAlign w:val="subscript"/>
              </w:rPr>
              <w:t xml:space="preserve"> </w:t>
            </w:r>
            <m:oMath>
              <m:r>
                <m:rPr>
                  <m:sty m:val="p"/>
                </m:rPr>
                <w:rPr>
                  <w:rFonts w:ascii="Cambria Math" w:hAnsi="Cambria Math" w:cs="Times New Roman"/>
                  <w:sz w:val="18"/>
                  <w:szCs w:val="18"/>
                </w:rPr>
                <w:br/>
              </m:r>
            </m:oMath>
            <m:oMathPara>
              <m:oMath>
                <m:sSup>
                  <m:sSupPr>
                    <m:ctrlPr>
                      <w:rPr>
                        <w:rFonts w:ascii="Cambria Math" w:hAnsi="Cambria Math" w:cs="Times New Roman"/>
                        <w:i/>
                        <w:sz w:val="18"/>
                        <w:szCs w:val="18"/>
                      </w:rPr>
                    </m:ctrlPr>
                  </m:sSupPr>
                  <m:e>
                    <m:r>
                      <w:rPr>
                        <w:rFonts w:ascii="Cambria Math" w:hAnsi="Cambria Math" w:cs="Times New Roman"/>
                        <w:sz w:val="18"/>
                        <w:szCs w:val="18"/>
                      </w:rPr>
                      <m:t>I</m:t>
                    </m:r>
                  </m:e>
                  <m:sup>
                    <m:r>
                      <w:rPr>
                        <w:rFonts w:ascii="Cambria Math" w:hAnsi="Cambria Math" w:cs="Times New Roman"/>
                        <w:sz w:val="18"/>
                        <w:szCs w:val="18"/>
                      </w:rPr>
                      <m:t>'</m:t>
                    </m:r>
                  </m:sup>
                </m:sSup>
                <m:r>
                  <w:rPr>
                    <w:rFonts w:ascii="Cambria Math" w:hAnsi="Cambria Math" w:cs="Times New Roman"/>
                    <w:sz w:val="18"/>
                    <w:szCs w:val="18"/>
                  </w:rPr>
                  <m:t>*</m:t>
                </m:r>
                <m:d>
                  <m:dPr>
                    <m:ctrlPr>
                      <w:rPr>
                        <w:rFonts w:ascii="Cambria Math" w:hAnsi="Cambria Math" w:cs="Times New Roman"/>
                        <w:i/>
                        <w:sz w:val="18"/>
                        <w:szCs w:val="18"/>
                      </w:rPr>
                    </m:ctrlPr>
                  </m:dPr>
                  <m:e>
                    <m:r>
                      <w:rPr>
                        <w:rFonts w:ascii="Cambria Math" w:hAnsi="Cambria Math" w:cs="Times New Roman"/>
                        <w:sz w:val="18"/>
                        <w:szCs w:val="18"/>
                      </w:rPr>
                      <m:t>H-</m:t>
                    </m:r>
                    <m:sSub>
                      <m:sSubPr>
                        <m:ctrlPr>
                          <w:rPr>
                            <w:rFonts w:ascii="Cambria Math" w:hAnsi="Cambria Math" w:cs="Times New Roman"/>
                            <w:i/>
                            <w:sz w:val="18"/>
                            <w:szCs w:val="18"/>
                          </w:rPr>
                        </m:ctrlPr>
                      </m:sSubPr>
                      <m:e>
                        <m:r>
                          <w:rPr>
                            <w:rFonts w:ascii="Cambria Math" w:hAnsi="Cambria Math" w:cs="Times New Roman"/>
                            <w:sz w:val="18"/>
                            <w:szCs w:val="18"/>
                          </w:rPr>
                          <m:t>H</m:t>
                        </m:r>
                      </m:e>
                      <m:sub>
                        <m:r>
                          <w:rPr>
                            <w:rFonts w:ascii="Cambria Math" w:hAnsi="Cambria Math" w:cs="Times New Roman"/>
                            <w:sz w:val="18"/>
                            <w:szCs w:val="18"/>
                          </w:rPr>
                          <m:t>0</m:t>
                        </m:r>
                      </m:sub>
                    </m:sSub>
                  </m:e>
                </m:d>
              </m:oMath>
            </m:oMathPara>
          </w:p>
        </w:tc>
      </w:tr>
      <w:tr w:rsidR="006912F6" w:rsidRPr="006912F6" w14:paraId="156980D0" w14:textId="77777777" w:rsidTr="000C4BE5">
        <w:trPr>
          <w:trHeight w:val="397"/>
          <w:jc w:val="center"/>
        </w:trPr>
        <w:tc>
          <w:tcPr>
            <w:tcW w:w="1803" w:type="dxa"/>
            <w:vAlign w:val="center"/>
          </w:tcPr>
          <w:p w14:paraId="3D96D99C" w14:textId="63D4E91A" w:rsidR="00862374" w:rsidRPr="006912F6" w:rsidRDefault="003C7583" w:rsidP="00862374">
            <w:pPr>
              <w:spacing w:before="0" w:line="240" w:lineRule="auto"/>
              <w:jc w:val="center"/>
              <w:rPr>
                <w:rFonts w:cs="Times New Roman"/>
                <w:i/>
                <w:iCs/>
                <w:sz w:val="20"/>
              </w:rPr>
            </w:pPr>
            <m:oMathPara>
              <m:oMath>
                <m:sSub>
                  <m:sSubPr>
                    <m:ctrlPr>
                      <w:rPr>
                        <w:rFonts w:ascii="Cambria Math" w:hAnsi="Cambria Math" w:cs="Times New Roman"/>
                        <w:i/>
                        <w:iCs/>
                        <w:sz w:val="20"/>
                      </w:rPr>
                    </m:ctrlPr>
                  </m:sSubPr>
                  <m:e>
                    <m:r>
                      <w:rPr>
                        <w:rFonts w:ascii="Cambria Math" w:hAnsi="Cambria Math" w:cs="Times New Roman"/>
                        <w:sz w:val="20"/>
                      </w:rPr>
                      <m:t>U</m:t>
                    </m:r>
                  </m:e>
                  <m:sub>
                    <m:r>
                      <w:rPr>
                        <w:rFonts w:ascii="Cambria Math" w:hAnsi="Cambria Math" w:cs="Times New Roman"/>
                        <w:sz w:val="20"/>
                      </w:rPr>
                      <m:t>c→3.25m</m:t>
                    </m:r>
                  </m:sub>
                </m:sSub>
              </m:oMath>
            </m:oMathPara>
          </w:p>
        </w:tc>
        <w:tc>
          <w:tcPr>
            <w:tcW w:w="1594" w:type="dxa"/>
            <w:vAlign w:val="center"/>
          </w:tcPr>
          <w:p w14:paraId="5F27059E" w14:textId="78617022" w:rsidR="00862374" w:rsidRPr="006912F6" w:rsidRDefault="00862374" w:rsidP="00862374">
            <w:pPr>
              <w:spacing w:before="0" w:line="240" w:lineRule="auto"/>
              <w:jc w:val="center"/>
              <w:rPr>
                <w:rFonts w:cs="Times New Roman"/>
                <w:sz w:val="20"/>
              </w:rPr>
            </w:pPr>
            <w:r w:rsidRPr="006912F6">
              <w:rPr>
                <w:rFonts w:cs="Times New Roman"/>
                <w:sz w:val="20"/>
              </w:rPr>
              <w:t>£ 48.2 M</w:t>
            </w:r>
          </w:p>
        </w:tc>
        <w:tc>
          <w:tcPr>
            <w:tcW w:w="2127" w:type="dxa"/>
            <w:vAlign w:val="center"/>
          </w:tcPr>
          <w:p w14:paraId="770F7754" w14:textId="7E566E23" w:rsidR="00862374" w:rsidRPr="006912F6" w:rsidRDefault="00862374" w:rsidP="00862374">
            <w:pPr>
              <w:spacing w:before="0" w:line="240" w:lineRule="auto"/>
              <w:jc w:val="center"/>
              <w:rPr>
                <w:rFonts w:cs="Times New Roman"/>
                <w:sz w:val="20"/>
              </w:rPr>
            </w:pPr>
            <w:r w:rsidRPr="006912F6">
              <w:rPr>
                <w:rFonts w:cs="Times New Roman"/>
                <w:sz w:val="20"/>
              </w:rPr>
              <w:t>£ 4.4 M</w:t>
            </w:r>
          </w:p>
        </w:tc>
        <w:tc>
          <w:tcPr>
            <w:tcW w:w="1984" w:type="dxa"/>
            <w:vAlign w:val="center"/>
          </w:tcPr>
          <w:p w14:paraId="2761D82A" w14:textId="40E529AD" w:rsidR="00862374" w:rsidRPr="006912F6" w:rsidRDefault="00862374" w:rsidP="00862374">
            <w:pPr>
              <w:spacing w:before="0" w:line="240" w:lineRule="auto"/>
              <w:jc w:val="center"/>
              <w:rPr>
                <w:rFonts w:cs="Times New Roman"/>
                <w:sz w:val="20"/>
              </w:rPr>
            </w:pPr>
            <w:r w:rsidRPr="006912F6">
              <w:rPr>
                <w:rFonts w:cs="Times New Roman"/>
                <w:sz w:val="20"/>
              </w:rPr>
              <w:t>£ 43.8 M</w:t>
            </w:r>
          </w:p>
        </w:tc>
        <w:tc>
          <w:tcPr>
            <w:tcW w:w="1508" w:type="dxa"/>
            <w:vMerge/>
          </w:tcPr>
          <w:p w14:paraId="6FAE8677" w14:textId="77777777" w:rsidR="00862374" w:rsidRPr="006912F6" w:rsidRDefault="00862374" w:rsidP="00862374">
            <w:pPr>
              <w:spacing w:before="0"/>
              <w:jc w:val="center"/>
              <w:rPr>
                <w:rFonts w:cs="Times New Roman"/>
              </w:rPr>
            </w:pPr>
          </w:p>
        </w:tc>
      </w:tr>
      <w:tr w:rsidR="006912F6" w:rsidRPr="006912F6" w14:paraId="387C4EA4" w14:textId="77777777" w:rsidTr="000C4BE5">
        <w:trPr>
          <w:trHeight w:val="397"/>
          <w:jc w:val="center"/>
        </w:trPr>
        <w:tc>
          <w:tcPr>
            <w:tcW w:w="1803" w:type="dxa"/>
            <w:vAlign w:val="center"/>
          </w:tcPr>
          <w:p w14:paraId="30A3FC70" w14:textId="27A5CD99" w:rsidR="00862374" w:rsidRPr="006912F6" w:rsidRDefault="003C7583" w:rsidP="00862374">
            <w:pPr>
              <w:spacing w:before="0" w:line="240" w:lineRule="auto"/>
              <w:jc w:val="center"/>
              <w:rPr>
                <w:rFonts w:eastAsia="맑은 고딕" w:cs="Times New Roman"/>
                <w:i/>
                <w:iCs/>
                <w:sz w:val="20"/>
              </w:rPr>
            </w:pPr>
            <m:oMathPara>
              <m:oMath>
                <m:sSub>
                  <m:sSubPr>
                    <m:ctrlPr>
                      <w:rPr>
                        <w:rFonts w:ascii="Cambria Math" w:hAnsi="Cambria Math" w:cs="Times New Roman"/>
                        <w:i/>
                        <w:iCs/>
                        <w:sz w:val="20"/>
                      </w:rPr>
                    </m:ctrlPr>
                  </m:sSubPr>
                  <m:e>
                    <m:r>
                      <w:rPr>
                        <w:rFonts w:ascii="Cambria Math" w:hAnsi="Cambria Math" w:cs="Times New Roman"/>
                        <w:sz w:val="20"/>
                      </w:rPr>
                      <m:t>U</m:t>
                    </m:r>
                  </m:e>
                  <m:sub>
                    <m:r>
                      <w:rPr>
                        <w:rFonts w:ascii="Cambria Math" w:hAnsi="Cambria Math" w:cs="Times New Roman"/>
                        <w:sz w:val="20"/>
                      </w:rPr>
                      <m:t>c→3.5m</m:t>
                    </m:r>
                  </m:sub>
                </m:sSub>
              </m:oMath>
            </m:oMathPara>
          </w:p>
        </w:tc>
        <w:tc>
          <w:tcPr>
            <w:tcW w:w="1594" w:type="dxa"/>
            <w:vAlign w:val="center"/>
          </w:tcPr>
          <w:p w14:paraId="1E182D41" w14:textId="2F779C1B" w:rsidR="00862374" w:rsidRPr="006912F6" w:rsidRDefault="00862374" w:rsidP="00862374">
            <w:pPr>
              <w:spacing w:before="0" w:line="240" w:lineRule="auto"/>
              <w:jc w:val="center"/>
              <w:rPr>
                <w:rFonts w:cs="Times New Roman"/>
                <w:sz w:val="20"/>
              </w:rPr>
            </w:pPr>
            <w:r w:rsidRPr="006912F6">
              <w:rPr>
                <w:rFonts w:cs="Times New Roman"/>
                <w:sz w:val="20"/>
              </w:rPr>
              <w:t>£ 64.2 M</w:t>
            </w:r>
          </w:p>
        </w:tc>
        <w:tc>
          <w:tcPr>
            <w:tcW w:w="2127" w:type="dxa"/>
            <w:vAlign w:val="center"/>
          </w:tcPr>
          <w:p w14:paraId="208CE4EA" w14:textId="54CC37D7" w:rsidR="00862374" w:rsidRPr="006912F6" w:rsidRDefault="00862374" w:rsidP="00862374">
            <w:pPr>
              <w:spacing w:before="0" w:line="240" w:lineRule="auto"/>
              <w:jc w:val="center"/>
              <w:rPr>
                <w:rFonts w:cs="Times New Roman"/>
                <w:sz w:val="20"/>
              </w:rPr>
            </w:pPr>
            <w:r w:rsidRPr="006912F6">
              <w:rPr>
                <w:rFonts w:cs="Times New Roman"/>
                <w:sz w:val="20"/>
              </w:rPr>
              <w:t>£ 5.8 M</w:t>
            </w:r>
          </w:p>
        </w:tc>
        <w:tc>
          <w:tcPr>
            <w:tcW w:w="1984" w:type="dxa"/>
            <w:vAlign w:val="center"/>
          </w:tcPr>
          <w:p w14:paraId="5836B7BA" w14:textId="66098541" w:rsidR="00862374" w:rsidRPr="006912F6" w:rsidRDefault="00862374" w:rsidP="00862374">
            <w:pPr>
              <w:spacing w:before="0" w:line="240" w:lineRule="auto"/>
              <w:jc w:val="center"/>
              <w:rPr>
                <w:rFonts w:cs="Times New Roman"/>
                <w:sz w:val="20"/>
              </w:rPr>
            </w:pPr>
            <w:r w:rsidRPr="006912F6">
              <w:rPr>
                <w:rFonts w:cs="Times New Roman"/>
                <w:sz w:val="20"/>
              </w:rPr>
              <w:t>£ 58.4 M</w:t>
            </w:r>
          </w:p>
        </w:tc>
        <w:tc>
          <w:tcPr>
            <w:tcW w:w="1508" w:type="dxa"/>
            <w:vMerge/>
          </w:tcPr>
          <w:p w14:paraId="463348CA" w14:textId="77777777" w:rsidR="00862374" w:rsidRPr="006912F6" w:rsidRDefault="00862374" w:rsidP="00862374">
            <w:pPr>
              <w:spacing w:before="0"/>
              <w:jc w:val="center"/>
              <w:rPr>
                <w:rFonts w:cs="Times New Roman"/>
              </w:rPr>
            </w:pPr>
          </w:p>
        </w:tc>
      </w:tr>
      <w:tr w:rsidR="00862374" w:rsidRPr="006912F6" w14:paraId="66BFC8AD" w14:textId="77777777" w:rsidTr="000C4BE5">
        <w:trPr>
          <w:trHeight w:val="397"/>
          <w:jc w:val="center"/>
        </w:trPr>
        <w:tc>
          <w:tcPr>
            <w:tcW w:w="1803" w:type="dxa"/>
            <w:vAlign w:val="center"/>
          </w:tcPr>
          <w:p w14:paraId="0B7F6F87" w14:textId="5BD17462" w:rsidR="00862374" w:rsidRPr="006912F6" w:rsidRDefault="003C7583" w:rsidP="00862374">
            <w:pPr>
              <w:spacing w:before="0" w:line="240" w:lineRule="auto"/>
              <w:jc w:val="center"/>
              <w:rPr>
                <w:rFonts w:cs="Times New Roman"/>
                <w:i/>
                <w:iCs/>
                <w:sz w:val="20"/>
              </w:rPr>
            </w:pPr>
            <m:oMathPara>
              <m:oMath>
                <m:sSub>
                  <m:sSubPr>
                    <m:ctrlPr>
                      <w:rPr>
                        <w:rFonts w:ascii="Cambria Math" w:hAnsi="Cambria Math" w:cs="Times New Roman"/>
                        <w:i/>
                        <w:iCs/>
                        <w:sz w:val="20"/>
                      </w:rPr>
                    </m:ctrlPr>
                  </m:sSubPr>
                  <m:e>
                    <m:r>
                      <w:rPr>
                        <w:rFonts w:ascii="Cambria Math" w:hAnsi="Cambria Math" w:cs="Times New Roman"/>
                        <w:sz w:val="20"/>
                      </w:rPr>
                      <m:t>U</m:t>
                    </m:r>
                  </m:e>
                  <m:sub>
                    <m:r>
                      <w:rPr>
                        <w:rFonts w:ascii="Cambria Math" w:hAnsi="Cambria Math" w:cs="Times New Roman"/>
                        <w:sz w:val="20"/>
                      </w:rPr>
                      <m:t>c→4.0m</m:t>
                    </m:r>
                  </m:sub>
                </m:sSub>
              </m:oMath>
            </m:oMathPara>
          </w:p>
        </w:tc>
        <w:tc>
          <w:tcPr>
            <w:tcW w:w="1594" w:type="dxa"/>
            <w:vAlign w:val="center"/>
          </w:tcPr>
          <w:p w14:paraId="32E637DB" w14:textId="77777777" w:rsidR="00862374" w:rsidRPr="006912F6" w:rsidRDefault="00862374" w:rsidP="00862374">
            <w:pPr>
              <w:spacing w:before="0" w:line="240" w:lineRule="auto"/>
              <w:jc w:val="center"/>
              <w:rPr>
                <w:rFonts w:cs="Times New Roman"/>
                <w:sz w:val="20"/>
              </w:rPr>
            </w:pPr>
            <w:r w:rsidRPr="006912F6">
              <w:rPr>
                <w:rFonts w:cs="Times New Roman"/>
                <w:sz w:val="20"/>
              </w:rPr>
              <w:t>£ 96.3 M</w:t>
            </w:r>
          </w:p>
        </w:tc>
        <w:tc>
          <w:tcPr>
            <w:tcW w:w="2127" w:type="dxa"/>
            <w:vAlign w:val="center"/>
          </w:tcPr>
          <w:p w14:paraId="44F98DAC" w14:textId="39870826" w:rsidR="00862374" w:rsidRPr="006912F6" w:rsidRDefault="00862374" w:rsidP="00862374">
            <w:pPr>
              <w:spacing w:before="0" w:line="240" w:lineRule="auto"/>
              <w:jc w:val="center"/>
              <w:rPr>
                <w:rFonts w:cs="Times New Roman"/>
                <w:sz w:val="20"/>
              </w:rPr>
            </w:pPr>
            <w:r w:rsidRPr="006912F6">
              <w:rPr>
                <w:rFonts w:cs="Times New Roman"/>
                <w:sz w:val="20"/>
              </w:rPr>
              <w:t>£ 8.7 M</w:t>
            </w:r>
          </w:p>
        </w:tc>
        <w:tc>
          <w:tcPr>
            <w:tcW w:w="1984" w:type="dxa"/>
            <w:vAlign w:val="center"/>
          </w:tcPr>
          <w:p w14:paraId="34BCD368" w14:textId="77777777" w:rsidR="00862374" w:rsidRPr="006912F6" w:rsidRDefault="00862374" w:rsidP="00862374">
            <w:pPr>
              <w:spacing w:before="0" w:line="240" w:lineRule="auto"/>
              <w:jc w:val="center"/>
              <w:rPr>
                <w:rFonts w:cs="Times New Roman"/>
                <w:sz w:val="20"/>
              </w:rPr>
            </w:pPr>
            <w:r w:rsidRPr="006912F6">
              <w:rPr>
                <w:rFonts w:cs="Times New Roman"/>
                <w:sz w:val="20"/>
              </w:rPr>
              <w:t>£ 87.6 M</w:t>
            </w:r>
          </w:p>
        </w:tc>
        <w:tc>
          <w:tcPr>
            <w:tcW w:w="1508" w:type="dxa"/>
            <w:vMerge/>
          </w:tcPr>
          <w:p w14:paraId="4B07010A" w14:textId="77777777" w:rsidR="00862374" w:rsidRPr="006912F6" w:rsidRDefault="00862374" w:rsidP="00862374">
            <w:pPr>
              <w:spacing w:before="0"/>
              <w:jc w:val="center"/>
              <w:rPr>
                <w:rFonts w:cs="Times New Roman"/>
              </w:rPr>
            </w:pPr>
          </w:p>
        </w:tc>
      </w:tr>
    </w:tbl>
    <w:p w14:paraId="66829233" w14:textId="77777777" w:rsidR="00B92C4A" w:rsidRPr="006912F6" w:rsidRDefault="00B92C4A" w:rsidP="00B92C4A">
      <w:pPr>
        <w:tabs>
          <w:tab w:val="left" w:pos="6128"/>
        </w:tabs>
        <w:jc w:val="both"/>
        <w:rPr>
          <w:rFonts w:cs="Times New Roman"/>
          <w:sz w:val="8"/>
        </w:rPr>
      </w:pPr>
    </w:p>
    <w:p w14:paraId="3A2FAA4F" w14:textId="48251B27" w:rsidR="00B92C4A" w:rsidRPr="006912F6" w:rsidRDefault="00B92C4A" w:rsidP="00B0357E">
      <w:pPr>
        <w:tabs>
          <w:tab w:val="left" w:pos="6128"/>
        </w:tabs>
        <w:jc w:val="both"/>
        <w:rPr>
          <w:rFonts w:cs="Times New Roman"/>
          <w:sz w:val="20"/>
          <w:szCs w:val="18"/>
        </w:rPr>
      </w:pPr>
      <w:r w:rsidRPr="006912F6">
        <w:rPr>
          <w:rFonts w:cs="Times New Roman"/>
          <w:sz w:val="20"/>
          <w:szCs w:val="18"/>
        </w:rPr>
        <w:t xml:space="preserve">This </w:t>
      </w:r>
      <w:r w:rsidR="00181232" w:rsidRPr="006912F6">
        <w:rPr>
          <w:rFonts w:cs="Times New Roman"/>
          <w:sz w:val="20"/>
          <w:szCs w:val="18"/>
        </w:rPr>
        <w:t xml:space="preserve">paper </w:t>
      </w:r>
      <w:r w:rsidRPr="006912F6">
        <w:rPr>
          <w:rFonts w:cs="Times New Roman"/>
          <w:sz w:val="20"/>
          <w:szCs w:val="18"/>
        </w:rPr>
        <w:t xml:space="preserve">adds premium values for flexibility </w:t>
      </w:r>
      <w:r w:rsidR="00B0357E" w:rsidRPr="006912F6">
        <w:rPr>
          <w:rFonts w:cs="Times New Roman"/>
          <w:sz w:val="20"/>
          <w:szCs w:val="18"/>
        </w:rPr>
        <w:t>on</w:t>
      </w:r>
      <w:r w:rsidRPr="006912F6">
        <w:rPr>
          <w:rFonts w:cs="Times New Roman"/>
          <w:sz w:val="20"/>
          <w:szCs w:val="18"/>
        </w:rPr>
        <w:t xml:space="preserve"> the estimated indicative cost of the upgraded coastal defence (Table </w:t>
      </w:r>
      <w:r w:rsidR="00667743" w:rsidRPr="006912F6">
        <w:rPr>
          <w:rFonts w:cs="Times New Roman"/>
          <w:sz w:val="20"/>
          <w:szCs w:val="18"/>
        </w:rPr>
        <w:t>2</w:t>
      </w:r>
      <w:r w:rsidRPr="006912F6">
        <w:rPr>
          <w:rFonts w:cs="Times New Roman"/>
          <w:sz w:val="20"/>
          <w:szCs w:val="18"/>
        </w:rPr>
        <w:t>.2) when the single-stage upgrade is transformed into the two- or more- stage upgrade. For example, if the coastal defence is upgraded to 3.5 mAOD level in two stages, this two-stage upgrade incurs premium costs which are calculated by multiplying the premium rates and the original investment cost (e.g. £ 64.2 M). The estimated premium cost is evenly</w:t>
      </w:r>
      <w:r w:rsidR="00B0357E" w:rsidRPr="006912F6">
        <w:rPr>
          <w:rFonts w:cs="Times New Roman"/>
          <w:sz w:val="20"/>
          <w:szCs w:val="18"/>
        </w:rPr>
        <w:t>-</w:t>
      </w:r>
      <w:r w:rsidRPr="006912F6">
        <w:rPr>
          <w:rFonts w:cs="Times New Roman"/>
          <w:sz w:val="20"/>
          <w:szCs w:val="18"/>
        </w:rPr>
        <w:t>distributed to each stage of the investment. This rule applies thoroughly for the evaluation of the premium cost</w:t>
      </w:r>
      <w:r w:rsidR="00181232" w:rsidRPr="006912F6">
        <w:rPr>
          <w:rFonts w:cs="Times New Roman"/>
          <w:sz w:val="20"/>
          <w:szCs w:val="18"/>
        </w:rPr>
        <w:t xml:space="preserve"> – although three-stage adaptations or adaptations of different increment need more complicated process or assumptions to distribute the investment costs to each stage. </w:t>
      </w:r>
      <w:r w:rsidRPr="006912F6">
        <w:rPr>
          <w:rFonts w:cs="Times New Roman"/>
          <w:sz w:val="20"/>
          <w:szCs w:val="18"/>
        </w:rPr>
        <w:t>The estimated investment cost</w:t>
      </w:r>
      <w:r w:rsidR="00B0357E" w:rsidRPr="006912F6">
        <w:rPr>
          <w:rFonts w:cs="Times New Roman"/>
          <w:sz w:val="20"/>
          <w:szCs w:val="18"/>
        </w:rPr>
        <w:t>s</w:t>
      </w:r>
      <w:r w:rsidRPr="006912F6">
        <w:rPr>
          <w:rFonts w:cs="Times New Roman"/>
          <w:sz w:val="20"/>
          <w:szCs w:val="18"/>
        </w:rPr>
        <w:t xml:space="preserve"> of each stage for different premium scenarios</w:t>
      </w:r>
      <w:r w:rsidR="00B0357E" w:rsidRPr="006912F6">
        <w:rPr>
          <w:rFonts w:cs="Times New Roman"/>
          <w:sz w:val="20"/>
          <w:szCs w:val="18"/>
        </w:rPr>
        <w:t xml:space="preserve"> (e.g. 20%, 30%, 40% and 50%)</w:t>
      </w:r>
      <w:r w:rsidRPr="006912F6">
        <w:rPr>
          <w:rFonts w:cs="Times New Roman"/>
          <w:sz w:val="20"/>
          <w:szCs w:val="18"/>
        </w:rPr>
        <w:t xml:space="preserve"> are shown for 3.5 mAOD and 4.0 mAOD level defence upgrade in Table </w:t>
      </w:r>
      <w:r w:rsidR="00667743" w:rsidRPr="006912F6">
        <w:rPr>
          <w:rFonts w:cs="Times New Roman"/>
          <w:sz w:val="20"/>
          <w:szCs w:val="18"/>
        </w:rPr>
        <w:t>2</w:t>
      </w:r>
      <w:r w:rsidRPr="006912F6">
        <w:rPr>
          <w:rFonts w:cs="Times New Roman"/>
          <w:sz w:val="20"/>
          <w:szCs w:val="18"/>
        </w:rPr>
        <w:t xml:space="preserve">.3 and </w:t>
      </w:r>
      <w:r w:rsidR="00667743" w:rsidRPr="006912F6">
        <w:rPr>
          <w:rFonts w:cs="Times New Roman"/>
          <w:sz w:val="20"/>
          <w:szCs w:val="18"/>
        </w:rPr>
        <w:t>2</w:t>
      </w:r>
      <w:r w:rsidRPr="006912F6">
        <w:rPr>
          <w:rFonts w:cs="Times New Roman"/>
          <w:sz w:val="20"/>
          <w:szCs w:val="18"/>
        </w:rPr>
        <w:t xml:space="preserve">.4. </w:t>
      </w:r>
    </w:p>
    <w:p w14:paraId="2C061FD2" w14:textId="77777777" w:rsidR="00B92C4A" w:rsidRPr="006912F6" w:rsidRDefault="00B92C4A" w:rsidP="00B92C4A">
      <w:pPr>
        <w:pStyle w:val="a4"/>
        <w:jc w:val="left"/>
        <w:rPr>
          <w:rFonts w:cs="Times New Roman"/>
          <w:b/>
          <w:i w:val="0"/>
          <w:color w:val="auto"/>
          <w:sz w:val="20"/>
          <w:szCs w:val="14"/>
        </w:rPr>
      </w:pPr>
    </w:p>
    <w:p w14:paraId="51A5753C" w14:textId="661C3C22" w:rsidR="00B92C4A" w:rsidRPr="006912F6" w:rsidRDefault="00B92C4A" w:rsidP="00B0357E">
      <w:pPr>
        <w:pStyle w:val="a4"/>
        <w:spacing w:line="480" w:lineRule="auto"/>
        <w:jc w:val="both"/>
        <w:rPr>
          <w:rFonts w:cs="Times New Roman"/>
          <w:i w:val="0"/>
          <w:color w:val="auto"/>
          <w:sz w:val="20"/>
          <w:szCs w:val="14"/>
        </w:rPr>
      </w:pPr>
      <w:r w:rsidRPr="006912F6">
        <w:rPr>
          <w:rFonts w:cs="Times New Roman"/>
          <w:b/>
          <w:i w:val="0"/>
          <w:color w:val="auto"/>
          <w:sz w:val="20"/>
          <w:szCs w:val="14"/>
        </w:rPr>
        <w:t xml:space="preserve">Table </w:t>
      </w:r>
      <w:r w:rsidR="00667743" w:rsidRPr="006912F6">
        <w:rPr>
          <w:rFonts w:cs="Times New Roman"/>
          <w:b/>
          <w:i w:val="0"/>
          <w:color w:val="auto"/>
          <w:sz w:val="20"/>
          <w:szCs w:val="14"/>
        </w:rPr>
        <w:t>2</w:t>
      </w:r>
      <w:r w:rsidRPr="006912F6">
        <w:rPr>
          <w:rFonts w:cs="Times New Roman"/>
          <w:b/>
          <w:i w:val="0"/>
          <w:color w:val="auto"/>
          <w:sz w:val="20"/>
          <w:szCs w:val="14"/>
        </w:rPr>
        <w:t>.3</w:t>
      </w:r>
      <w:r w:rsidRPr="006912F6">
        <w:rPr>
          <w:rFonts w:cs="Times New Roman"/>
          <w:color w:val="auto"/>
          <w:sz w:val="20"/>
          <w:szCs w:val="14"/>
        </w:rPr>
        <w:t xml:space="preserve"> </w:t>
      </w:r>
      <w:r w:rsidRPr="006912F6">
        <w:rPr>
          <w:rFonts w:cs="Times New Roman"/>
          <w:i w:val="0"/>
          <w:color w:val="auto"/>
          <w:sz w:val="20"/>
          <w:szCs w:val="14"/>
        </w:rPr>
        <w:t xml:space="preserve">Indicative costs for the upgrade of coastal defence up to 3.5 mAOD by different premium scenarios </w:t>
      </w:r>
    </w:p>
    <w:p w14:paraId="538F6526" w14:textId="2DD63A75" w:rsidR="00B92C4A" w:rsidRPr="006912F6" w:rsidRDefault="003C7583" w:rsidP="00B92C4A">
      <w:pPr>
        <w:numPr>
          <w:ilvl w:val="0"/>
          <w:numId w:val="28"/>
        </w:numPr>
        <w:spacing w:before="0" w:after="160"/>
        <w:contextualSpacing/>
        <w:jc w:val="both"/>
        <w:rPr>
          <w:rFonts w:cs="Times New Roman"/>
          <w:i/>
          <w:sz w:val="22"/>
          <w:szCs w:val="20"/>
        </w:rPr>
      </w:pPr>
      <m:oMath>
        <m:sSub>
          <m:sSubPr>
            <m:ctrlPr>
              <w:rPr>
                <w:rFonts w:ascii="Cambria Math" w:hAnsi="Cambria Math" w:cs="Times New Roman"/>
                <w:i/>
                <w:sz w:val="22"/>
                <w:szCs w:val="20"/>
              </w:rPr>
            </m:ctrlPr>
          </m:sSubPr>
          <m:e>
            <m:r>
              <w:rPr>
                <w:rFonts w:ascii="Cambria Math" w:hAnsi="Cambria Math" w:cs="Times New Roman"/>
                <w:sz w:val="22"/>
                <w:szCs w:val="20"/>
              </w:rPr>
              <m:t>U</m:t>
            </m:r>
          </m:e>
          <m:sub>
            <m:r>
              <w:rPr>
                <w:rFonts w:ascii="Cambria Math" w:hAnsi="Cambria Math" w:cs="Times New Roman"/>
                <w:sz w:val="22"/>
                <w:szCs w:val="20"/>
              </w:rPr>
              <m:t>c→3.0m</m:t>
            </m:r>
          </m:sub>
        </m:sSub>
        <m:r>
          <w:rPr>
            <w:rFonts w:ascii="Cambria Math" w:hAnsi="Cambria Math" w:cs="Times New Roman"/>
            <w:sz w:val="22"/>
            <w:szCs w:val="20"/>
          </w:rPr>
          <m:t>*</m:t>
        </m:r>
        <m:sSub>
          <m:sSubPr>
            <m:ctrlPr>
              <w:rPr>
                <w:rFonts w:ascii="Cambria Math" w:hAnsi="Cambria Math" w:cs="Times New Roman"/>
                <w:i/>
                <w:sz w:val="22"/>
                <w:szCs w:val="20"/>
              </w:rPr>
            </m:ctrlPr>
          </m:sSubPr>
          <m:e>
            <m:r>
              <w:rPr>
                <w:rFonts w:ascii="Cambria Math" w:hAnsi="Cambria Math" w:cs="Times New Roman"/>
                <w:sz w:val="22"/>
                <w:szCs w:val="20"/>
              </w:rPr>
              <m:t>U</m:t>
            </m:r>
          </m:e>
          <m:sub>
            <m:r>
              <w:rPr>
                <w:rFonts w:ascii="Cambria Math" w:hAnsi="Cambria Math" w:cs="Times New Roman"/>
                <w:sz w:val="22"/>
                <w:szCs w:val="20"/>
              </w:rPr>
              <m:t>3.0m→3.5m</m:t>
            </m:r>
          </m:sub>
        </m:sSub>
      </m:oMath>
    </w:p>
    <w:tbl>
      <w:tblPr>
        <w:tblStyle w:val="TableGrid2"/>
        <w:tblW w:w="0" w:type="auto"/>
        <w:tblLook w:val="04A0" w:firstRow="1" w:lastRow="0" w:firstColumn="1" w:lastColumn="0" w:noHBand="0" w:noVBand="1"/>
      </w:tblPr>
      <w:tblGrid>
        <w:gridCol w:w="1274"/>
        <w:gridCol w:w="1131"/>
        <w:gridCol w:w="1129"/>
        <w:gridCol w:w="1348"/>
        <w:gridCol w:w="1348"/>
        <w:gridCol w:w="1348"/>
        <w:gridCol w:w="1348"/>
      </w:tblGrid>
      <w:tr w:rsidR="006912F6" w:rsidRPr="006912F6" w14:paraId="55F18AE4" w14:textId="77777777" w:rsidTr="000C4BE5">
        <w:tc>
          <w:tcPr>
            <w:tcW w:w="1274" w:type="dxa"/>
            <w:vAlign w:val="center"/>
          </w:tcPr>
          <w:p w14:paraId="3F28414A"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Adaptation paths</w:t>
            </w:r>
          </w:p>
        </w:tc>
        <w:tc>
          <w:tcPr>
            <w:tcW w:w="1131" w:type="dxa"/>
            <w:vAlign w:val="center"/>
          </w:tcPr>
          <w:p w14:paraId="065D8F99"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Premium</w:t>
            </w:r>
          </w:p>
          <w:p w14:paraId="4E5AA0A5"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scenarios (1)</w:t>
            </w:r>
          </w:p>
        </w:tc>
        <w:tc>
          <w:tcPr>
            <w:tcW w:w="1129" w:type="dxa"/>
            <w:vAlign w:val="center"/>
          </w:tcPr>
          <w:p w14:paraId="05D1BF66"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Original investment cost (2)</w:t>
            </w:r>
          </w:p>
        </w:tc>
        <w:tc>
          <w:tcPr>
            <w:tcW w:w="1348" w:type="dxa"/>
            <w:vAlign w:val="center"/>
          </w:tcPr>
          <w:p w14:paraId="5AA85D48"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Premium cost</w:t>
            </w:r>
          </w:p>
          <w:p w14:paraId="080F79F6"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(3)=(2)×(1)</w:t>
            </w:r>
          </w:p>
        </w:tc>
        <w:tc>
          <w:tcPr>
            <w:tcW w:w="1348" w:type="dxa"/>
            <w:vAlign w:val="center"/>
          </w:tcPr>
          <w:p w14:paraId="54C68DEF"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 xml:space="preserve">Investment cost </w:t>
            </w:r>
          </w:p>
          <w:p w14:paraId="603FF32C"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(4)=(2)+(3)</w:t>
            </w:r>
          </w:p>
        </w:tc>
        <w:tc>
          <w:tcPr>
            <w:tcW w:w="1348" w:type="dxa"/>
            <w:vAlign w:val="center"/>
          </w:tcPr>
          <w:p w14:paraId="1060C7AA"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 xml:space="preserve">Cost for the 1st upgrade </w:t>
            </w:r>
          </w:p>
          <w:p w14:paraId="6BD86EB7"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(5)=1/2×(4)</w:t>
            </w:r>
          </w:p>
        </w:tc>
        <w:tc>
          <w:tcPr>
            <w:tcW w:w="1348" w:type="dxa"/>
            <w:vAlign w:val="center"/>
          </w:tcPr>
          <w:p w14:paraId="691C57E4"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Cost for the 2nd upgrade</w:t>
            </w:r>
          </w:p>
          <w:p w14:paraId="7F64B7F1"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 xml:space="preserve">(6)=1/2×(4) </w:t>
            </w:r>
          </w:p>
        </w:tc>
      </w:tr>
      <w:tr w:rsidR="006912F6" w:rsidRPr="006912F6" w14:paraId="48F4F70D" w14:textId="77777777" w:rsidTr="000C4BE5">
        <w:trPr>
          <w:trHeight w:val="354"/>
        </w:trPr>
        <w:tc>
          <w:tcPr>
            <w:tcW w:w="1274" w:type="dxa"/>
            <w:vAlign w:val="center"/>
          </w:tcPr>
          <w:p w14:paraId="2E6A2DDD" w14:textId="199C9240" w:rsidR="00B92C4A" w:rsidRPr="006912F6" w:rsidRDefault="003C7583" w:rsidP="000C4BE5">
            <w:pPr>
              <w:spacing w:before="0" w:line="240" w:lineRule="auto"/>
              <w:jc w:val="both"/>
              <w:rPr>
                <w:rFonts w:cs="Times New Roman"/>
                <w:i/>
                <w:iCs/>
                <w:sz w:val="20"/>
              </w:rPr>
            </w:pPr>
            <m:oMathPara>
              <m:oMath>
                <m:sSub>
                  <m:sSubPr>
                    <m:ctrlPr>
                      <w:rPr>
                        <w:rFonts w:ascii="Cambria Math" w:hAnsi="Cambria Math" w:cs="Times New Roman"/>
                        <w:i/>
                        <w:iCs/>
                        <w:sz w:val="20"/>
                      </w:rPr>
                    </m:ctrlPr>
                  </m:sSubPr>
                  <m:e>
                    <m:r>
                      <w:rPr>
                        <w:rFonts w:ascii="Cambria Math" w:hAnsi="Cambria Math" w:cs="Times New Roman"/>
                        <w:sz w:val="20"/>
                      </w:rPr>
                      <m:t>U</m:t>
                    </m:r>
                  </m:e>
                  <m:sub>
                    <m:r>
                      <w:rPr>
                        <w:rFonts w:ascii="Cambria Math" w:hAnsi="Cambria Math" w:cs="Times New Roman"/>
                        <w:sz w:val="20"/>
                      </w:rPr>
                      <m:t>c→3.5m</m:t>
                    </m:r>
                  </m:sub>
                </m:sSub>
              </m:oMath>
            </m:oMathPara>
          </w:p>
        </w:tc>
        <w:tc>
          <w:tcPr>
            <w:tcW w:w="1131" w:type="dxa"/>
            <w:vAlign w:val="center"/>
          </w:tcPr>
          <w:p w14:paraId="3A6E3361" w14:textId="77777777" w:rsidR="00B92C4A" w:rsidRPr="006912F6" w:rsidRDefault="00B92C4A" w:rsidP="000C4BE5">
            <w:pPr>
              <w:spacing w:before="0" w:line="240" w:lineRule="auto"/>
              <w:jc w:val="center"/>
              <w:rPr>
                <w:rFonts w:cs="Times New Roman"/>
                <w:sz w:val="20"/>
              </w:rPr>
            </w:pPr>
            <w:r w:rsidRPr="006912F6">
              <w:rPr>
                <w:rFonts w:cs="Times New Roman"/>
                <w:sz w:val="20"/>
              </w:rPr>
              <w:t>0%</w:t>
            </w:r>
          </w:p>
        </w:tc>
        <w:tc>
          <w:tcPr>
            <w:tcW w:w="1129" w:type="dxa"/>
            <w:vMerge w:val="restart"/>
            <w:vAlign w:val="center"/>
          </w:tcPr>
          <w:p w14:paraId="30B5DDA4" w14:textId="76C35F92" w:rsidR="00B92C4A" w:rsidRPr="006912F6" w:rsidRDefault="00B92C4A" w:rsidP="000C4BE5">
            <w:pPr>
              <w:spacing w:before="0" w:line="240" w:lineRule="auto"/>
              <w:jc w:val="center"/>
              <w:rPr>
                <w:rFonts w:cs="Times New Roman"/>
                <w:sz w:val="20"/>
              </w:rPr>
            </w:pPr>
            <w:r w:rsidRPr="006912F6">
              <w:rPr>
                <w:rFonts w:cs="Times New Roman"/>
                <w:sz w:val="20"/>
              </w:rPr>
              <w:t>£ 64.2</w:t>
            </w:r>
            <w:r w:rsidR="00181232" w:rsidRPr="006912F6">
              <w:rPr>
                <w:rFonts w:cs="Times New Roman"/>
                <w:sz w:val="20"/>
              </w:rPr>
              <w:t>0</w:t>
            </w:r>
            <w:r w:rsidRPr="006912F6">
              <w:rPr>
                <w:rFonts w:cs="Times New Roman"/>
                <w:sz w:val="20"/>
              </w:rPr>
              <w:t xml:space="preserve"> M</w:t>
            </w:r>
          </w:p>
        </w:tc>
        <w:tc>
          <w:tcPr>
            <w:tcW w:w="1348" w:type="dxa"/>
            <w:vAlign w:val="center"/>
          </w:tcPr>
          <w:p w14:paraId="4C04A868" w14:textId="77777777" w:rsidR="00B92C4A" w:rsidRPr="006912F6" w:rsidRDefault="00B92C4A" w:rsidP="000C4BE5">
            <w:pPr>
              <w:spacing w:before="0" w:line="240" w:lineRule="auto"/>
              <w:jc w:val="center"/>
              <w:rPr>
                <w:rFonts w:cs="Times New Roman"/>
                <w:sz w:val="20"/>
              </w:rPr>
            </w:pPr>
            <w:r w:rsidRPr="006912F6">
              <w:rPr>
                <w:rFonts w:cs="Times New Roman"/>
                <w:sz w:val="20"/>
              </w:rPr>
              <w:t>0</w:t>
            </w:r>
          </w:p>
        </w:tc>
        <w:tc>
          <w:tcPr>
            <w:tcW w:w="1348" w:type="dxa"/>
            <w:vAlign w:val="center"/>
          </w:tcPr>
          <w:p w14:paraId="69BD70BA" w14:textId="77777777" w:rsidR="00B92C4A" w:rsidRPr="006912F6" w:rsidRDefault="00B92C4A" w:rsidP="000C4BE5">
            <w:pPr>
              <w:spacing w:before="0" w:line="240" w:lineRule="auto"/>
              <w:jc w:val="center"/>
              <w:rPr>
                <w:rFonts w:cs="Times New Roman"/>
                <w:sz w:val="20"/>
              </w:rPr>
            </w:pPr>
            <w:r w:rsidRPr="006912F6">
              <w:rPr>
                <w:rFonts w:cs="Times New Roman"/>
                <w:sz w:val="20"/>
              </w:rPr>
              <w:t>£ 64.20 M</w:t>
            </w:r>
          </w:p>
        </w:tc>
        <w:tc>
          <w:tcPr>
            <w:tcW w:w="1348" w:type="dxa"/>
            <w:vAlign w:val="center"/>
          </w:tcPr>
          <w:p w14:paraId="239A6C55" w14:textId="77777777" w:rsidR="00B92C4A" w:rsidRPr="006912F6" w:rsidRDefault="00B92C4A" w:rsidP="000C4BE5">
            <w:pPr>
              <w:spacing w:before="0" w:line="240" w:lineRule="auto"/>
              <w:jc w:val="center"/>
              <w:rPr>
                <w:rFonts w:cs="Times New Roman"/>
                <w:sz w:val="20"/>
              </w:rPr>
            </w:pPr>
            <w:r w:rsidRPr="006912F6">
              <w:rPr>
                <w:rFonts w:cs="Times New Roman"/>
                <w:sz w:val="20"/>
              </w:rPr>
              <w:t>-</w:t>
            </w:r>
          </w:p>
        </w:tc>
        <w:tc>
          <w:tcPr>
            <w:tcW w:w="1348" w:type="dxa"/>
            <w:vAlign w:val="center"/>
          </w:tcPr>
          <w:p w14:paraId="763ACDC5" w14:textId="77777777" w:rsidR="00B92C4A" w:rsidRPr="006912F6" w:rsidRDefault="00B92C4A" w:rsidP="000C4BE5">
            <w:pPr>
              <w:spacing w:before="0" w:line="240" w:lineRule="auto"/>
              <w:jc w:val="center"/>
              <w:rPr>
                <w:rFonts w:cs="Times New Roman"/>
                <w:sz w:val="20"/>
              </w:rPr>
            </w:pPr>
            <w:r w:rsidRPr="006912F6">
              <w:rPr>
                <w:rFonts w:cs="Times New Roman"/>
                <w:sz w:val="20"/>
              </w:rPr>
              <w:t>-</w:t>
            </w:r>
          </w:p>
        </w:tc>
      </w:tr>
      <w:tr w:rsidR="006912F6" w:rsidRPr="006912F6" w14:paraId="37FE46F5" w14:textId="77777777" w:rsidTr="000C4BE5">
        <w:trPr>
          <w:trHeight w:val="379"/>
        </w:trPr>
        <w:tc>
          <w:tcPr>
            <w:tcW w:w="1274" w:type="dxa"/>
            <w:vMerge w:val="restart"/>
            <w:vAlign w:val="center"/>
          </w:tcPr>
          <w:p w14:paraId="78B68A8E" w14:textId="7149DD3A" w:rsidR="00B92C4A" w:rsidRPr="006912F6" w:rsidRDefault="003C7583" w:rsidP="000C4BE5">
            <w:pPr>
              <w:spacing w:before="0" w:line="240" w:lineRule="auto"/>
              <w:jc w:val="center"/>
              <w:rPr>
                <w:rFonts w:cs="Times New Roman"/>
                <w:i/>
                <w:iCs/>
                <w:sz w:val="20"/>
              </w:rPr>
            </w:pPr>
            <m:oMath>
              <m:sSub>
                <m:sSubPr>
                  <m:ctrlPr>
                    <w:rPr>
                      <w:rFonts w:ascii="Cambria Math" w:hAnsi="Cambria Math" w:cs="Times New Roman"/>
                      <w:i/>
                      <w:iCs/>
                      <w:sz w:val="20"/>
                    </w:rPr>
                  </m:ctrlPr>
                </m:sSubPr>
                <m:e>
                  <m:r>
                    <w:rPr>
                      <w:rFonts w:ascii="Cambria Math" w:hAnsi="Cambria Math" w:cs="Times New Roman"/>
                      <w:sz w:val="20"/>
                    </w:rPr>
                    <m:t>U</m:t>
                  </m:r>
                </m:e>
                <m:sub>
                  <m:r>
                    <w:rPr>
                      <w:rFonts w:ascii="Cambria Math" w:hAnsi="Cambria Math" w:cs="Times New Roman"/>
                      <w:sz w:val="20"/>
                    </w:rPr>
                    <m:t>c→3.0m</m:t>
                  </m:r>
                </m:sub>
              </m:sSub>
              <m:r>
                <w:rPr>
                  <w:rFonts w:ascii="Cambria Math" w:hAnsi="Cambria Math" w:cs="Times New Roman"/>
                  <w:sz w:val="20"/>
                </w:rPr>
                <m:t>*</m:t>
              </m:r>
            </m:oMath>
            <w:r w:rsidR="00B92C4A" w:rsidRPr="006912F6">
              <w:rPr>
                <w:rFonts w:cs="Times New Roman"/>
                <w:i/>
                <w:iCs/>
                <w:sz w:val="20"/>
              </w:rPr>
              <w:t xml:space="preserve"> </w:t>
            </w:r>
            <m:oMath>
              <m:sSub>
                <m:sSubPr>
                  <m:ctrlPr>
                    <w:rPr>
                      <w:rFonts w:ascii="Cambria Math" w:hAnsi="Cambria Math" w:cs="Times New Roman"/>
                      <w:i/>
                      <w:iCs/>
                      <w:sz w:val="20"/>
                    </w:rPr>
                  </m:ctrlPr>
                </m:sSubPr>
                <m:e>
                  <m:r>
                    <w:rPr>
                      <w:rFonts w:ascii="Cambria Math" w:hAnsi="Cambria Math" w:cs="Times New Roman"/>
                      <w:sz w:val="20"/>
                    </w:rPr>
                    <m:t>U</m:t>
                  </m:r>
                </m:e>
                <m:sub>
                  <m:r>
                    <w:rPr>
                      <w:rFonts w:ascii="Cambria Math" w:hAnsi="Cambria Math" w:cs="Times New Roman"/>
                      <w:sz w:val="20"/>
                    </w:rPr>
                    <m:t>3.0m→3.5m</m:t>
                  </m:r>
                </m:sub>
              </m:sSub>
            </m:oMath>
            <w:r w:rsidR="00B92C4A" w:rsidRPr="006912F6">
              <w:rPr>
                <w:rFonts w:cs="Times New Roman"/>
                <w:i/>
                <w:iCs/>
                <w:sz w:val="20"/>
              </w:rPr>
              <w:t xml:space="preserve"> </w:t>
            </w:r>
            <w:r w:rsidR="00B92C4A" w:rsidRPr="006912F6">
              <w:rPr>
                <w:rFonts w:cs="Times New Roman"/>
                <w:i/>
                <w:iCs/>
                <w:vanish/>
                <w:sz w:val="20"/>
              </w:rPr>
              <w:t xml:space="preserve">*he number of stepnt pgrade w for the two-stage upgrade mes </w:t>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r w:rsidR="00B92C4A" w:rsidRPr="006912F6">
              <w:rPr>
                <w:rFonts w:cs="Times New Roman"/>
                <w:i/>
                <w:iCs/>
                <w:vanish/>
                <w:sz w:val="20"/>
              </w:rPr>
              <w:pgNum/>
            </w:r>
          </w:p>
        </w:tc>
        <w:tc>
          <w:tcPr>
            <w:tcW w:w="1131" w:type="dxa"/>
            <w:vAlign w:val="center"/>
          </w:tcPr>
          <w:p w14:paraId="0DEE6BD1" w14:textId="77777777" w:rsidR="00B92C4A" w:rsidRPr="006912F6" w:rsidRDefault="00B92C4A" w:rsidP="000C4BE5">
            <w:pPr>
              <w:spacing w:before="0" w:line="240" w:lineRule="auto"/>
              <w:jc w:val="center"/>
              <w:rPr>
                <w:rFonts w:cs="Times New Roman"/>
                <w:sz w:val="20"/>
              </w:rPr>
            </w:pPr>
            <w:r w:rsidRPr="006912F6">
              <w:rPr>
                <w:rFonts w:cs="Times New Roman"/>
                <w:sz w:val="20"/>
              </w:rPr>
              <w:t>20%</w:t>
            </w:r>
          </w:p>
        </w:tc>
        <w:tc>
          <w:tcPr>
            <w:tcW w:w="1129" w:type="dxa"/>
            <w:vMerge/>
            <w:vAlign w:val="center"/>
          </w:tcPr>
          <w:p w14:paraId="0EAAD8B7" w14:textId="77777777" w:rsidR="00B92C4A" w:rsidRPr="006912F6" w:rsidRDefault="00B92C4A" w:rsidP="000C4BE5">
            <w:pPr>
              <w:spacing w:before="0" w:line="240" w:lineRule="auto"/>
              <w:jc w:val="both"/>
              <w:rPr>
                <w:rFonts w:cs="Times New Roman"/>
                <w:sz w:val="20"/>
              </w:rPr>
            </w:pPr>
          </w:p>
        </w:tc>
        <w:tc>
          <w:tcPr>
            <w:tcW w:w="1348" w:type="dxa"/>
            <w:vAlign w:val="center"/>
          </w:tcPr>
          <w:p w14:paraId="4B48A944" w14:textId="1EE8B434" w:rsidR="00B92C4A" w:rsidRPr="006912F6" w:rsidRDefault="00B92C4A" w:rsidP="000C4BE5">
            <w:pPr>
              <w:spacing w:before="0" w:line="240" w:lineRule="auto"/>
              <w:jc w:val="center"/>
              <w:rPr>
                <w:rFonts w:cs="Times New Roman"/>
                <w:sz w:val="20"/>
              </w:rPr>
            </w:pPr>
            <w:r w:rsidRPr="006912F6">
              <w:rPr>
                <w:rFonts w:cs="Times New Roman"/>
                <w:sz w:val="20"/>
              </w:rPr>
              <w:t>£ 9.6</w:t>
            </w:r>
            <w:r w:rsidR="00181232" w:rsidRPr="006912F6">
              <w:rPr>
                <w:rFonts w:cs="Times New Roman"/>
                <w:sz w:val="20"/>
              </w:rPr>
              <w:t>0</w:t>
            </w:r>
            <w:r w:rsidRPr="006912F6">
              <w:rPr>
                <w:rFonts w:cs="Times New Roman"/>
                <w:sz w:val="20"/>
              </w:rPr>
              <w:t xml:space="preserve"> M</w:t>
            </w:r>
          </w:p>
        </w:tc>
        <w:tc>
          <w:tcPr>
            <w:tcW w:w="1348" w:type="dxa"/>
            <w:vAlign w:val="center"/>
          </w:tcPr>
          <w:p w14:paraId="3D9265CD" w14:textId="77777777" w:rsidR="00B92C4A" w:rsidRPr="006912F6" w:rsidRDefault="00B92C4A" w:rsidP="000C4BE5">
            <w:pPr>
              <w:spacing w:before="0" w:line="240" w:lineRule="auto"/>
              <w:jc w:val="center"/>
              <w:rPr>
                <w:rFonts w:cs="Times New Roman"/>
                <w:sz w:val="20"/>
              </w:rPr>
            </w:pPr>
            <w:r w:rsidRPr="006912F6">
              <w:rPr>
                <w:rFonts w:cs="Times New Roman"/>
                <w:sz w:val="20"/>
              </w:rPr>
              <w:t>£ 77.04 M</w:t>
            </w:r>
          </w:p>
        </w:tc>
        <w:tc>
          <w:tcPr>
            <w:tcW w:w="1348" w:type="dxa"/>
            <w:vAlign w:val="center"/>
          </w:tcPr>
          <w:p w14:paraId="345849FB" w14:textId="77777777" w:rsidR="00B92C4A" w:rsidRPr="006912F6" w:rsidRDefault="00B92C4A" w:rsidP="000C4BE5">
            <w:pPr>
              <w:spacing w:before="0" w:line="240" w:lineRule="auto"/>
              <w:jc w:val="center"/>
              <w:rPr>
                <w:rFonts w:cs="Times New Roman"/>
                <w:bCs/>
                <w:sz w:val="20"/>
              </w:rPr>
            </w:pPr>
            <w:r w:rsidRPr="006912F6">
              <w:rPr>
                <w:rFonts w:cs="Times New Roman"/>
                <w:bCs/>
                <w:sz w:val="20"/>
              </w:rPr>
              <w:t>£ 38.52 M</w:t>
            </w:r>
          </w:p>
        </w:tc>
        <w:tc>
          <w:tcPr>
            <w:tcW w:w="1348" w:type="dxa"/>
            <w:vAlign w:val="center"/>
          </w:tcPr>
          <w:p w14:paraId="3A1AFA3A" w14:textId="77777777" w:rsidR="00B92C4A" w:rsidRPr="006912F6" w:rsidRDefault="00B92C4A" w:rsidP="000C4BE5">
            <w:pPr>
              <w:spacing w:before="0" w:line="240" w:lineRule="auto"/>
              <w:jc w:val="center"/>
              <w:rPr>
                <w:rFonts w:cs="Times New Roman"/>
                <w:bCs/>
                <w:sz w:val="20"/>
              </w:rPr>
            </w:pPr>
            <w:r w:rsidRPr="006912F6">
              <w:rPr>
                <w:rFonts w:cs="Times New Roman"/>
                <w:bCs/>
                <w:sz w:val="20"/>
              </w:rPr>
              <w:t>£ 38.52 M</w:t>
            </w:r>
          </w:p>
        </w:tc>
      </w:tr>
      <w:tr w:rsidR="006912F6" w:rsidRPr="006912F6" w14:paraId="688B205C" w14:textId="77777777" w:rsidTr="000C4BE5">
        <w:trPr>
          <w:trHeight w:val="380"/>
        </w:trPr>
        <w:tc>
          <w:tcPr>
            <w:tcW w:w="1274" w:type="dxa"/>
            <w:vMerge/>
            <w:vAlign w:val="center"/>
          </w:tcPr>
          <w:p w14:paraId="30F4EE36" w14:textId="77777777" w:rsidR="00B92C4A" w:rsidRPr="006912F6" w:rsidRDefault="00B92C4A" w:rsidP="000C4BE5">
            <w:pPr>
              <w:spacing w:before="0" w:line="240" w:lineRule="auto"/>
              <w:jc w:val="both"/>
              <w:rPr>
                <w:rFonts w:cs="Times New Roman"/>
                <w:sz w:val="20"/>
              </w:rPr>
            </w:pPr>
          </w:p>
        </w:tc>
        <w:tc>
          <w:tcPr>
            <w:tcW w:w="1131" w:type="dxa"/>
            <w:vAlign w:val="center"/>
          </w:tcPr>
          <w:p w14:paraId="3F6352DA" w14:textId="77777777" w:rsidR="00B92C4A" w:rsidRPr="006912F6" w:rsidRDefault="00B92C4A" w:rsidP="000C4BE5">
            <w:pPr>
              <w:spacing w:before="0" w:line="240" w:lineRule="auto"/>
              <w:jc w:val="center"/>
              <w:rPr>
                <w:rFonts w:cs="Times New Roman"/>
                <w:sz w:val="20"/>
              </w:rPr>
            </w:pPr>
            <w:r w:rsidRPr="006912F6">
              <w:rPr>
                <w:rFonts w:cs="Times New Roman"/>
                <w:sz w:val="20"/>
              </w:rPr>
              <w:t>30%</w:t>
            </w:r>
          </w:p>
        </w:tc>
        <w:tc>
          <w:tcPr>
            <w:tcW w:w="1129" w:type="dxa"/>
            <w:vMerge/>
            <w:vAlign w:val="center"/>
          </w:tcPr>
          <w:p w14:paraId="606E48BD" w14:textId="77777777" w:rsidR="00B92C4A" w:rsidRPr="006912F6" w:rsidRDefault="00B92C4A" w:rsidP="000C4BE5">
            <w:pPr>
              <w:spacing w:before="0" w:line="240" w:lineRule="auto"/>
              <w:jc w:val="both"/>
              <w:rPr>
                <w:rFonts w:cs="Times New Roman"/>
                <w:sz w:val="20"/>
              </w:rPr>
            </w:pPr>
          </w:p>
        </w:tc>
        <w:tc>
          <w:tcPr>
            <w:tcW w:w="1348" w:type="dxa"/>
            <w:vAlign w:val="center"/>
          </w:tcPr>
          <w:p w14:paraId="01E968CF" w14:textId="77777777" w:rsidR="00B92C4A" w:rsidRPr="006912F6" w:rsidRDefault="00B92C4A" w:rsidP="000C4BE5">
            <w:pPr>
              <w:spacing w:before="0" w:line="240" w:lineRule="auto"/>
              <w:jc w:val="center"/>
              <w:rPr>
                <w:rFonts w:cs="Times New Roman"/>
                <w:sz w:val="20"/>
              </w:rPr>
            </w:pPr>
            <w:r w:rsidRPr="006912F6">
              <w:rPr>
                <w:rFonts w:cs="Times New Roman"/>
                <w:sz w:val="20"/>
              </w:rPr>
              <w:t>£ 14.45 M</w:t>
            </w:r>
          </w:p>
        </w:tc>
        <w:tc>
          <w:tcPr>
            <w:tcW w:w="1348" w:type="dxa"/>
            <w:vAlign w:val="center"/>
          </w:tcPr>
          <w:p w14:paraId="7266811F" w14:textId="77777777" w:rsidR="00B92C4A" w:rsidRPr="006912F6" w:rsidRDefault="00B92C4A" w:rsidP="000C4BE5">
            <w:pPr>
              <w:spacing w:before="0" w:line="240" w:lineRule="auto"/>
              <w:jc w:val="center"/>
              <w:rPr>
                <w:rFonts w:cs="Times New Roman"/>
                <w:sz w:val="20"/>
              </w:rPr>
            </w:pPr>
            <w:r w:rsidRPr="006912F6">
              <w:rPr>
                <w:rFonts w:cs="Times New Roman"/>
                <w:sz w:val="20"/>
              </w:rPr>
              <w:t>£ 83.46 M</w:t>
            </w:r>
          </w:p>
        </w:tc>
        <w:tc>
          <w:tcPr>
            <w:tcW w:w="1348" w:type="dxa"/>
            <w:vAlign w:val="center"/>
          </w:tcPr>
          <w:p w14:paraId="61747DBF" w14:textId="77777777" w:rsidR="00B92C4A" w:rsidRPr="006912F6" w:rsidRDefault="00B92C4A" w:rsidP="000C4BE5">
            <w:pPr>
              <w:spacing w:before="0" w:line="240" w:lineRule="auto"/>
              <w:jc w:val="center"/>
              <w:rPr>
                <w:rFonts w:cs="Times New Roman"/>
                <w:bCs/>
                <w:sz w:val="20"/>
              </w:rPr>
            </w:pPr>
            <w:r w:rsidRPr="006912F6">
              <w:rPr>
                <w:rFonts w:cs="Times New Roman"/>
                <w:bCs/>
                <w:sz w:val="20"/>
              </w:rPr>
              <w:t>£ 41.73 M</w:t>
            </w:r>
          </w:p>
        </w:tc>
        <w:tc>
          <w:tcPr>
            <w:tcW w:w="1348" w:type="dxa"/>
            <w:vAlign w:val="center"/>
          </w:tcPr>
          <w:p w14:paraId="4D08E021" w14:textId="77777777" w:rsidR="00B92C4A" w:rsidRPr="006912F6" w:rsidRDefault="00B92C4A" w:rsidP="000C4BE5">
            <w:pPr>
              <w:spacing w:before="0" w:line="240" w:lineRule="auto"/>
              <w:jc w:val="center"/>
              <w:rPr>
                <w:rFonts w:cs="Times New Roman"/>
                <w:bCs/>
                <w:sz w:val="20"/>
              </w:rPr>
            </w:pPr>
            <w:r w:rsidRPr="006912F6">
              <w:rPr>
                <w:rFonts w:cs="Times New Roman"/>
                <w:bCs/>
                <w:sz w:val="20"/>
              </w:rPr>
              <w:t>£ 41.73 M</w:t>
            </w:r>
          </w:p>
        </w:tc>
      </w:tr>
      <w:tr w:rsidR="006912F6" w:rsidRPr="006912F6" w14:paraId="73BADDAF" w14:textId="77777777" w:rsidTr="000C4BE5">
        <w:trPr>
          <w:trHeight w:val="379"/>
        </w:trPr>
        <w:tc>
          <w:tcPr>
            <w:tcW w:w="1274" w:type="dxa"/>
            <w:vMerge/>
            <w:vAlign w:val="center"/>
          </w:tcPr>
          <w:p w14:paraId="3C65697A" w14:textId="77777777" w:rsidR="00B92C4A" w:rsidRPr="006912F6" w:rsidRDefault="00B92C4A" w:rsidP="000C4BE5">
            <w:pPr>
              <w:spacing w:before="0" w:line="240" w:lineRule="auto"/>
              <w:jc w:val="both"/>
              <w:rPr>
                <w:rFonts w:cs="Times New Roman"/>
                <w:sz w:val="20"/>
              </w:rPr>
            </w:pPr>
          </w:p>
        </w:tc>
        <w:tc>
          <w:tcPr>
            <w:tcW w:w="1131" w:type="dxa"/>
            <w:vAlign w:val="center"/>
          </w:tcPr>
          <w:p w14:paraId="198C310F" w14:textId="77777777" w:rsidR="00B92C4A" w:rsidRPr="006912F6" w:rsidRDefault="00B92C4A" w:rsidP="000C4BE5">
            <w:pPr>
              <w:spacing w:before="0" w:line="240" w:lineRule="auto"/>
              <w:jc w:val="center"/>
              <w:rPr>
                <w:rFonts w:cs="Times New Roman"/>
                <w:sz w:val="20"/>
              </w:rPr>
            </w:pPr>
            <w:r w:rsidRPr="006912F6">
              <w:rPr>
                <w:rFonts w:cs="Times New Roman"/>
                <w:sz w:val="20"/>
              </w:rPr>
              <w:t>40%</w:t>
            </w:r>
          </w:p>
        </w:tc>
        <w:tc>
          <w:tcPr>
            <w:tcW w:w="1129" w:type="dxa"/>
            <w:vMerge/>
            <w:vAlign w:val="center"/>
          </w:tcPr>
          <w:p w14:paraId="3242C7B8" w14:textId="77777777" w:rsidR="00B92C4A" w:rsidRPr="006912F6" w:rsidRDefault="00B92C4A" w:rsidP="000C4BE5">
            <w:pPr>
              <w:spacing w:before="0" w:line="240" w:lineRule="auto"/>
              <w:jc w:val="both"/>
              <w:rPr>
                <w:rFonts w:cs="Times New Roman"/>
                <w:sz w:val="20"/>
              </w:rPr>
            </w:pPr>
          </w:p>
        </w:tc>
        <w:tc>
          <w:tcPr>
            <w:tcW w:w="1348" w:type="dxa"/>
            <w:vAlign w:val="center"/>
          </w:tcPr>
          <w:p w14:paraId="46F4AB52" w14:textId="77777777" w:rsidR="00B92C4A" w:rsidRPr="006912F6" w:rsidRDefault="00B92C4A" w:rsidP="000C4BE5">
            <w:pPr>
              <w:spacing w:before="0" w:line="240" w:lineRule="auto"/>
              <w:jc w:val="center"/>
              <w:rPr>
                <w:rFonts w:cs="Times New Roman"/>
                <w:sz w:val="20"/>
              </w:rPr>
            </w:pPr>
            <w:r w:rsidRPr="006912F6">
              <w:rPr>
                <w:rFonts w:cs="Times New Roman"/>
                <w:sz w:val="20"/>
              </w:rPr>
              <w:t>£ 19.26 M</w:t>
            </w:r>
          </w:p>
        </w:tc>
        <w:tc>
          <w:tcPr>
            <w:tcW w:w="1348" w:type="dxa"/>
            <w:vAlign w:val="center"/>
          </w:tcPr>
          <w:p w14:paraId="335D3B96" w14:textId="77777777" w:rsidR="00B92C4A" w:rsidRPr="006912F6" w:rsidRDefault="00B92C4A" w:rsidP="000C4BE5">
            <w:pPr>
              <w:spacing w:before="0" w:line="240" w:lineRule="auto"/>
              <w:jc w:val="center"/>
              <w:rPr>
                <w:rFonts w:cs="Times New Roman"/>
                <w:sz w:val="20"/>
              </w:rPr>
            </w:pPr>
            <w:r w:rsidRPr="006912F6">
              <w:rPr>
                <w:rFonts w:cs="Times New Roman"/>
                <w:sz w:val="20"/>
              </w:rPr>
              <w:t>£ 89.88 M</w:t>
            </w:r>
          </w:p>
        </w:tc>
        <w:tc>
          <w:tcPr>
            <w:tcW w:w="1348" w:type="dxa"/>
            <w:vAlign w:val="center"/>
          </w:tcPr>
          <w:p w14:paraId="1AC3B852" w14:textId="77777777" w:rsidR="00B92C4A" w:rsidRPr="006912F6" w:rsidRDefault="00B92C4A" w:rsidP="000C4BE5">
            <w:pPr>
              <w:spacing w:before="0" w:line="240" w:lineRule="auto"/>
              <w:jc w:val="center"/>
              <w:rPr>
                <w:rFonts w:cs="Times New Roman"/>
                <w:bCs/>
                <w:sz w:val="20"/>
              </w:rPr>
            </w:pPr>
            <w:r w:rsidRPr="006912F6">
              <w:rPr>
                <w:rFonts w:cs="Times New Roman"/>
                <w:bCs/>
                <w:sz w:val="20"/>
              </w:rPr>
              <w:t>£ 44.94 M</w:t>
            </w:r>
          </w:p>
        </w:tc>
        <w:tc>
          <w:tcPr>
            <w:tcW w:w="1348" w:type="dxa"/>
            <w:vAlign w:val="center"/>
          </w:tcPr>
          <w:p w14:paraId="6182D88F" w14:textId="77777777" w:rsidR="00B92C4A" w:rsidRPr="006912F6" w:rsidRDefault="00B92C4A" w:rsidP="000C4BE5">
            <w:pPr>
              <w:spacing w:before="0" w:line="240" w:lineRule="auto"/>
              <w:jc w:val="center"/>
              <w:rPr>
                <w:rFonts w:cs="Times New Roman"/>
                <w:bCs/>
                <w:sz w:val="20"/>
              </w:rPr>
            </w:pPr>
            <w:r w:rsidRPr="006912F6">
              <w:rPr>
                <w:rFonts w:cs="Times New Roman"/>
                <w:bCs/>
                <w:sz w:val="20"/>
              </w:rPr>
              <w:t>£ 44.94 M</w:t>
            </w:r>
          </w:p>
        </w:tc>
      </w:tr>
      <w:tr w:rsidR="00B92C4A" w:rsidRPr="006912F6" w14:paraId="5F68BBF3" w14:textId="77777777" w:rsidTr="000C4BE5">
        <w:trPr>
          <w:trHeight w:val="380"/>
        </w:trPr>
        <w:tc>
          <w:tcPr>
            <w:tcW w:w="1274" w:type="dxa"/>
            <w:vMerge/>
            <w:vAlign w:val="center"/>
          </w:tcPr>
          <w:p w14:paraId="62D76674" w14:textId="77777777" w:rsidR="00B92C4A" w:rsidRPr="006912F6" w:rsidRDefault="00B92C4A" w:rsidP="000C4BE5">
            <w:pPr>
              <w:spacing w:before="0" w:line="240" w:lineRule="auto"/>
              <w:jc w:val="both"/>
              <w:rPr>
                <w:rFonts w:cs="Times New Roman"/>
                <w:sz w:val="20"/>
              </w:rPr>
            </w:pPr>
          </w:p>
        </w:tc>
        <w:tc>
          <w:tcPr>
            <w:tcW w:w="1131" w:type="dxa"/>
            <w:vAlign w:val="center"/>
          </w:tcPr>
          <w:p w14:paraId="7C824EEC" w14:textId="77777777" w:rsidR="00B92C4A" w:rsidRPr="006912F6" w:rsidRDefault="00B92C4A" w:rsidP="000C4BE5">
            <w:pPr>
              <w:spacing w:before="0" w:line="240" w:lineRule="auto"/>
              <w:jc w:val="center"/>
              <w:rPr>
                <w:rFonts w:cs="Times New Roman"/>
                <w:sz w:val="20"/>
              </w:rPr>
            </w:pPr>
            <w:r w:rsidRPr="006912F6">
              <w:rPr>
                <w:rFonts w:cs="Times New Roman"/>
                <w:sz w:val="20"/>
              </w:rPr>
              <w:t>50%</w:t>
            </w:r>
          </w:p>
        </w:tc>
        <w:tc>
          <w:tcPr>
            <w:tcW w:w="1129" w:type="dxa"/>
            <w:vMerge/>
            <w:vAlign w:val="center"/>
          </w:tcPr>
          <w:p w14:paraId="2E1AAB52" w14:textId="77777777" w:rsidR="00B92C4A" w:rsidRPr="006912F6" w:rsidRDefault="00B92C4A" w:rsidP="000C4BE5">
            <w:pPr>
              <w:spacing w:before="0" w:line="240" w:lineRule="auto"/>
              <w:jc w:val="both"/>
              <w:rPr>
                <w:rFonts w:cs="Times New Roman"/>
                <w:sz w:val="20"/>
              </w:rPr>
            </w:pPr>
          </w:p>
        </w:tc>
        <w:tc>
          <w:tcPr>
            <w:tcW w:w="1348" w:type="dxa"/>
            <w:vAlign w:val="center"/>
          </w:tcPr>
          <w:p w14:paraId="502B3EBB" w14:textId="77777777" w:rsidR="00B92C4A" w:rsidRPr="006912F6" w:rsidRDefault="00B92C4A" w:rsidP="000C4BE5">
            <w:pPr>
              <w:spacing w:before="0" w:line="240" w:lineRule="auto"/>
              <w:jc w:val="center"/>
              <w:rPr>
                <w:rFonts w:cs="Times New Roman"/>
                <w:sz w:val="20"/>
              </w:rPr>
            </w:pPr>
            <w:r w:rsidRPr="006912F6">
              <w:rPr>
                <w:rFonts w:cs="Times New Roman"/>
                <w:sz w:val="20"/>
              </w:rPr>
              <w:t>£ 24.25 M</w:t>
            </w:r>
          </w:p>
        </w:tc>
        <w:tc>
          <w:tcPr>
            <w:tcW w:w="1348" w:type="dxa"/>
            <w:vAlign w:val="center"/>
          </w:tcPr>
          <w:p w14:paraId="261272E3" w14:textId="77777777" w:rsidR="00B92C4A" w:rsidRPr="006912F6" w:rsidRDefault="00B92C4A" w:rsidP="000C4BE5">
            <w:pPr>
              <w:spacing w:before="0" w:line="240" w:lineRule="auto"/>
              <w:jc w:val="center"/>
              <w:rPr>
                <w:rFonts w:cs="Times New Roman"/>
                <w:sz w:val="20"/>
              </w:rPr>
            </w:pPr>
            <w:r w:rsidRPr="006912F6">
              <w:rPr>
                <w:rFonts w:cs="Times New Roman"/>
                <w:sz w:val="20"/>
              </w:rPr>
              <w:t>£ 96.33 M</w:t>
            </w:r>
          </w:p>
        </w:tc>
        <w:tc>
          <w:tcPr>
            <w:tcW w:w="1348" w:type="dxa"/>
            <w:vAlign w:val="center"/>
          </w:tcPr>
          <w:p w14:paraId="2CCE37F9" w14:textId="77777777" w:rsidR="00B92C4A" w:rsidRPr="006912F6" w:rsidRDefault="00B92C4A" w:rsidP="000C4BE5">
            <w:pPr>
              <w:spacing w:before="0" w:line="240" w:lineRule="auto"/>
              <w:jc w:val="center"/>
              <w:rPr>
                <w:rFonts w:cs="Times New Roman"/>
                <w:bCs/>
                <w:sz w:val="20"/>
              </w:rPr>
            </w:pPr>
            <w:r w:rsidRPr="006912F6">
              <w:rPr>
                <w:rFonts w:cs="Times New Roman"/>
                <w:bCs/>
                <w:sz w:val="20"/>
              </w:rPr>
              <w:t>£ 48.16 M</w:t>
            </w:r>
          </w:p>
        </w:tc>
        <w:tc>
          <w:tcPr>
            <w:tcW w:w="1348" w:type="dxa"/>
            <w:vAlign w:val="center"/>
          </w:tcPr>
          <w:p w14:paraId="7E460633" w14:textId="77777777" w:rsidR="00B92C4A" w:rsidRPr="006912F6" w:rsidRDefault="00B92C4A" w:rsidP="000C4BE5">
            <w:pPr>
              <w:spacing w:before="0" w:line="240" w:lineRule="auto"/>
              <w:jc w:val="center"/>
              <w:rPr>
                <w:rFonts w:cs="Times New Roman"/>
                <w:bCs/>
                <w:sz w:val="20"/>
              </w:rPr>
            </w:pPr>
            <w:r w:rsidRPr="006912F6">
              <w:rPr>
                <w:rFonts w:cs="Times New Roman"/>
                <w:bCs/>
                <w:sz w:val="20"/>
              </w:rPr>
              <w:t>£ 48.16 M</w:t>
            </w:r>
          </w:p>
        </w:tc>
      </w:tr>
    </w:tbl>
    <w:p w14:paraId="4FFF48FF" w14:textId="77777777" w:rsidR="00B92C4A" w:rsidRPr="006912F6" w:rsidRDefault="00B92C4A" w:rsidP="00B92C4A">
      <w:pPr>
        <w:jc w:val="both"/>
        <w:rPr>
          <w:rFonts w:cs="Times New Roman"/>
          <w:sz w:val="6"/>
        </w:rPr>
      </w:pPr>
    </w:p>
    <w:p w14:paraId="0FA031CF" w14:textId="77777777" w:rsidR="00B92C4A" w:rsidRPr="006912F6" w:rsidRDefault="00B92C4A" w:rsidP="00B92C4A">
      <w:pPr>
        <w:pStyle w:val="a4"/>
        <w:spacing w:after="240" w:line="276" w:lineRule="auto"/>
        <w:jc w:val="both"/>
        <w:rPr>
          <w:rFonts w:cs="Times New Roman"/>
          <w:b/>
          <w:i w:val="0"/>
          <w:color w:val="auto"/>
        </w:rPr>
      </w:pPr>
    </w:p>
    <w:p w14:paraId="0FA39D81" w14:textId="130E2A63" w:rsidR="00B92C4A" w:rsidRPr="006912F6" w:rsidRDefault="00B92C4A" w:rsidP="00B92C4A">
      <w:pPr>
        <w:pStyle w:val="a4"/>
        <w:jc w:val="left"/>
        <w:rPr>
          <w:rFonts w:cs="Times New Roman"/>
          <w:b/>
          <w:i w:val="0"/>
          <w:color w:val="auto"/>
        </w:rPr>
      </w:pPr>
    </w:p>
    <w:p w14:paraId="217CE585" w14:textId="4F7DD2B7" w:rsidR="00667743" w:rsidRPr="006912F6" w:rsidRDefault="00667743" w:rsidP="00667743"/>
    <w:p w14:paraId="2909A78D" w14:textId="77777777" w:rsidR="00667743" w:rsidRPr="006912F6" w:rsidRDefault="00667743" w:rsidP="00667743"/>
    <w:p w14:paraId="12DE2666" w14:textId="70E4E40A" w:rsidR="00B92C4A" w:rsidRPr="006912F6" w:rsidRDefault="00B92C4A" w:rsidP="00B92C4A">
      <w:pPr>
        <w:pStyle w:val="a4"/>
        <w:spacing w:line="480" w:lineRule="auto"/>
        <w:jc w:val="left"/>
        <w:rPr>
          <w:rFonts w:cs="Times New Roman"/>
          <w:i w:val="0"/>
          <w:color w:val="auto"/>
          <w:sz w:val="20"/>
          <w:szCs w:val="14"/>
        </w:rPr>
      </w:pPr>
      <w:r w:rsidRPr="006912F6">
        <w:rPr>
          <w:rFonts w:cs="Times New Roman"/>
          <w:b/>
          <w:i w:val="0"/>
          <w:color w:val="auto"/>
          <w:sz w:val="20"/>
          <w:szCs w:val="14"/>
        </w:rPr>
        <w:lastRenderedPageBreak/>
        <w:t xml:space="preserve">Table </w:t>
      </w:r>
      <w:r w:rsidR="00667743" w:rsidRPr="006912F6">
        <w:rPr>
          <w:rFonts w:cs="Times New Roman"/>
          <w:b/>
          <w:i w:val="0"/>
          <w:color w:val="auto"/>
          <w:sz w:val="20"/>
          <w:szCs w:val="14"/>
        </w:rPr>
        <w:t>2</w:t>
      </w:r>
      <w:r w:rsidRPr="006912F6">
        <w:rPr>
          <w:rFonts w:cs="Times New Roman"/>
          <w:b/>
          <w:i w:val="0"/>
          <w:color w:val="auto"/>
          <w:sz w:val="20"/>
          <w:szCs w:val="14"/>
        </w:rPr>
        <w:t>.4.</w:t>
      </w:r>
      <w:r w:rsidRPr="006912F6">
        <w:rPr>
          <w:rFonts w:cs="Times New Roman"/>
          <w:color w:val="auto"/>
          <w:sz w:val="20"/>
          <w:szCs w:val="14"/>
        </w:rPr>
        <w:t xml:space="preserve">  </w:t>
      </w:r>
      <w:r w:rsidRPr="006912F6">
        <w:rPr>
          <w:rFonts w:cs="Times New Roman"/>
          <w:i w:val="0"/>
          <w:color w:val="auto"/>
          <w:sz w:val="20"/>
          <w:szCs w:val="14"/>
        </w:rPr>
        <w:t xml:space="preserve">Indicative costs for the upgrade of the coastal defence up to 4.0 mAOD for different premium scenarios   </w:t>
      </w:r>
    </w:p>
    <w:p w14:paraId="6F73C3EF" w14:textId="2837A282" w:rsidR="00B92C4A" w:rsidRPr="006912F6" w:rsidRDefault="003C7583" w:rsidP="00667743">
      <w:pPr>
        <w:pStyle w:val="a7"/>
        <w:numPr>
          <w:ilvl w:val="0"/>
          <w:numId w:val="38"/>
        </w:numPr>
        <w:spacing w:before="0" w:after="240" w:line="480" w:lineRule="auto"/>
        <w:jc w:val="both"/>
        <w:rPr>
          <w:rFonts w:cs="Times New Roman"/>
          <w:i/>
          <w:sz w:val="20"/>
          <w:szCs w:val="18"/>
        </w:rPr>
      </w:pPr>
      <m:oMath>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c→3.0m</m:t>
            </m:r>
          </m:sub>
        </m:sSub>
        <m:r>
          <w:rPr>
            <w:rFonts w:ascii="Cambria Math" w:hAnsi="Cambria Math" w:cs="Times New Roman"/>
            <w:sz w:val="20"/>
            <w:szCs w:val="18"/>
          </w:rPr>
          <m:t>*</m:t>
        </m:r>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3.0m→4.0m</m:t>
            </m:r>
          </m:sub>
        </m:sSub>
      </m:oMath>
    </w:p>
    <w:tbl>
      <w:tblPr>
        <w:tblStyle w:val="TableGrid2"/>
        <w:tblW w:w="0" w:type="auto"/>
        <w:tblLook w:val="04A0" w:firstRow="1" w:lastRow="0" w:firstColumn="1" w:lastColumn="0" w:noHBand="0" w:noVBand="1"/>
      </w:tblPr>
      <w:tblGrid>
        <w:gridCol w:w="1294"/>
        <w:gridCol w:w="1149"/>
        <w:gridCol w:w="1147"/>
        <w:gridCol w:w="1369"/>
        <w:gridCol w:w="1369"/>
        <w:gridCol w:w="1369"/>
        <w:gridCol w:w="1369"/>
      </w:tblGrid>
      <w:tr w:rsidR="006912F6" w:rsidRPr="006912F6" w14:paraId="5D550E1C" w14:textId="77777777" w:rsidTr="00AD3E8A">
        <w:trPr>
          <w:trHeight w:val="436"/>
        </w:trPr>
        <w:tc>
          <w:tcPr>
            <w:tcW w:w="1294" w:type="dxa"/>
            <w:vAlign w:val="center"/>
          </w:tcPr>
          <w:p w14:paraId="4730A075"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Adaptation paths</w:t>
            </w:r>
          </w:p>
        </w:tc>
        <w:tc>
          <w:tcPr>
            <w:tcW w:w="1149" w:type="dxa"/>
            <w:vAlign w:val="center"/>
          </w:tcPr>
          <w:p w14:paraId="2F88936E"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Premium</w:t>
            </w:r>
          </w:p>
          <w:p w14:paraId="492A0133"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 xml:space="preserve">scenarios </w:t>
            </w:r>
          </w:p>
          <w:p w14:paraId="258C9E28" w14:textId="3CCE15E0"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(1)</w:t>
            </w:r>
          </w:p>
        </w:tc>
        <w:tc>
          <w:tcPr>
            <w:tcW w:w="1147" w:type="dxa"/>
            <w:vAlign w:val="center"/>
          </w:tcPr>
          <w:p w14:paraId="1E9C2B0B"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Original investment cost (2)</w:t>
            </w:r>
          </w:p>
        </w:tc>
        <w:tc>
          <w:tcPr>
            <w:tcW w:w="1369" w:type="dxa"/>
            <w:vAlign w:val="center"/>
          </w:tcPr>
          <w:p w14:paraId="682BF58C"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Premium cost</w:t>
            </w:r>
          </w:p>
          <w:p w14:paraId="7977F0AB"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(3)=(2)×(1)</w:t>
            </w:r>
          </w:p>
        </w:tc>
        <w:tc>
          <w:tcPr>
            <w:tcW w:w="1369" w:type="dxa"/>
            <w:vAlign w:val="center"/>
          </w:tcPr>
          <w:p w14:paraId="0958D725"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 xml:space="preserve">Investment cost </w:t>
            </w:r>
          </w:p>
          <w:p w14:paraId="30426635"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(4)=(2)+(3)</w:t>
            </w:r>
          </w:p>
        </w:tc>
        <w:tc>
          <w:tcPr>
            <w:tcW w:w="1369" w:type="dxa"/>
            <w:vAlign w:val="center"/>
          </w:tcPr>
          <w:p w14:paraId="7E57C8D4"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Cost for the 1</w:t>
            </w:r>
            <w:r w:rsidRPr="006912F6">
              <w:rPr>
                <w:rFonts w:cs="Times New Roman"/>
                <w:sz w:val="16"/>
                <w:szCs w:val="18"/>
                <w:vertAlign w:val="superscript"/>
              </w:rPr>
              <w:t>st</w:t>
            </w:r>
            <w:r w:rsidRPr="006912F6">
              <w:rPr>
                <w:rFonts w:cs="Times New Roman"/>
                <w:sz w:val="16"/>
                <w:szCs w:val="18"/>
              </w:rPr>
              <w:t xml:space="preserve"> upgrade </w:t>
            </w:r>
          </w:p>
          <w:p w14:paraId="08C07B75"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(5)=1/2×(4)</w:t>
            </w:r>
          </w:p>
        </w:tc>
        <w:tc>
          <w:tcPr>
            <w:tcW w:w="1369" w:type="dxa"/>
            <w:vAlign w:val="center"/>
          </w:tcPr>
          <w:p w14:paraId="5B4CF684"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Cost for the 2</w:t>
            </w:r>
            <w:r w:rsidRPr="006912F6">
              <w:rPr>
                <w:rFonts w:cs="Times New Roman"/>
                <w:sz w:val="16"/>
                <w:szCs w:val="18"/>
                <w:vertAlign w:val="superscript"/>
              </w:rPr>
              <w:t>nd</w:t>
            </w:r>
            <w:r w:rsidRPr="006912F6">
              <w:rPr>
                <w:rFonts w:cs="Times New Roman"/>
                <w:sz w:val="16"/>
                <w:szCs w:val="18"/>
              </w:rPr>
              <w:t xml:space="preserve"> upgrade</w:t>
            </w:r>
          </w:p>
          <w:p w14:paraId="329A1CF1"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 xml:space="preserve">(6)=1/2×(4) </w:t>
            </w:r>
          </w:p>
        </w:tc>
      </w:tr>
      <w:tr w:rsidR="006912F6" w:rsidRPr="006912F6" w14:paraId="34D91421" w14:textId="77777777" w:rsidTr="00AD3E8A">
        <w:trPr>
          <w:trHeight w:val="297"/>
        </w:trPr>
        <w:tc>
          <w:tcPr>
            <w:tcW w:w="1294" w:type="dxa"/>
            <w:vMerge w:val="restart"/>
            <w:vAlign w:val="center"/>
          </w:tcPr>
          <w:p w14:paraId="48726F40" w14:textId="313A37EB" w:rsidR="00B0357E" w:rsidRPr="006912F6" w:rsidRDefault="003C7583" w:rsidP="000C4BE5">
            <w:pPr>
              <w:spacing w:before="0" w:line="240" w:lineRule="auto"/>
              <w:jc w:val="center"/>
              <w:rPr>
                <w:rFonts w:cs="Times New Roman"/>
                <w:i/>
                <w:sz w:val="20"/>
              </w:rPr>
            </w:pPr>
            <m:oMath>
              <m:sSub>
                <m:sSubPr>
                  <m:ctrlPr>
                    <w:rPr>
                      <w:rFonts w:ascii="Cambria Math" w:hAnsi="Cambria Math" w:cs="Times New Roman"/>
                      <w:i/>
                      <w:sz w:val="20"/>
                    </w:rPr>
                  </m:ctrlPr>
                </m:sSubPr>
                <m:e>
                  <m:r>
                    <w:rPr>
                      <w:rFonts w:ascii="Cambria Math" w:hAnsi="Cambria Math" w:cs="Times New Roman"/>
                      <w:sz w:val="20"/>
                    </w:rPr>
                    <m:t>U</m:t>
                  </m:r>
                </m:e>
                <m:sub>
                  <m:r>
                    <w:rPr>
                      <w:rFonts w:ascii="Cambria Math" w:hAnsi="Cambria Math" w:cs="Times New Roman"/>
                      <w:sz w:val="20"/>
                    </w:rPr>
                    <m:t>c→3.0m</m:t>
                  </m:r>
                </m:sub>
              </m:sSub>
            </m:oMath>
            <w:r w:rsidR="00B0357E" w:rsidRPr="006912F6">
              <w:rPr>
                <w:rFonts w:cs="Times New Roman"/>
                <w:i/>
                <w:sz w:val="20"/>
              </w:rPr>
              <w:t xml:space="preserve">* </w:t>
            </w:r>
            <m:oMath>
              <m:sSub>
                <m:sSubPr>
                  <m:ctrlPr>
                    <w:rPr>
                      <w:rFonts w:ascii="Cambria Math" w:hAnsi="Cambria Math" w:cs="Times New Roman"/>
                      <w:i/>
                      <w:sz w:val="20"/>
                    </w:rPr>
                  </m:ctrlPr>
                </m:sSubPr>
                <m:e>
                  <m:r>
                    <w:rPr>
                      <w:rFonts w:ascii="Cambria Math" w:hAnsi="Cambria Math" w:cs="Times New Roman"/>
                      <w:sz w:val="20"/>
                    </w:rPr>
                    <m:t>U</m:t>
                  </m:r>
                </m:e>
                <m:sub>
                  <m:r>
                    <w:rPr>
                      <w:rFonts w:ascii="Cambria Math" w:hAnsi="Cambria Math" w:cs="Times New Roman"/>
                      <w:sz w:val="20"/>
                    </w:rPr>
                    <m:t>3.0m→4.0m</m:t>
                  </m:r>
                </m:sub>
              </m:sSub>
            </m:oMath>
          </w:p>
        </w:tc>
        <w:tc>
          <w:tcPr>
            <w:tcW w:w="1149" w:type="dxa"/>
            <w:vAlign w:val="center"/>
          </w:tcPr>
          <w:p w14:paraId="6922B733" w14:textId="77777777" w:rsidR="00B0357E" w:rsidRPr="006912F6" w:rsidRDefault="00B0357E" w:rsidP="000C4BE5">
            <w:pPr>
              <w:spacing w:before="0" w:line="240" w:lineRule="auto"/>
              <w:jc w:val="center"/>
              <w:rPr>
                <w:rFonts w:cs="Times New Roman"/>
                <w:sz w:val="20"/>
              </w:rPr>
            </w:pPr>
            <w:r w:rsidRPr="006912F6">
              <w:rPr>
                <w:rFonts w:cs="Times New Roman"/>
                <w:sz w:val="20"/>
              </w:rPr>
              <w:t>20%</w:t>
            </w:r>
          </w:p>
        </w:tc>
        <w:tc>
          <w:tcPr>
            <w:tcW w:w="1147" w:type="dxa"/>
            <w:vMerge w:val="restart"/>
            <w:vAlign w:val="center"/>
          </w:tcPr>
          <w:p w14:paraId="73DB0E45" w14:textId="2330C03A" w:rsidR="00B0357E" w:rsidRPr="006912F6" w:rsidRDefault="00B0357E" w:rsidP="000C4BE5">
            <w:pPr>
              <w:spacing w:before="0" w:line="240" w:lineRule="auto"/>
              <w:jc w:val="both"/>
              <w:rPr>
                <w:rFonts w:cs="Times New Roman"/>
                <w:sz w:val="16"/>
                <w:szCs w:val="18"/>
              </w:rPr>
            </w:pPr>
            <w:r w:rsidRPr="006912F6">
              <w:rPr>
                <w:rFonts w:cs="Times New Roman"/>
                <w:sz w:val="20"/>
              </w:rPr>
              <w:t>£ 96.30 M</w:t>
            </w:r>
          </w:p>
        </w:tc>
        <w:tc>
          <w:tcPr>
            <w:tcW w:w="1369" w:type="dxa"/>
            <w:vAlign w:val="center"/>
          </w:tcPr>
          <w:p w14:paraId="35BF58BD" w14:textId="77777777" w:rsidR="00B0357E" w:rsidRPr="006912F6" w:rsidRDefault="00B0357E" w:rsidP="000C4BE5">
            <w:pPr>
              <w:spacing w:before="0" w:line="240" w:lineRule="auto"/>
              <w:jc w:val="center"/>
              <w:rPr>
                <w:rFonts w:cs="Times New Roman"/>
                <w:sz w:val="20"/>
              </w:rPr>
            </w:pPr>
            <w:r w:rsidRPr="006912F6">
              <w:rPr>
                <w:rFonts w:cs="Times New Roman"/>
                <w:sz w:val="20"/>
              </w:rPr>
              <w:t>£ 19.38 M</w:t>
            </w:r>
          </w:p>
        </w:tc>
        <w:tc>
          <w:tcPr>
            <w:tcW w:w="1369" w:type="dxa"/>
            <w:vAlign w:val="center"/>
          </w:tcPr>
          <w:p w14:paraId="08BC2541" w14:textId="77777777" w:rsidR="00B0357E" w:rsidRPr="006912F6" w:rsidRDefault="00B0357E" w:rsidP="000C4BE5">
            <w:pPr>
              <w:spacing w:before="0" w:line="240" w:lineRule="auto"/>
              <w:jc w:val="center"/>
              <w:rPr>
                <w:rFonts w:cs="Times New Roman"/>
                <w:sz w:val="20"/>
              </w:rPr>
            </w:pPr>
            <w:r w:rsidRPr="006912F6">
              <w:rPr>
                <w:rFonts w:cs="Times New Roman"/>
                <w:sz w:val="20"/>
              </w:rPr>
              <w:t>£ 116.28 M</w:t>
            </w:r>
          </w:p>
        </w:tc>
        <w:tc>
          <w:tcPr>
            <w:tcW w:w="1369" w:type="dxa"/>
            <w:vAlign w:val="center"/>
          </w:tcPr>
          <w:p w14:paraId="34EDD2E1" w14:textId="77777777" w:rsidR="00B0357E" w:rsidRPr="006912F6" w:rsidRDefault="00B0357E" w:rsidP="000C4BE5">
            <w:pPr>
              <w:spacing w:before="0" w:line="240" w:lineRule="auto"/>
              <w:jc w:val="center"/>
              <w:rPr>
                <w:rFonts w:cs="Times New Roman"/>
                <w:sz w:val="20"/>
              </w:rPr>
            </w:pPr>
            <w:r w:rsidRPr="006912F6">
              <w:rPr>
                <w:rFonts w:cs="Times New Roman"/>
                <w:sz w:val="20"/>
              </w:rPr>
              <w:t>£ 58.14 M</w:t>
            </w:r>
          </w:p>
        </w:tc>
        <w:tc>
          <w:tcPr>
            <w:tcW w:w="1369" w:type="dxa"/>
            <w:vAlign w:val="center"/>
          </w:tcPr>
          <w:p w14:paraId="22BFD848" w14:textId="77777777" w:rsidR="00B0357E" w:rsidRPr="006912F6" w:rsidRDefault="00B0357E" w:rsidP="000C4BE5">
            <w:pPr>
              <w:spacing w:before="0" w:line="240" w:lineRule="auto"/>
              <w:jc w:val="center"/>
              <w:rPr>
                <w:rFonts w:cs="Times New Roman"/>
                <w:sz w:val="20"/>
              </w:rPr>
            </w:pPr>
            <w:r w:rsidRPr="006912F6">
              <w:rPr>
                <w:rFonts w:cs="Times New Roman"/>
                <w:sz w:val="20"/>
              </w:rPr>
              <w:t>£ 58.14 M</w:t>
            </w:r>
          </w:p>
        </w:tc>
      </w:tr>
      <w:tr w:rsidR="006912F6" w:rsidRPr="006912F6" w14:paraId="78C14718" w14:textId="77777777" w:rsidTr="00AD3E8A">
        <w:trPr>
          <w:trHeight w:val="298"/>
        </w:trPr>
        <w:tc>
          <w:tcPr>
            <w:tcW w:w="1294" w:type="dxa"/>
            <w:vMerge/>
            <w:vAlign w:val="center"/>
          </w:tcPr>
          <w:p w14:paraId="06E604E4" w14:textId="77777777" w:rsidR="00B0357E" w:rsidRPr="006912F6" w:rsidRDefault="00B0357E" w:rsidP="000C4BE5">
            <w:pPr>
              <w:spacing w:before="0" w:line="240" w:lineRule="auto"/>
              <w:jc w:val="both"/>
              <w:rPr>
                <w:rFonts w:cs="Times New Roman"/>
                <w:sz w:val="16"/>
                <w:szCs w:val="18"/>
              </w:rPr>
            </w:pPr>
          </w:p>
        </w:tc>
        <w:tc>
          <w:tcPr>
            <w:tcW w:w="1149" w:type="dxa"/>
            <w:vAlign w:val="center"/>
          </w:tcPr>
          <w:p w14:paraId="41565C92" w14:textId="77777777" w:rsidR="00B0357E" w:rsidRPr="006912F6" w:rsidRDefault="00B0357E" w:rsidP="000C4BE5">
            <w:pPr>
              <w:spacing w:before="0" w:line="240" w:lineRule="auto"/>
              <w:jc w:val="center"/>
              <w:rPr>
                <w:rFonts w:cs="Times New Roman"/>
                <w:sz w:val="20"/>
              </w:rPr>
            </w:pPr>
            <w:r w:rsidRPr="006912F6">
              <w:rPr>
                <w:rFonts w:cs="Times New Roman"/>
                <w:sz w:val="20"/>
              </w:rPr>
              <w:t>30%</w:t>
            </w:r>
          </w:p>
        </w:tc>
        <w:tc>
          <w:tcPr>
            <w:tcW w:w="1147" w:type="dxa"/>
            <w:vMerge/>
            <w:vAlign w:val="center"/>
          </w:tcPr>
          <w:p w14:paraId="292A1A4B" w14:textId="77777777" w:rsidR="00B0357E" w:rsidRPr="006912F6" w:rsidRDefault="00B0357E" w:rsidP="000C4BE5">
            <w:pPr>
              <w:spacing w:before="0" w:line="240" w:lineRule="auto"/>
              <w:jc w:val="both"/>
              <w:rPr>
                <w:rFonts w:cs="Times New Roman"/>
                <w:sz w:val="16"/>
                <w:szCs w:val="18"/>
              </w:rPr>
            </w:pPr>
          </w:p>
        </w:tc>
        <w:tc>
          <w:tcPr>
            <w:tcW w:w="1369" w:type="dxa"/>
            <w:vAlign w:val="center"/>
          </w:tcPr>
          <w:p w14:paraId="4F3F6D23" w14:textId="77777777" w:rsidR="00B0357E" w:rsidRPr="006912F6" w:rsidRDefault="00B0357E" w:rsidP="000C4BE5">
            <w:pPr>
              <w:spacing w:before="0" w:line="240" w:lineRule="auto"/>
              <w:jc w:val="center"/>
              <w:rPr>
                <w:rFonts w:cs="Times New Roman"/>
                <w:sz w:val="20"/>
              </w:rPr>
            </w:pPr>
            <w:r w:rsidRPr="006912F6">
              <w:rPr>
                <w:rFonts w:cs="Times New Roman"/>
                <w:sz w:val="20"/>
              </w:rPr>
              <w:t>£ 29.07 M</w:t>
            </w:r>
          </w:p>
        </w:tc>
        <w:tc>
          <w:tcPr>
            <w:tcW w:w="1369" w:type="dxa"/>
            <w:vAlign w:val="center"/>
          </w:tcPr>
          <w:p w14:paraId="4F4AB2E7" w14:textId="34C723AD" w:rsidR="00B0357E" w:rsidRPr="006912F6" w:rsidRDefault="00B0357E" w:rsidP="000C4BE5">
            <w:pPr>
              <w:spacing w:before="0" w:line="240" w:lineRule="auto"/>
              <w:jc w:val="center"/>
              <w:rPr>
                <w:rFonts w:cs="Times New Roman"/>
                <w:sz w:val="20"/>
              </w:rPr>
            </w:pPr>
            <w:r w:rsidRPr="006912F6">
              <w:rPr>
                <w:rFonts w:cs="Times New Roman"/>
                <w:sz w:val="20"/>
              </w:rPr>
              <w:t>£ 125.96 M</w:t>
            </w:r>
          </w:p>
        </w:tc>
        <w:tc>
          <w:tcPr>
            <w:tcW w:w="1369" w:type="dxa"/>
            <w:vAlign w:val="center"/>
          </w:tcPr>
          <w:p w14:paraId="7FBE23ED" w14:textId="77777777" w:rsidR="00B0357E" w:rsidRPr="006912F6" w:rsidRDefault="00B0357E" w:rsidP="000C4BE5">
            <w:pPr>
              <w:spacing w:before="0" w:line="240" w:lineRule="auto"/>
              <w:jc w:val="center"/>
              <w:rPr>
                <w:rFonts w:cs="Times New Roman"/>
                <w:sz w:val="20"/>
              </w:rPr>
            </w:pPr>
            <w:r w:rsidRPr="006912F6">
              <w:rPr>
                <w:rFonts w:cs="Times New Roman"/>
                <w:sz w:val="20"/>
              </w:rPr>
              <w:t>£ 62.98 M</w:t>
            </w:r>
          </w:p>
        </w:tc>
        <w:tc>
          <w:tcPr>
            <w:tcW w:w="1369" w:type="dxa"/>
            <w:vAlign w:val="center"/>
          </w:tcPr>
          <w:p w14:paraId="3C753D66" w14:textId="77777777" w:rsidR="00B0357E" w:rsidRPr="006912F6" w:rsidRDefault="00B0357E" w:rsidP="000C4BE5">
            <w:pPr>
              <w:spacing w:before="0" w:line="240" w:lineRule="auto"/>
              <w:jc w:val="center"/>
              <w:rPr>
                <w:rFonts w:cs="Times New Roman"/>
                <w:sz w:val="20"/>
              </w:rPr>
            </w:pPr>
            <w:r w:rsidRPr="006912F6">
              <w:rPr>
                <w:rFonts w:cs="Times New Roman"/>
                <w:sz w:val="20"/>
              </w:rPr>
              <w:t>£ 62.98 M</w:t>
            </w:r>
          </w:p>
        </w:tc>
      </w:tr>
      <w:tr w:rsidR="006912F6" w:rsidRPr="006912F6" w14:paraId="7431C4B0" w14:textId="77777777" w:rsidTr="00AD3E8A">
        <w:trPr>
          <w:trHeight w:val="297"/>
        </w:trPr>
        <w:tc>
          <w:tcPr>
            <w:tcW w:w="1294" w:type="dxa"/>
            <w:vMerge/>
            <w:vAlign w:val="center"/>
          </w:tcPr>
          <w:p w14:paraId="29D16A24" w14:textId="77777777" w:rsidR="00B0357E" w:rsidRPr="006912F6" w:rsidRDefault="00B0357E" w:rsidP="000C4BE5">
            <w:pPr>
              <w:spacing w:before="0" w:line="240" w:lineRule="auto"/>
              <w:jc w:val="both"/>
              <w:rPr>
                <w:rFonts w:cs="Times New Roman"/>
                <w:sz w:val="16"/>
                <w:szCs w:val="18"/>
              </w:rPr>
            </w:pPr>
          </w:p>
        </w:tc>
        <w:tc>
          <w:tcPr>
            <w:tcW w:w="1149" w:type="dxa"/>
            <w:vAlign w:val="center"/>
          </w:tcPr>
          <w:p w14:paraId="61E1BBD2" w14:textId="77777777" w:rsidR="00B0357E" w:rsidRPr="006912F6" w:rsidRDefault="00B0357E" w:rsidP="000C4BE5">
            <w:pPr>
              <w:spacing w:before="0" w:line="240" w:lineRule="auto"/>
              <w:jc w:val="center"/>
              <w:rPr>
                <w:rFonts w:cs="Times New Roman"/>
                <w:sz w:val="20"/>
              </w:rPr>
            </w:pPr>
            <w:r w:rsidRPr="006912F6">
              <w:rPr>
                <w:rFonts w:cs="Times New Roman"/>
                <w:sz w:val="20"/>
              </w:rPr>
              <w:t>40%</w:t>
            </w:r>
          </w:p>
        </w:tc>
        <w:tc>
          <w:tcPr>
            <w:tcW w:w="1147" w:type="dxa"/>
            <w:vMerge/>
            <w:vAlign w:val="center"/>
          </w:tcPr>
          <w:p w14:paraId="2BEF51D7" w14:textId="77777777" w:rsidR="00B0357E" w:rsidRPr="006912F6" w:rsidRDefault="00B0357E" w:rsidP="000C4BE5">
            <w:pPr>
              <w:spacing w:before="0" w:line="240" w:lineRule="auto"/>
              <w:jc w:val="both"/>
              <w:rPr>
                <w:rFonts w:cs="Times New Roman"/>
                <w:sz w:val="16"/>
                <w:szCs w:val="18"/>
              </w:rPr>
            </w:pPr>
          </w:p>
        </w:tc>
        <w:tc>
          <w:tcPr>
            <w:tcW w:w="1369" w:type="dxa"/>
            <w:vAlign w:val="center"/>
          </w:tcPr>
          <w:p w14:paraId="172363D3" w14:textId="77777777" w:rsidR="00B0357E" w:rsidRPr="006912F6" w:rsidRDefault="00B0357E" w:rsidP="000C4BE5">
            <w:pPr>
              <w:spacing w:before="0" w:line="240" w:lineRule="auto"/>
              <w:jc w:val="center"/>
              <w:rPr>
                <w:rFonts w:cs="Times New Roman"/>
                <w:sz w:val="20"/>
              </w:rPr>
            </w:pPr>
            <w:r w:rsidRPr="006912F6">
              <w:rPr>
                <w:rFonts w:cs="Times New Roman"/>
                <w:sz w:val="20"/>
              </w:rPr>
              <w:t>£ 38.76 M</w:t>
            </w:r>
          </w:p>
        </w:tc>
        <w:tc>
          <w:tcPr>
            <w:tcW w:w="1369" w:type="dxa"/>
            <w:vAlign w:val="center"/>
          </w:tcPr>
          <w:p w14:paraId="43B94A67" w14:textId="77777777" w:rsidR="00B0357E" w:rsidRPr="006912F6" w:rsidRDefault="00B0357E" w:rsidP="000C4BE5">
            <w:pPr>
              <w:spacing w:before="0" w:line="240" w:lineRule="auto"/>
              <w:jc w:val="center"/>
              <w:rPr>
                <w:rFonts w:cs="Times New Roman"/>
                <w:sz w:val="20"/>
              </w:rPr>
            </w:pPr>
            <w:r w:rsidRPr="006912F6">
              <w:rPr>
                <w:rFonts w:cs="Times New Roman"/>
                <w:sz w:val="20"/>
              </w:rPr>
              <w:t>£ 135.66 M</w:t>
            </w:r>
          </w:p>
        </w:tc>
        <w:tc>
          <w:tcPr>
            <w:tcW w:w="1369" w:type="dxa"/>
            <w:vAlign w:val="center"/>
          </w:tcPr>
          <w:p w14:paraId="36682676" w14:textId="77777777" w:rsidR="00B0357E" w:rsidRPr="006912F6" w:rsidRDefault="00B0357E" w:rsidP="000C4BE5">
            <w:pPr>
              <w:spacing w:before="0" w:line="240" w:lineRule="auto"/>
              <w:jc w:val="center"/>
              <w:rPr>
                <w:rFonts w:cs="Times New Roman"/>
                <w:sz w:val="20"/>
              </w:rPr>
            </w:pPr>
            <w:r w:rsidRPr="006912F6">
              <w:rPr>
                <w:rFonts w:cs="Times New Roman"/>
                <w:sz w:val="20"/>
              </w:rPr>
              <w:t>£ 67.83 M</w:t>
            </w:r>
          </w:p>
        </w:tc>
        <w:tc>
          <w:tcPr>
            <w:tcW w:w="1369" w:type="dxa"/>
            <w:vAlign w:val="center"/>
          </w:tcPr>
          <w:p w14:paraId="54985CED" w14:textId="77777777" w:rsidR="00B0357E" w:rsidRPr="006912F6" w:rsidRDefault="00B0357E" w:rsidP="000C4BE5">
            <w:pPr>
              <w:spacing w:before="0" w:line="240" w:lineRule="auto"/>
              <w:jc w:val="center"/>
              <w:rPr>
                <w:rFonts w:cs="Times New Roman"/>
                <w:sz w:val="20"/>
              </w:rPr>
            </w:pPr>
            <w:r w:rsidRPr="006912F6">
              <w:rPr>
                <w:rFonts w:cs="Times New Roman"/>
                <w:sz w:val="20"/>
              </w:rPr>
              <w:t>£ 67.83 M</w:t>
            </w:r>
          </w:p>
        </w:tc>
      </w:tr>
      <w:tr w:rsidR="00B0357E" w:rsidRPr="006912F6" w14:paraId="1EC66EAA" w14:textId="77777777" w:rsidTr="00AD3E8A">
        <w:trPr>
          <w:trHeight w:val="298"/>
        </w:trPr>
        <w:tc>
          <w:tcPr>
            <w:tcW w:w="1294" w:type="dxa"/>
            <w:vMerge/>
            <w:vAlign w:val="center"/>
          </w:tcPr>
          <w:p w14:paraId="345396EA" w14:textId="77777777" w:rsidR="00B0357E" w:rsidRPr="006912F6" w:rsidRDefault="00B0357E" w:rsidP="000C4BE5">
            <w:pPr>
              <w:spacing w:before="0" w:line="240" w:lineRule="auto"/>
              <w:jc w:val="both"/>
              <w:rPr>
                <w:rFonts w:cs="Times New Roman"/>
                <w:sz w:val="16"/>
                <w:szCs w:val="18"/>
              </w:rPr>
            </w:pPr>
          </w:p>
        </w:tc>
        <w:tc>
          <w:tcPr>
            <w:tcW w:w="1149" w:type="dxa"/>
            <w:vAlign w:val="center"/>
          </w:tcPr>
          <w:p w14:paraId="05D155F8" w14:textId="77777777" w:rsidR="00B0357E" w:rsidRPr="006912F6" w:rsidRDefault="00B0357E" w:rsidP="000C4BE5">
            <w:pPr>
              <w:spacing w:before="0" w:line="240" w:lineRule="auto"/>
              <w:jc w:val="center"/>
              <w:rPr>
                <w:rFonts w:cs="Times New Roman"/>
                <w:sz w:val="20"/>
              </w:rPr>
            </w:pPr>
            <w:r w:rsidRPr="006912F6">
              <w:rPr>
                <w:rFonts w:cs="Times New Roman"/>
                <w:sz w:val="20"/>
              </w:rPr>
              <w:t>50%</w:t>
            </w:r>
          </w:p>
        </w:tc>
        <w:tc>
          <w:tcPr>
            <w:tcW w:w="1147" w:type="dxa"/>
            <w:vMerge/>
            <w:vAlign w:val="center"/>
          </w:tcPr>
          <w:p w14:paraId="4ADBBF18" w14:textId="77777777" w:rsidR="00B0357E" w:rsidRPr="006912F6" w:rsidRDefault="00B0357E" w:rsidP="000C4BE5">
            <w:pPr>
              <w:spacing w:before="0" w:line="240" w:lineRule="auto"/>
              <w:jc w:val="both"/>
              <w:rPr>
                <w:rFonts w:cs="Times New Roman"/>
                <w:sz w:val="16"/>
                <w:szCs w:val="18"/>
              </w:rPr>
            </w:pPr>
          </w:p>
        </w:tc>
        <w:tc>
          <w:tcPr>
            <w:tcW w:w="1369" w:type="dxa"/>
            <w:vAlign w:val="center"/>
          </w:tcPr>
          <w:p w14:paraId="6B3ED7CE" w14:textId="77777777" w:rsidR="00B0357E" w:rsidRPr="006912F6" w:rsidRDefault="00B0357E" w:rsidP="000C4BE5">
            <w:pPr>
              <w:spacing w:before="0" w:line="240" w:lineRule="auto"/>
              <w:jc w:val="center"/>
              <w:rPr>
                <w:rFonts w:cs="Times New Roman"/>
                <w:sz w:val="20"/>
              </w:rPr>
            </w:pPr>
            <w:r w:rsidRPr="006912F6">
              <w:rPr>
                <w:rFonts w:cs="Times New Roman"/>
                <w:sz w:val="20"/>
              </w:rPr>
              <w:t>£ 48.45 M</w:t>
            </w:r>
          </w:p>
        </w:tc>
        <w:tc>
          <w:tcPr>
            <w:tcW w:w="1369" w:type="dxa"/>
            <w:vAlign w:val="center"/>
          </w:tcPr>
          <w:p w14:paraId="64E9DCBD" w14:textId="1771EAD5" w:rsidR="00B0357E" w:rsidRPr="006912F6" w:rsidRDefault="00B0357E" w:rsidP="000C4BE5">
            <w:pPr>
              <w:spacing w:before="0" w:line="240" w:lineRule="auto"/>
              <w:jc w:val="center"/>
              <w:rPr>
                <w:rFonts w:cs="Times New Roman"/>
                <w:sz w:val="20"/>
              </w:rPr>
            </w:pPr>
            <w:r w:rsidRPr="006912F6">
              <w:rPr>
                <w:rFonts w:cs="Times New Roman"/>
                <w:sz w:val="20"/>
              </w:rPr>
              <w:t>£ 145.36 M</w:t>
            </w:r>
          </w:p>
        </w:tc>
        <w:tc>
          <w:tcPr>
            <w:tcW w:w="1369" w:type="dxa"/>
            <w:vAlign w:val="center"/>
          </w:tcPr>
          <w:p w14:paraId="7AC635DE" w14:textId="77777777" w:rsidR="00B0357E" w:rsidRPr="006912F6" w:rsidRDefault="00B0357E" w:rsidP="000C4BE5">
            <w:pPr>
              <w:spacing w:before="0" w:line="240" w:lineRule="auto"/>
              <w:jc w:val="center"/>
              <w:rPr>
                <w:rFonts w:cs="Times New Roman"/>
                <w:sz w:val="20"/>
              </w:rPr>
            </w:pPr>
            <w:r w:rsidRPr="006912F6">
              <w:rPr>
                <w:rFonts w:cs="Times New Roman"/>
                <w:sz w:val="20"/>
              </w:rPr>
              <w:t>£ 72.68 M</w:t>
            </w:r>
          </w:p>
        </w:tc>
        <w:tc>
          <w:tcPr>
            <w:tcW w:w="1369" w:type="dxa"/>
            <w:vAlign w:val="center"/>
          </w:tcPr>
          <w:p w14:paraId="210D857A" w14:textId="77777777" w:rsidR="00B0357E" w:rsidRPr="006912F6" w:rsidRDefault="00B0357E" w:rsidP="000C4BE5">
            <w:pPr>
              <w:spacing w:before="0" w:line="240" w:lineRule="auto"/>
              <w:jc w:val="center"/>
              <w:rPr>
                <w:rFonts w:cs="Times New Roman"/>
                <w:sz w:val="20"/>
              </w:rPr>
            </w:pPr>
            <w:r w:rsidRPr="006912F6">
              <w:rPr>
                <w:rFonts w:cs="Times New Roman"/>
                <w:sz w:val="20"/>
              </w:rPr>
              <w:t>£ 72.68 M</w:t>
            </w:r>
          </w:p>
        </w:tc>
      </w:tr>
    </w:tbl>
    <w:p w14:paraId="2338B285" w14:textId="77777777" w:rsidR="00B92C4A" w:rsidRPr="006912F6" w:rsidRDefault="00B92C4A" w:rsidP="00B92C4A">
      <w:pPr>
        <w:spacing w:line="240" w:lineRule="auto"/>
        <w:jc w:val="both"/>
        <w:rPr>
          <w:rFonts w:cs="Times New Roman"/>
          <w:sz w:val="20"/>
        </w:rPr>
      </w:pPr>
    </w:p>
    <w:p w14:paraId="51254BB7" w14:textId="0AC945BF" w:rsidR="00B92C4A" w:rsidRPr="006912F6" w:rsidRDefault="003C7583" w:rsidP="00667743">
      <w:pPr>
        <w:pStyle w:val="a7"/>
        <w:numPr>
          <w:ilvl w:val="0"/>
          <w:numId w:val="38"/>
        </w:numPr>
        <w:spacing w:before="0" w:line="480" w:lineRule="auto"/>
        <w:jc w:val="both"/>
        <w:rPr>
          <w:rFonts w:cs="Times New Roman"/>
          <w:i/>
          <w:sz w:val="20"/>
          <w:szCs w:val="18"/>
        </w:rPr>
      </w:pPr>
      <m:oMath>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C→3.0m</m:t>
            </m:r>
          </m:sub>
        </m:sSub>
        <m:r>
          <w:rPr>
            <w:rFonts w:ascii="Cambria Math" w:hAnsi="Cambria Math" w:cs="Times New Roman"/>
            <w:sz w:val="20"/>
            <w:szCs w:val="18"/>
          </w:rPr>
          <m:t>*</m:t>
        </m:r>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3.0m→3.5m</m:t>
            </m:r>
          </m:sub>
        </m:sSub>
        <m:r>
          <w:rPr>
            <w:rFonts w:ascii="Cambria Math" w:hAnsi="Cambria Math" w:cs="Times New Roman"/>
            <w:sz w:val="20"/>
            <w:szCs w:val="18"/>
          </w:rPr>
          <m:t>*</m:t>
        </m:r>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3.5m→4.0m</m:t>
            </m:r>
          </m:sub>
        </m:sSub>
      </m:oMath>
      <w:r w:rsidR="00B92C4A" w:rsidRPr="006912F6">
        <w:rPr>
          <w:rFonts w:cs="Times New Roman"/>
          <w:i/>
          <w:sz w:val="20"/>
          <w:szCs w:val="18"/>
        </w:rPr>
        <w:t xml:space="preserve"> </w:t>
      </w:r>
    </w:p>
    <w:tbl>
      <w:tblPr>
        <w:tblStyle w:val="TableGrid2"/>
        <w:tblW w:w="9152" w:type="dxa"/>
        <w:tblLayout w:type="fixed"/>
        <w:tblLook w:val="04A0" w:firstRow="1" w:lastRow="0" w:firstColumn="1" w:lastColumn="0" w:noHBand="0" w:noVBand="1"/>
      </w:tblPr>
      <w:tblGrid>
        <w:gridCol w:w="1307"/>
        <w:gridCol w:w="1104"/>
        <w:gridCol w:w="1279"/>
        <w:gridCol w:w="1137"/>
        <w:gridCol w:w="1441"/>
        <w:gridCol w:w="1442"/>
        <w:gridCol w:w="1442"/>
      </w:tblGrid>
      <w:tr w:rsidR="006912F6" w:rsidRPr="006912F6" w14:paraId="3C8CE840" w14:textId="77777777" w:rsidTr="00AD3E8A">
        <w:trPr>
          <w:trHeight w:val="384"/>
        </w:trPr>
        <w:tc>
          <w:tcPr>
            <w:tcW w:w="1307" w:type="dxa"/>
          </w:tcPr>
          <w:p w14:paraId="1ED69C8D"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 xml:space="preserve">Adaptation </w:t>
            </w:r>
          </w:p>
          <w:p w14:paraId="2A40845F"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paths</w:t>
            </w:r>
          </w:p>
        </w:tc>
        <w:tc>
          <w:tcPr>
            <w:tcW w:w="1104" w:type="dxa"/>
          </w:tcPr>
          <w:p w14:paraId="0822FE5E"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Premium scenario</w:t>
            </w:r>
          </w:p>
          <w:p w14:paraId="4185050F"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(1)</w:t>
            </w:r>
          </w:p>
        </w:tc>
        <w:tc>
          <w:tcPr>
            <w:tcW w:w="1279" w:type="dxa"/>
          </w:tcPr>
          <w:p w14:paraId="271FF109"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 xml:space="preserve">Investment cost </w:t>
            </w:r>
          </w:p>
          <w:p w14:paraId="0F6E9EEB"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(2)=(4)+(5)+(6)</w:t>
            </w:r>
          </w:p>
        </w:tc>
        <w:tc>
          <w:tcPr>
            <w:tcW w:w="1137" w:type="dxa"/>
          </w:tcPr>
          <w:p w14:paraId="21D35D23"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Premium cost</w:t>
            </w:r>
          </w:p>
          <w:p w14:paraId="44A8D14B"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(3)</w:t>
            </w:r>
          </w:p>
        </w:tc>
        <w:tc>
          <w:tcPr>
            <w:tcW w:w="1441" w:type="dxa"/>
          </w:tcPr>
          <w:p w14:paraId="1B721253"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The cost for the 1</w:t>
            </w:r>
            <w:r w:rsidRPr="006912F6">
              <w:rPr>
                <w:rFonts w:cs="Times New Roman"/>
                <w:sz w:val="16"/>
                <w:szCs w:val="18"/>
                <w:vertAlign w:val="superscript"/>
              </w:rPr>
              <w:t>st</w:t>
            </w:r>
            <w:r w:rsidRPr="006912F6">
              <w:rPr>
                <w:rFonts w:cs="Times New Roman"/>
                <w:sz w:val="16"/>
                <w:szCs w:val="18"/>
              </w:rPr>
              <w:t xml:space="preserve">  upgrade </w:t>
            </w:r>
          </w:p>
          <w:p w14:paraId="0235B919"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 xml:space="preserve"> (4)</w:t>
            </w:r>
            <w:r w:rsidRPr="006912F6">
              <w:rPr>
                <w:rFonts w:cs="Times New Roman"/>
                <w:sz w:val="16"/>
                <w:szCs w:val="18"/>
                <w:vertAlign w:val="superscript"/>
              </w:rPr>
              <w:t>*</w:t>
            </w:r>
          </w:p>
        </w:tc>
        <w:tc>
          <w:tcPr>
            <w:tcW w:w="1442" w:type="dxa"/>
          </w:tcPr>
          <w:p w14:paraId="620A975F"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The cost for the 2</w:t>
            </w:r>
            <w:r w:rsidRPr="006912F6">
              <w:rPr>
                <w:rFonts w:cs="Times New Roman"/>
                <w:sz w:val="16"/>
                <w:szCs w:val="18"/>
                <w:vertAlign w:val="superscript"/>
              </w:rPr>
              <w:t>nd</w:t>
            </w:r>
            <w:r w:rsidRPr="006912F6">
              <w:rPr>
                <w:rFonts w:cs="Times New Roman"/>
                <w:sz w:val="16"/>
                <w:szCs w:val="18"/>
              </w:rPr>
              <w:t xml:space="preserve">  upgrade </w:t>
            </w:r>
          </w:p>
          <w:p w14:paraId="4B5E068F"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 xml:space="preserve"> (5)</w:t>
            </w:r>
            <w:r w:rsidRPr="006912F6">
              <w:rPr>
                <w:rFonts w:cs="Times New Roman"/>
                <w:sz w:val="16"/>
                <w:szCs w:val="18"/>
                <w:vertAlign w:val="superscript"/>
              </w:rPr>
              <w:t>**</w:t>
            </w:r>
          </w:p>
        </w:tc>
        <w:tc>
          <w:tcPr>
            <w:tcW w:w="1442" w:type="dxa"/>
          </w:tcPr>
          <w:p w14:paraId="712E6DC5"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The cost for the 3</w:t>
            </w:r>
            <w:r w:rsidRPr="006912F6">
              <w:rPr>
                <w:rFonts w:cs="Times New Roman"/>
                <w:sz w:val="16"/>
                <w:szCs w:val="18"/>
                <w:vertAlign w:val="superscript"/>
              </w:rPr>
              <w:t>rd</w:t>
            </w:r>
            <w:r w:rsidRPr="006912F6">
              <w:rPr>
                <w:rFonts w:cs="Times New Roman"/>
                <w:sz w:val="16"/>
                <w:szCs w:val="18"/>
              </w:rPr>
              <w:t xml:space="preserve">  upgrade </w:t>
            </w:r>
          </w:p>
          <w:p w14:paraId="1D3605E5" w14:textId="77777777" w:rsidR="00B92C4A" w:rsidRPr="006912F6" w:rsidRDefault="00B92C4A" w:rsidP="000C4BE5">
            <w:pPr>
              <w:spacing w:before="0" w:line="240" w:lineRule="auto"/>
              <w:jc w:val="center"/>
              <w:rPr>
                <w:rFonts w:cs="Times New Roman"/>
                <w:sz w:val="16"/>
                <w:szCs w:val="18"/>
              </w:rPr>
            </w:pPr>
            <w:r w:rsidRPr="006912F6">
              <w:rPr>
                <w:rFonts w:cs="Times New Roman"/>
                <w:sz w:val="16"/>
                <w:szCs w:val="18"/>
              </w:rPr>
              <w:t xml:space="preserve"> (6)</w:t>
            </w:r>
            <w:r w:rsidRPr="006912F6">
              <w:rPr>
                <w:rFonts w:cs="Times New Roman"/>
                <w:sz w:val="16"/>
                <w:szCs w:val="18"/>
                <w:vertAlign w:val="superscript"/>
              </w:rPr>
              <w:t>**</w:t>
            </w:r>
          </w:p>
        </w:tc>
      </w:tr>
      <w:tr w:rsidR="006912F6" w:rsidRPr="006912F6" w14:paraId="73C0B708" w14:textId="77777777" w:rsidTr="00AD3E8A">
        <w:trPr>
          <w:trHeight w:val="261"/>
        </w:trPr>
        <w:tc>
          <w:tcPr>
            <w:tcW w:w="1307" w:type="dxa"/>
            <w:vMerge w:val="restart"/>
            <w:vAlign w:val="center"/>
          </w:tcPr>
          <w:p w14:paraId="1C474714" w14:textId="1975B6AA" w:rsidR="00B92C4A" w:rsidRPr="006912F6" w:rsidRDefault="003C7583" w:rsidP="000C4BE5">
            <w:pPr>
              <w:spacing w:before="0" w:line="240" w:lineRule="auto"/>
              <w:jc w:val="center"/>
              <w:rPr>
                <w:rFonts w:cs="Times New Roman"/>
                <w:i/>
                <w:sz w:val="20"/>
              </w:rPr>
            </w:pPr>
            <m:oMath>
              <m:sSub>
                <m:sSubPr>
                  <m:ctrlPr>
                    <w:rPr>
                      <w:rFonts w:ascii="Cambria Math" w:hAnsi="Cambria Math" w:cs="Times New Roman"/>
                      <w:i/>
                      <w:sz w:val="20"/>
                    </w:rPr>
                  </m:ctrlPr>
                </m:sSubPr>
                <m:e>
                  <m:r>
                    <w:rPr>
                      <w:rFonts w:ascii="Cambria Math" w:hAnsi="Cambria Math" w:cs="Times New Roman"/>
                      <w:sz w:val="20"/>
                    </w:rPr>
                    <m:t>U</m:t>
                  </m:r>
                </m:e>
                <m:sub>
                  <m:r>
                    <w:rPr>
                      <w:rFonts w:ascii="Cambria Math" w:hAnsi="Cambria Math" w:cs="Times New Roman"/>
                      <w:sz w:val="20"/>
                    </w:rPr>
                    <m:t>c→3.0m</m:t>
                  </m:r>
                </m:sub>
              </m:sSub>
            </m:oMath>
            <w:r w:rsidR="00B92C4A" w:rsidRPr="006912F6">
              <w:rPr>
                <w:rFonts w:cs="Times New Roman"/>
                <w:i/>
                <w:sz w:val="20"/>
              </w:rPr>
              <w:t xml:space="preserve">* </w:t>
            </w:r>
            <m:oMath>
              <m:sSub>
                <m:sSubPr>
                  <m:ctrlPr>
                    <w:rPr>
                      <w:rFonts w:ascii="Cambria Math" w:hAnsi="Cambria Math" w:cs="Times New Roman"/>
                      <w:i/>
                      <w:sz w:val="20"/>
                    </w:rPr>
                  </m:ctrlPr>
                </m:sSubPr>
                <m:e>
                  <m:r>
                    <w:rPr>
                      <w:rFonts w:ascii="Cambria Math" w:hAnsi="Cambria Math" w:cs="Times New Roman"/>
                      <w:sz w:val="20"/>
                    </w:rPr>
                    <m:t>U</m:t>
                  </m:r>
                </m:e>
                <m:sub>
                  <m:r>
                    <w:rPr>
                      <w:rFonts w:ascii="Cambria Math" w:hAnsi="Cambria Math" w:cs="Times New Roman"/>
                      <w:sz w:val="20"/>
                    </w:rPr>
                    <m:t>3.0m→3.5m</m:t>
                  </m:r>
                </m:sub>
              </m:sSub>
            </m:oMath>
            <w:r w:rsidR="00B92C4A" w:rsidRPr="006912F6">
              <w:rPr>
                <w:rFonts w:cs="Times New Roman"/>
                <w:i/>
                <w:sz w:val="20"/>
              </w:rPr>
              <w:t>*</w:t>
            </w:r>
          </w:p>
          <w:p w14:paraId="757E78A5" w14:textId="0186D57C" w:rsidR="00B92C4A" w:rsidRPr="006912F6" w:rsidRDefault="003C7583" w:rsidP="000C4BE5">
            <w:pPr>
              <w:spacing w:before="0" w:line="240" w:lineRule="auto"/>
              <w:jc w:val="center"/>
              <w:rPr>
                <w:rFonts w:cs="Times New Roman"/>
                <w:i/>
                <w:sz w:val="20"/>
              </w:rPr>
            </w:pPr>
            <m:oMathPara>
              <m:oMath>
                <m:sSub>
                  <m:sSubPr>
                    <m:ctrlPr>
                      <w:rPr>
                        <w:rFonts w:ascii="Cambria Math" w:hAnsi="Cambria Math" w:cs="Times New Roman"/>
                        <w:i/>
                        <w:sz w:val="20"/>
                      </w:rPr>
                    </m:ctrlPr>
                  </m:sSubPr>
                  <m:e>
                    <m:r>
                      <w:rPr>
                        <w:rFonts w:ascii="Cambria Math" w:hAnsi="Cambria Math" w:cs="Times New Roman"/>
                        <w:sz w:val="20"/>
                      </w:rPr>
                      <m:t>U</m:t>
                    </m:r>
                  </m:e>
                  <m:sub>
                    <m:r>
                      <w:rPr>
                        <w:rFonts w:ascii="Cambria Math" w:hAnsi="Cambria Math" w:cs="Times New Roman"/>
                        <w:sz w:val="20"/>
                      </w:rPr>
                      <m:t>3.5m→4.0m</m:t>
                    </m:r>
                  </m:sub>
                </m:sSub>
              </m:oMath>
            </m:oMathPara>
          </w:p>
        </w:tc>
        <w:tc>
          <w:tcPr>
            <w:tcW w:w="1104" w:type="dxa"/>
            <w:vAlign w:val="center"/>
          </w:tcPr>
          <w:p w14:paraId="0FE73C7E" w14:textId="77777777" w:rsidR="00B92C4A" w:rsidRPr="006912F6" w:rsidRDefault="00B92C4A" w:rsidP="000C4BE5">
            <w:pPr>
              <w:spacing w:before="0" w:line="240" w:lineRule="auto"/>
              <w:jc w:val="center"/>
              <w:rPr>
                <w:rFonts w:cs="Times New Roman"/>
                <w:sz w:val="20"/>
              </w:rPr>
            </w:pPr>
            <w:r w:rsidRPr="006912F6">
              <w:rPr>
                <w:rFonts w:cs="Times New Roman"/>
                <w:sz w:val="20"/>
              </w:rPr>
              <w:t>20%</w:t>
            </w:r>
          </w:p>
        </w:tc>
        <w:tc>
          <w:tcPr>
            <w:tcW w:w="1279" w:type="dxa"/>
            <w:vAlign w:val="center"/>
          </w:tcPr>
          <w:p w14:paraId="35086CA4" w14:textId="77777777" w:rsidR="00B92C4A" w:rsidRPr="006912F6" w:rsidRDefault="00B92C4A" w:rsidP="000C4BE5">
            <w:pPr>
              <w:spacing w:before="0" w:line="240" w:lineRule="auto"/>
              <w:jc w:val="center"/>
              <w:rPr>
                <w:rFonts w:cs="Times New Roman"/>
                <w:sz w:val="20"/>
              </w:rPr>
            </w:pPr>
            <w:r w:rsidRPr="006912F6">
              <w:rPr>
                <w:rFonts w:cs="Times New Roman"/>
                <w:sz w:val="20"/>
              </w:rPr>
              <w:t>£ 127.91 M</w:t>
            </w:r>
          </w:p>
        </w:tc>
        <w:tc>
          <w:tcPr>
            <w:tcW w:w="1137" w:type="dxa"/>
            <w:vAlign w:val="center"/>
          </w:tcPr>
          <w:p w14:paraId="1F3C9244" w14:textId="77777777" w:rsidR="00B92C4A" w:rsidRPr="006912F6" w:rsidRDefault="00B92C4A" w:rsidP="000C4BE5">
            <w:pPr>
              <w:spacing w:before="0" w:line="240" w:lineRule="auto"/>
              <w:jc w:val="center"/>
              <w:rPr>
                <w:rFonts w:cs="Times New Roman"/>
                <w:sz w:val="20"/>
              </w:rPr>
            </w:pPr>
            <w:r w:rsidRPr="006912F6">
              <w:rPr>
                <w:rFonts w:cs="Times New Roman"/>
                <w:sz w:val="20"/>
              </w:rPr>
              <w:t>£ 31.31 M</w:t>
            </w:r>
          </w:p>
        </w:tc>
        <w:tc>
          <w:tcPr>
            <w:tcW w:w="1441" w:type="dxa"/>
            <w:vAlign w:val="center"/>
          </w:tcPr>
          <w:p w14:paraId="71C40780" w14:textId="77777777" w:rsidR="00B92C4A" w:rsidRPr="006912F6" w:rsidRDefault="00B92C4A" w:rsidP="000C4BE5">
            <w:pPr>
              <w:spacing w:before="0" w:line="240" w:lineRule="auto"/>
              <w:jc w:val="center"/>
              <w:rPr>
                <w:rFonts w:cs="Times New Roman"/>
                <w:bCs/>
                <w:sz w:val="20"/>
              </w:rPr>
            </w:pPr>
            <w:r w:rsidRPr="006912F6">
              <w:rPr>
                <w:rFonts w:cs="Times New Roman"/>
                <w:bCs/>
                <w:sz w:val="20"/>
              </w:rPr>
              <w:t>£ 58.14 M</w:t>
            </w:r>
          </w:p>
        </w:tc>
        <w:tc>
          <w:tcPr>
            <w:tcW w:w="1442" w:type="dxa"/>
            <w:vAlign w:val="center"/>
          </w:tcPr>
          <w:p w14:paraId="0860C0AD" w14:textId="77777777" w:rsidR="00B92C4A" w:rsidRPr="006912F6" w:rsidRDefault="00B92C4A" w:rsidP="000C4BE5">
            <w:pPr>
              <w:spacing w:before="0" w:line="240" w:lineRule="auto"/>
              <w:jc w:val="center"/>
              <w:rPr>
                <w:rFonts w:cs="Times New Roman"/>
                <w:bCs/>
                <w:sz w:val="20"/>
              </w:rPr>
            </w:pPr>
            <w:r w:rsidRPr="006912F6">
              <w:rPr>
                <w:rFonts w:cs="Times New Roman"/>
                <w:bCs/>
                <w:sz w:val="20"/>
              </w:rPr>
              <w:t>£ 34.89 M</w:t>
            </w:r>
          </w:p>
        </w:tc>
        <w:tc>
          <w:tcPr>
            <w:tcW w:w="1442" w:type="dxa"/>
            <w:vAlign w:val="center"/>
          </w:tcPr>
          <w:p w14:paraId="02CC540A" w14:textId="77777777" w:rsidR="00B92C4A" w:rsidRPr="006912F6" w:rsidRDefault="00B92C4A" w:rsidP="000C4BE5">
            <w:pPr>
              <w:spacing w:before="0" w:line="240" w:lineRule="auto"/>
              <w:jc w:val="center"/>
              <w:rPr>
                <w:rFonts w:cs="Times New Roman"/>
                <w:bCs/>
                <w:sz w:val="20"/>
              </w:rPr>
            </w:pPr>
            <w:r w:rsidRPr="006912F6">
              <w:rPr>
                <w:rFonts w:cs="Times New Roman"/>
                <w:bCs/>
                <w:sz w:val="20"/>
              </w:rPr>
              <w:t>£ 34.89 M</w:t>
            </w:r>
          </w:p>
        </w:tc>
      </w:tr>
      <w:tr w:rsidR="006912F6" w:rsidRPr="006912F6" w14:paraId="62FF16CD" w14:textId="77777777" w:rsidTr="00AD3E8A">
        <w:trPr>
          <w:trHeight w:val="262"/>
        </w:trPr>
        <w:tc>
          <w:tcPr>
            <w:tcW w:w="1307" w:type="dxa"/>
            <w:vMerge/>
          </w:tcPr>
          <w:p w14:paraId="433A9EFA" w14:textId="77777777" w:rsidR="00B92C4A" w:rsidRPr="006912F6" w:rsidRDefault="00B92C4A" w:rsidP="000C4BE5">
            <w:pPr>
              <w:spacing w:before="0" w:line="240" w:lineRule="auto"/>
              <w:jc w:val="both"/>
              <w:rPr>
                <w:rFonts w:cs="Times New Roman"/>
                <w:sz w:val="16"/>
                <w:szCs w:val="18"/>
              </w:rPr>
            </w:pPr>
          </w:p>
        </w:tc>
        <w:tc>
          <w:tcPr>
            <w:tcW w:w="1104" w:type="dxa"/>
            <w:vAlign w:val="center"/>
          </w:tcPr>
          <w:p w14:paraId="3AF1AAF9" w14:textId="77777777" w:rsidR="00B92C4A" w:rsidRPr="006912F6" w:rsidRDefault="00B92C4A" w:rsidP="000C4BE5">
            <w:pPr>
              <w:spacing w:before="0" w:line="240" w:lineRule="auto"/>
              <w:jc w:val="center"/>
              <w:rPr>
                <w:rFonts w:cs="Times New Roman"/>
                <w:sz w:val="20"/>
              </w:rPr>
            </w:pPr>
            <w:r w:rsidRPr="006912F6">
              <w:rPr>
                <w:rFonts w:cs="Times New Roman"/>
                <w:sz w:val="20"/>
              </w:rPr>
              <w:t>30%</w:t>
            </w:r>
          </w:p>
        </w:tc>
        <w:tc>
          <w:tcPr>
            <w:tcW w:w="1279" w:type="dxa"/>
            <w:vAlign w:val="center"/>
          </w:tcPr>
          <w:p w14:paraId="6438D73D" w14:textId="77777777" w:rsidR="00B92C4A" w:rsidRPr="006912F6" w:rsidRDefault="00B92C4A" w:rsidP="000C4BE5">
            <w:pPr>
              <w:spacing w:before="0" w:line="240" w:lineRule="auto"/>
              <w:jc w:val="center"/>
              <w:rPr>
                <w:rFonts w:cs="Times New Roman"/>
                <w:sz w:val="20"/>
              </w:rPr>
            </w:pPr>
            <w:r w:rsidRPr="006912F6">
              <w:rPr>
                <w:rFonts w:cs="Times New Roman"/>
                <w:sz w:val="20"/>
              </w:rPr>
              <w:t>£ 144.86 M</w:t>
            </w:r>
          </w:p>
        </w:tc>
        <w:tc>
          <w:tcPr>
            <w:tcW w:w="1137" w:type="dxa"/>
            <w:vAlign w:val="center"/>
          </w:tcPr>
          <w:p w14:paraId="73A6359E" w14:textId="77777777" w:rsidR="00B92C4A" w:rsidRPr="006912F6" w:rsidRDefault="00B92C4A" w:rsidP="000C4BE5">
            <w:pPr>
              <w:spacing w:before="0" w:line="240" w:lineRule="auto"/>
              <w:jc w:val="center"/>
              <w:rPr>
                <w:rFonts w:cs="Times New Roman"/>
                <w:sz w:val="20"/>
              </w:rPr>
            </w:pPr>
            <w:r w:rsidRPr="006912F6">
              <w:rPr>
                <w:rFonts w:cs="Times New Roman"/>
                <w:sz w:val="20"/>
              </w:rPr>
              <w:t>£ 48.26 M</w:t>
            </w:r>
          </w:p>
        </w:tc>
        <w:tc>
          <w:tcPr>
            <w:tcW w:w="1441" w:type="dxa"/>
            <w:vAlign w:val="center"/>
          </w:tcPr>
          <w:p w14:paraId="4A63F545" w14:textId="77777777" w:rsidR="00B92C4A" w:rsidRPr="006912F6" w:rsidRDefault="00B92C4A" w:rsidP="000C4BE5">
            <w:pPr>
              <w:spacing w:before="0" w:line="240" w:lineRule="auto"/>
              <w:jc w:val="center"/>
              <w:rPr>
                <w:rFonts w:cs="Times New Roman"/>
                <w:bCs/>
                <w:sz w:val="20"/>
              </w:rPr>
            </w:pPr>
            <w:r w:rsidRPr="006912F6">
              <w:rPr>
                <w:rFonts w:cs="Times New Roman"/>
                <w:bCs/>
                <w:sz w:val="20"/>
              </w:rPr>
              <w:t>£ 62.98 M</w:t>
            </w:r>
          </w:p>
        </w:tc>
        <w:tc>
          <w:tcPr>
            <w:tcW w:w="1442" w:type="dxa"/>
            <w:vAlign w:val="center"/>
          </w:tcPr>
          <w:p w14:paraId="77C5301B" w14:textId="77777777" w:rsidR="00B92C4A" w:rsidRPr="006912F6" w:rsidRDefault="00B92C4A" w:rsidP="000C4BE5">
            <w:pPr>
              <w:spacing w:before="0" w:line="240" w:lineRule="auto"/>
              <w:jc w:val="center"/>
              <w:rPr>
                <w:rFonts w:cs="Times New Roman"/>
                <w:bCs/>
                <w:sz w:val="20"/>
              </w:rPr>
            </w:pPr>
            <w:r w:rsidRPr="006912F6">
              <w:rPr>
                <w:rFonts w:cs="Times New Roman"/>
                <w:bCs/>
                <w:sz w:val="20"/>
              </w:rPr>
              <w:t>£ 40.94 M</w:t>
            </w:r>
          </w:p>
        </w:tc>
        <w:tc>
          <w:tcPr>
            <w:tcW w:w="1442" w:type="dxa"/>
            <w:vAlign w:val="center"/>
          </w:tcPr>
          <w:p w14:paraId="62D3660E" w14:textId="77777777" w:rsidR="00B92C4A" w:rsidRPr="006912F6" w:rsidRDefault="00B92C4A" w:rsidP="000C4BE5">
            <w:pPr>
              <w:spacing w:before="0" w:line="240" w:lineRule="auto"/>
              <w:jc w:val="center"/>
              <w:rPr>
                <w:rFonts w:cs="Times New Roman"/>
                <w:bCs/>
                <w:sz w:val="20"/>
              </w:rPr>
            </w:pPr>
            <w:r w:rsidRPr="006912F6">
              <w:rPr>
                <w:rFonts w:cs="Times New Roman"/>
                <w:bCs/>
                <w:sz w:val="20"/>
              </w:rPr>
              <w:t>£ 40.94 M</w:t>
            </w:r>
          </w:p>
        </w:tc>
      </w:tr>
      <w:tr w:rsidR="006912F6" w:rsidRPr="006912F6" w14:paraId="779488B7" w14:textId="77777777" w:rsidTr="00AD3E8A">
        <w:trPr>
          <w:trHeight w:val="261"/>
        </w:trPr>
        <w:tc>
          <w:tcPr>
            <w:tcW w:w="1307" w:type="dxa"/>
            <w:vMerge/>
          </w:tcPr>
          <w:p w14:paraId="6F1AB001" w14:textId="77777777" w:rsidR="00B92C4A" w:rsidRPr="006912F6" w:rsidRDefault="00B92C4A" w:rsidP="000C4BE5">
            <w:pPr>
              <w:spacing w:before="0" w:line="240" w:lineRule="auto"/>
              <w:jc w:val="both"/>
              <w:rPr>
                <w:rFonts w:cs="Times New Roman"/>
                <w:sz w:val="16"/>
                <w:szCs w:val="18"/>
              </w:rPr>
            </w:pPr>
          </w:p>
        </w:tc>
        <w:tc>
          <w:tcPr>
            <w:tcW w:w="1104" w:type="dxa"/>
            <w:vAlign w:val="center"/>
          </w:tcPr>
          <w:p w14:paraId="6DDF0807" w14:textId="77777777" w:rsidR="00B92C4A" w:rsidRPr="006912F6" w:rsidRDefault="00B92C4A" w:rsidP="000C4BE5">
            <w:pPr>
              <w:spacing w:before="0" w:line="240" w:lineRule="auto"/>
              <w:jc w:val="center"/>
              <w:rPr>
                <w:rFonts w:cs="Times New Roman"/>
                <w:sz w:val="20"/>
              </w:rPr>
            </w:pPr>
            <w:r w:rsidRPr="006912F6">
              <w:rPr>
                <w:rFonts w:cs="Times New Roman"/>
                <w:sz w:val="20"/>
              </w:rPr>
              <w:t>40%</w:t>
            </w:r>
          </w:p>
        </w:tc>
        <w:tc>
          <w:tcPr>
            <w:tcW w:w="1279" w:type="dxa"/>
            <w:vAlign w:val="center"/>
          </w:tcPr>
          <w:p w14:paraId="2043E384" w14:textId="77777777" w:rsidR="00B92C4A" w:rsidRPr="006912F6" w:rsidRDefault="00B92C4A" w:rsidP="000C4BE5">
            <w:pPr>
              <w:spacing w:before="0" w:line="240" w:lineRule="auto"/>
              <w:jc w:val="center"/>
              <w:rPr>
                <w:rFonts w:cs="Times New Roman"/>
                <w:sz w:val="20"/>
              </w:rPr>
            </w:pPr>
            <w:r w:rsidRPr="006912F6">
              <w:rPr>
                <w:rFonts w:cs="Times New Roman"/>
                <w:sz w:val="20"/>
              </w:rPr>
              <w:t>£ 162.79 M</w:t>
            </w:r>
          </w:p>
        </w:tc>
        <w:tc>
          <w:tcPr>
            <w:tcW w:w="1137" w:type="dxa"/>
            <w:vAlign w:val="center"/>
          </w:tcPr>
          <w:p w14:paraId="677BF2E0" w14:textId="77777777" w:rsidR="00B92C4A" w:rsidRPr="006912F6" w:rsidRDefault="00B92C4A" w:rsidP="000C4BE5">
            <w:pPr>
              <w:spacing w:before="0" w:line="240" w:lineRule="auto"/>
              <w:jc w:val="center"/>
              <w:rPr>
                <w:rFonts w:cs="Times New Roman"/>
                <w:sz w:val="20"/>
              </w:rPr>
            </w:pPr>
            <w:r w:rsidRPr="006912F6">
              <w:rPr>
                <w:rFonts w:cs="Times New Roman"/>
                <w:sz w:val="20"/>
              </w:rPr>
              <w:t>£ 66.19 M</w:t>
            </w:r>
          </w:p>
        </w:tc>
        <w:tc>
          <w:tcPr>
            <w:tcW w:w="1441" w:type="dxa"/>
            <w:vAlign w:val="center"/>
          </w:tcPr>
          <w:p w14:paraId="192176DC" w14:textId="77777777" w:rsidR="00B92C4A" w:rsidRPr="006912F6" w:rsidRDefault="00B92C4A" w:rsidP="000C4BE5">
            <w:pPr>
              <w:spacing w:before="0" w:line="240" w:lineRule="auto"/>
              <w:jc w:val="center"/>
              <w:rPr>
                <w:rFonts w:cs="Times New Roman"/>
                <w:bCs/>
                <w:sz w:val="20"/>
              </w:rPr>
            </w:pPr>
            <w:r w:rsidRPr="006912F6">
              <w:rPr>
                <w:rFonts w:cs="Times New Roman"/>
                <w:bCs/>
                <w:sz w:val="20"/>
              </w:rPr>
              <w:t>£ 67.83 M</w:t>
            </w:r>
          </w:p>
        </w:tc>
        <w:tc>
          <w:tcPr>
            <w:tcW w:w="1442" w:type="dxa"/>
            <w:vAlign w:val="center"/>
          </w:tcPr>
          <w:p w14:paraId="33D99696" w14:textId="77777777" w:rsidR="00B92C4A" w:rsidRPr="006912F6" w:rsidRDefault="00B92C4A" w:rsidP="000C4BE5">
            <w:pPr>
              <w:spacing w:before="0" w:line="240" w:lineRule="auto"/>
              <w:jc w:val="center"/>
              <w:rPr>
                <w:rFonts w:cs="Times New Roman"/>
                <w:bCs/>
                <w:sz w:val="20"/>
              </w:rPr>
            </w:pPr>
            <w:r w:rsidRPr="006912F6">
              <w:rPr>
                <w:rFonts w:cs="Times New Roman"/>
                <w:bCs/>
                <w:sz w:val="20"/>
              </w:rPr>
              <w:t>£ 47.48 M</w:t>
            </w:r>
          </w:p>
        </w:tc>
        <w:tc>
          <w:tcPr>
            <w:tcW w:w="1442" w:type="dxa"/>
            <w:vAlign w:val="center"/>
          </w:tcPr>
          <w:p w14:paraId="3D72C8F7" w14:textId="77777777" w:rsidR="00B92C4A" w:rsidRPr="006912F6" w:rsidRDefault="00B92C4A" w:rsidP="000C4BE5">
            <w:pPr>
              <w:spacing w:before="0" w:line="240" w:lineRule="auto"/>
              <w:jc w:val="center"/>
              <w:rPr>
                <w:rFonts w:cs="Times New Roman"/>
                <w:bCs/>
                <w:sz w:val="20"/>
              </w:rPr>
            </w:pPr>
            <w:r w:rsidRPr="006912F6">
              <w:rPr>
                <w:rFonts w:cs="Times New Roman"/>
                <w:bCs/>
                <w:sz w:val="20"/>
              </w:rPr>
              <w:t>£ 47.48 M</w:t>
            </w:r>
          </w:p>
        </w:tc>
      </w:tr>
      <w:tr w:rsidR="00B92C4A" w:rsidRPr="006912F6" w14:paraId="1D67577E" w14:textId="77777777" w:rsidTr="00AD3E8A">
        <w:trPr>
          <w:trHeight w:val="262"/>
        </w:trPr>
        <w:tc>
          <w:tcPr>
            <w:tcW w:w="1307" w:type="dxa"/>
            <w:vMerge/>
          </w:tcPr>
          <w:p w14:paraId="184DBE48" w14:textId="77777777" w:rsidR="00B92C4A" w:rsidRPr="006912F6" w:rsidRDefault="00B92C4A" w:rsidP="000C4BE5">
            <w:pPr>
              <w:spacing w:before="0" w:line="240" w:lineRule="auto"/>
              <w:jc w:val="both"/>
              <w:rPr>
                <w:rFonts w:cs="Times New Roman"/>
                <w:sz w:val="16"/>
                <w:szCs w:val="18"/>
              </w:rPr>
            </w:pPr>
          </w:p>
        </w:tc>
        <w:tc>
          <w:tcPr>
            <w:tcW w:w="1104" w:type="dxa"/>
            <w:vAlign w:val="center"/>
          </w:tcPr>
          <w:p w14:paraId="798995E9" w14:textId="77777777" w:rsidR="00B92C4A" w:rsidRPr="006912F6" w:rsidRDefault="00B92C4A" w:rsidP="000C4BE5">
            <w:pPr>
              <w:spacing w:before="0" w:line="240" w:lineRule="auto"/>
              <w:jc w:val="center"/>
              <w:rPr>
                <w:rFonts w:cs="Times New Roman"/>
                <w:sz w:val="20"/>
              </w:rPr>
            </w:pPr>
            <w:r w:rsidRPr="006912F6">
              <w:rPr>
                <w:rFonts w:cs="Times New Roman"/>
                <w:sz w:val="20"/>
              </w:rPr>
              <w:t>50%</w:t>
            </w:r>
          </w:p>
        </w:tc>
        <w:tc>
          <w:tcPr>
            <w:tcW w:w="1279" w:type="dxa"/>
            <w:vAlign w:val="center"/>
          </w:tcPr>
          <w:p w14:paraId="2E490FF8" w14:textId="77777777" w:rsidR="00B92C4A" w:rsidRPr="006912F6" w:rsidRDefault="00B92C4A" w:rsidP="000C4BE5">
            <w:pPr>
              <w:spacing w:before="0" w:line="240" w:lineRule="auto"/>
              <w:jc w:val="center"/>
              <w:rPr>
                <w:rFonts w:cs="Times New Roman"/>
                <w:sz w:val="20"/>
              </w:rPr>
            </w:pPr>
            <w:r w:rsidRPr="006912F6">
              <w:rPr>
                <w:rFonts w:cs="Times New Roman"/>
                <w:sz w:val="20"/>
              </w:rPr>
              <w:t>£ 181.70 M</w:t>
            </w:r>
          </w:p>
        </w:tc>
        <w:tc>
          <w:tcPr>
            <w:tcW w:w="1137" w:type="dxa"/>
            <w:vAlign w:val="center"/>
          </w:tcPr>
          <w:p w14:paraId="43F66E8A" w14:textId="77777777" w:rsidR="00B92C4A" w:rsidRPr="006912F6" w:rsidRDefault="00B92C4A" w:rsidP="000C4BE5">
            <w:pPr>
              <w:spacing w:before="0" w:line="240" w:lineRule="auto"/>
              <w:jc w:val="center"/>
              <w:rPr>
                <w:rFonts w:cs="Times New Roman"/>
                <w:sz w:val="20"/>
              </w:rPr>
            </w:pPr>
            <w:r w:rsidRPr="006912F6">
              <w:rPr>
                <w:rFonts w:cs="Times New Roman"/>
                <w:sz w:val="20"/>
              </w:rPr>
              <w:t>£ 85.1 M</w:t>
            </w:r>
          </w:p>
        </w:tc>
        <w:tc>
          <w:tcPr>
            <w:tcW w:w="1441" w:type="dxa"/>
            <w:vAlign w:val="center"/>
          </w:tcPr>
          <w:p w14:paraId="5FFB8EFB" w14:textId="77777777" w:rsidR="00B92C4A" w:rsidRPr="006912F6" w:rsidRDefault="00B92C4A" w:rsidP="000C4BE5">
            <w:pPr>
              <w:spacing w:before="0" w:line="240" w:lineRule="auto"/>
              <w:jc w:val="center"/>
              <w:rPr>
                <w:rFonts w:cs="Times New Roman"/>
                <w:bCs/>
                <w:sz w:val="20"/>
              </w:rPr>
            </w:pPr>
            <w:r w:rsidRPr="006912F6">
              <w:rPr>
                <w:rFonts w:cs="Times New Roman"/>
                <w:bCs/>
                <w:sz w:val="20"/>
              </w:rPr>
              <w:t>£ 72.68 M</w:t>
            </w:r>
          </w:p>
        </w:tc>
        <w:tc>
          <w:tcPr>
            <w:tcW w:w="1442" w:type="dxa"/>
            <w:vAlign w:val="center"/>
          </w:tcPr>
          <w:p w14:paraId="50A90DC5" w14:textId="77777777" w:rsidR="00B92C4A" w:rsidRPr="006912F6" w:rsidRDefault="00B92C4A" w:rsidP="000C4BE5">
            <w:pPr>
              <w:spacing w:before="0" w:line="240" w:lineRule="auto"/>
              <w:jc w:val="center"/>
              <w:rPr>
                <w:rFonts w:cs="Times New Roman"/>
                <w:bCs/>
                <w:sz w:val="20"/>
              </w:rPr>
            </w:pPr>
            <w:r w:rsidRPr="006912F6">
              <w:rPr>
                <w:rFonts w:cs="Times New Roman"/>
                <w:bCs/>
                <w:sz w:val="20"/>
              </w:rPr>
              <w:t>£ 54.51 M</w:t>
            </w:r>
          </w:p>
        </w:tc>
        <w:tc>
          <w:tcPr>
            <w:tcW w:w="1442" w:type="dxa"/>
            <w:vAlign w:val="center"/>
          </w:tcPr>
          <w:p w14:paraId="00822F90" w14:textId="77777777" w:rsidR="00B92C4A" w:rsidRPr="006912F6" w:rsidRDefault="00B92C4A" w:rsidP="000C4BE5">
            <w:pPr>
              <w:spacing w:before="0" w:line="240" w:lineRule="auto"/>
              <w:jc w:val="center"/>
              <w:rPr>
                <w:rFonts w:cs="Times New Roman"/>
                <w:bCs/>
                <w:sz w:val="20"/>
              </w:rPr>
            </w:pPr>
            <w:r w:rsidRPr="006912F6">
              <w:rPr>
                <w:rFonts w:cs="Times New Roman"/>
                <w:bCs/>
                <w:sz w:val="20"/>
              </w:rPr>
              <w:t>£ 54.51 M</w:t>
            </w:r>
          </w:p>
        </w:tc>
      </w:tr>
    </w:tbl>
    <w:p w14:paraId="20944EC0" w14:textId="77777777" w:rsidR="00B92C4A" w:rsidRPr="006912F6" w:rsidRDefault="00B92C4A" w:rsidP="00B92C4A">
      <w:pPr>
        <w:spacing w:before="0" w:line="240" w:lineRule="auto"/>
        <w:jc w:val="both"/>
        <w:rPr>
          <w:rFonts w:cs="Times New Roman"/>
          <w:sz w:val="20"/>
        </w:rPr>
      </w:pPr>
    </w:p>
    <w:p w14:paraId="749DCFC9" w14:textId="03661A51" w:rsidR="00B92C4A" w:rsidRPr="006912F6" w:rsidRDefault="00B92C4A" w:rsidP="00B92C4A">
      <w:pPr>
        <w:spacing w:before="0"/>
        <w:jc w:val="both"/>
        <w:rPr>
          <w:rFonts w:cs="Times New Roman"/>
          <w:i/>
          <w:iCs/>
          <w:sz w:val="18"/>
          <w:szCs w:val="20"/>
        </w:rPr>
      </w:pPr>
      <w:r w:rsidRPr="006912F6">
        <w:rPr>
          <w:rFonts w:cs="Times New Roman"/>
          <w:sz w:val="18"/>
          <w:szCs w:val="20"/>
          <w:vertAlign w:val="superscript"/>
        </w:rPr>
        <w:t xml:space="preserve">  *</w:t>
      </w:r>
      <w:r w:rsidRPr="006912F6">
        <w:rPr>
          <w:rFonts w:cs="Times New Roman"/>
          <w:sz w:val="18"/>
          <w:szCs w:val="20"/>
        </w:rPr>
        <w:t xml:space="preserve"> Costs in column (4) are taken from costs in column (5) of</w:t>
      </w:r>
      <w:r w:rsidRPr="006912F6">
        <w:rPr>
          <w:rFonts w:cs="Times New Roman"/>
          <w:i/>
          <w:iCs/>
          <w:sz w:val="18"/>
          <w:szCs w:val="20"/>
        </w:rPr>
        <w:t xml:space="preserve"> </w:t>
      </w:r>
      <m:oMath>
        <m:sSub>
          <m:sSubPr>
            <m:ctrlPr>
              <w:rPr>
                <w:rFonts w:ascii="Cambria Math" w:hAnsi="Cambria Math" w:cs="Times New Roman"/>
                <w:i/>
                <w:iCs/>
                <w:sz w:val="18"/>
                <w:szCs w:val="20"/>
              </w:rPr>
            </m:ctrlPr>
          </m:sSubPr>
          <m:e>
            <m:r>
              <w:rPr>
                <w:rFonts w:ascii="Cambria Math" w:hAnsi="Cambria Math" w:cs="Times New Roman"/>
                <w:sz w:val="18"/>
                <w:szCs w:val="20"/>
              </w:rPr>
              <m:t>U</m:t>
            </m:r>
          </m:e>
          <m:sub>
            <m:r>
              <w:rPr>
                <w:rFonts w:ascii="Cambria Math" w:hAnsi="Cambria Math" w:cs="Times New Roman"/>
                <w:sz w:val="18"/>
                <w:szCs w:val="20"/>
              </w:rPr>
              <m:t>c→3.0m</m:t>
            </m:r>
          </m:sub>
        </m:sSub>
      </m:oMath>
      <w:r w:rsidRPr="006912F6">
        <w:rPr>
          <w:rFonts w:cs="Times New Roman"/>
          <w:i/>
          <w:iCs/>
          <w:sz w:val="18"/>
          <w:szCs w:val="20"/>
        </w:rPr>
        <w:t xml:space="preserve">* </w:t>
      </w:r>
      <m:oMath>
        <m:sSub>
          <m:sSubPr>
            <m:ctrlPr>
              <w:rPr>
                <w:rFonts w:ascii="Cambria Math" w:hAnsi="Cambria Math" w:cs="Times New Roman"/>
                <w:i/>
                <w:iCs/>
                <w:sz w:val="18"/>
                <w:szCs w:val="20"/>
              </w:rPr>
            </m:ctrlPr>
          </m:sSubPr>
          <m:e>
            <m:r>
              <w:rPr>
                <w:rFonts w:ascii="Cambria Math" w:hAnsi="Cambria Math" w:cs="Times New Roman"/>
                <w:sz w:val="18"/>
                <w:szCs w:val="20"/>
              </w:rPr>
              <m:t>U</m:t>
            </m:r>
          </m:e>
          <m:sub>
            <m:r>
              <w:rPr>
                <w:rFonts w:ascii="Cambria Math" w:hAnsi="Cambria Math" w:cs="Times New Roman"/>
                <w:sz w:val="18"/>
                <w:szCs w:val="20"/>
              </w:rPr>
              <m:t>3.0m→4.0m</m:t>
            </m:r>
          </m:sub>
        </m:sSub>
      </m:oMath>
    </w:p>
    <w:p w14:paraId="653944C5" w14:textId="31695AC1" w:rsidR="00B92C4A" w:rsidRPr="006912F6" w:rsidRDefault="00B92C4A" w:rsidP="00B92C4A">
      <w:pPr>
        <w:spacing w:before="0"/>
        <w:jc w:val="both"/>
        <w:rPr>
          <w:rFonts w:cs="Times New Roman"/>
          <w:sz w:val="22"/>
          <w:szCs w:val="20"/>
        </w:rPr>
      </w:pPr>
      <w:r w:rsidRPr="006912F6">
        <w:rPr>
          <w:rFonts w:cs="Times New Roman"/>
          <w:sz w:val="18"/>
          <w:szCs w:val="20"/>
          <w:vertAlign w:val="superscript"/>
        </w:rPr>
        <w:t>**</w:t>
      </w:r>
      <w:r w:rsidRPr="006912F6">
        <w:rPr>
          <w:rFonts w:cs="Times New Roman"/>
          <w:sz w:val="18"/>
          <w:szCs w:val="20"/>
        </w:rPr>
        <w:t xml:space="preserve"> Costs in columns (5) and (6) are taken from columns (5) and (6) in </w:t>
      </w:r>
      <m:oMath>
        <m:sSub>
          <m:sSubPr>
            <m:ctrlPr>
              <w:rPr>
                <w:rFonts w:ascii="Cambria Math" w:hAnsi="Cambria Math" w:cs="Times New Roman"/>
                <w:i/>
                <w:sz w:val="18"/>
                <w:szCs w:val="16"/>
              </w:rPr>
            </m:ctrlPr>
          </m:sSubPr>
          <m:e>
            <m:r>
              <w:rPr>
                <w:rFonts w:ascii="Cambria Math" w:hAnsi="Cambria Math" w:cs="Times New Roman"/>
                <w:sz w:val="18"/>
                <w:szCs w:val="16"/>
              </w:rPr>
              <m:t>U</m:t>
            </m:r>
          </m:e>
          <m:sub>
            <m:r>
              <w:rPr>
                <w:rFonts w:ascii="Cambria Math" w:hAnsi="Cambria Math" w:cs="Times New Roman"/>
                <w:sz w:val="18"/>
                <w:szCs w:val="16"/>
              </w:rPr>
              <m:t>3.0m→3.5m</m:t>
            </m:r>
          </m:sub>
        </m:sSub>
        <m:r>
          <w:rPr>
            <w:rFonts w:ascii="Cambria Math" w:hAnsi="Cambria Math" w:cs="Times New Roman"/>
            <w:sz w:val="18"/>
            <w:szCs w:val="16"/>
          </w:rPr>
          <m:t>*</m:t>
        </m:r>
        <m:sSub>
          <m:sSubPr>
            <m:ctrlPr>
              <w:rPr>
                <w:rFonts w:ascii="Cambria Math" w:hAnsi="Cambria Math" w:cs="Times New Roman"/>
                <w:i/>
                <w:sz w:val="18"/>
                <w:szCs w:val="16"/>
              </w:rPr>
            </m:ctrlPr>
          </m:sSubPr>
          <m:e>
            <m:r>
              <w:rPr>
                <w:rFonts w:ascii="Cambria Math" w:hAnsi="Cambria Math" w:cs="Times New Roman"/>
                <w:sz w:val="18"/>
                <w:szCs w:val="16"/>
              </w:rPr>
              <m:t>U</m:t>
            </m:r>
          </m:e>
          <m:sub>
            <m:r>
              <w:rPr>
                <w:rFonts w:ascii="Cambria Math" w:hAnsi="Cambria Math" w:cs="Times New Roman"/>
                <w:sz w:val="18"/>
                <w:szCs w:val="16"/>
              </w:rPr>
              <m:t>3.5m→4.0m</m:t>
            </m:r>
          </m:sub>
        </m:sSub>
      </m:oMath>
      <w:r w:rsidRPr="006912F6">
        <w:rPr>
          <w:rFonts w:cs="Times New Roman"/>
          <w:sz w:val="18"/>
          <w:szCs w:val="20"/>
        </w:rPr>
        <w:t xml:space="preserve">, respectively.  </w:t>
      </w:r>
    </w:p>
    <w:p w14:paraId="3B92B7F6" w14:textId="77777777" w:rsidR="00011122" w:rsidRPr="006912F6" w:rsidRDefault="00011122" w:rsidP="00011122">
      <w:pPr>
        <w:rPr>
          <w:sz w:val="6"/>
          <w:szCs w:val="4"/>
        </w:rPr>
      </w:pPr>
    </w:p>
    <w:p w14:paraId="269C88BF" w14:textId="034D17E1" w:rsidR="00971E72" w:rsidRPr="006912F6" w:rsidRDefault="003C7583" w:rsidP="00667743">
      <w:pPr>
        <w:pStyle w:val="a7"/>
        <w:numPr>
          <w:ilvl w:val="0"/>
          <w:numId w:val="38"/>
        </w:numPr>
        <w:spacing w:before="0" w:line="480" w:lineRule="auto"/>
        <w:jc w:val="both"/>
        <w:rPr>
          <w:rFonts w:ascii="Cambria Math" w:hAnsi="Cambria Math" w:cs="Times New Roman"/>
          <w:i/>
          <w:sz w:val="20"/>
          <w:szCs w:val="18"/>
        </w:rPr>
      </w:pPr>
      <m:oMath>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c→3.5m</m:t>
            </m:r>
          </m:sub>
        </m:sSub>
        <m:r>
          <w:rPr>
            <w:rFonts w:ascii="Cambria Math" w:hAnsi="Cambria Math" w:cs="Times New Roman"/>
            <w:sz w:val="20"/>
            <w:szCs w:val="18"/>
          </w:rPr>
          <m:t>*</m:t>
        </m:r>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3.5m→4.0m</m:t>
            </m:r>
          </m:sub>
        </m:sSub>
      </m:oMath>
    </w:p>
    <w:tbl>
      <w:tblPr>
        <w:tblStyle w:val="TableGrid2"/>
        <w:tblW w:w="0" w:type="auto"/>
        <w:tblLook w:val="04A0" w:firstRow="1" w:lastRow="0" w:firstColumn="1" w:lastColumn="0" w:noHBand="0" w:noVBand="1"/>
      </w:tblPr>
      <w:tblGrid>
        <w:gridCol w:w="1293"/>
        <w:gridCol w:w="1148"/>
        <w:gridCol w:w="1146"/>
        <w:gridCol w:w="1368"/>
        <w:gridCol w:w="1368"/>
        <w:gridCol w:w="1368"/>
        <w:gridCol w:w="1368"/>
      </w:tblGrid>
      <w:tr w:rsidR="006912F6" w:rsidRPr="006912F6" w14:paraId="6095D4B9" w14:textId="77777777" w:rsidTr="00AD3E8A">
        <w:trPr>
          <w:trHeight w:val="422"/>
        </w:trPr>
        <w:tc>
          <w:tcPr>
            <w:tcW w:w="1293" w:type="dxa"/>
            <w:vAlign w:val="center"/>
          </w:tcPr>
          <w:p w14:paraId="5E36D190" w14:textId="77777777" w:rsidR="00971E72" w:rsidRPr="006912F6" w:rsidRDefault="00971E72" w:rsidP="000C4BE5">
            <w:pPr>
              <w:spacing w:before="0" w:line="240" w:lineRule="auto"/>
              <w:jc w:val="center"/>
              <w:rPr>
                <w:rFonts w:cs="Times New Roman"/>
                <w:sz w:val="16"/>
                <w:szCs w:val="18"/>
              </w:rPr>
            </w:pPr>
            <w:r w:rsidRPr="006912F6">
              <w:rPr>
                <w:rFonts w:cs="Times New Roman"/>
                <w:sz w:val="16"/>
                <w:szCs w:val="18"/>
              </w:rPr>
              <w:t>Adaptation paths</w:t>
            </w:r>
          </w:p>
        </w:tc>
        <w:tc>
          <w:tcPr>
            <w:tcW w:w="1148" w:type="dxa"/>
            <w:vAlign w:val="center"/>
          </w:tcPr>
          <w:p w14:paraId="78127AC5" w14:textId="77777777" w:rsidR="00971E72" w:rsidRPr="006912F6" w:rsidRDefault="00971E72" w:rsidP="000C4BE5">
            <w:pPr>
              <w:spacing w:before="0" w:line="240" w:lineRule="auto"/>
              <w:jc w:val="center"/>
              <w:rPr>
                <w:rFonts w:cs="Times New Roman"/>
                <w:sz w:val="16"/>
                <w:szCs w:val="18"/>
              </w:rPr>
            </w:pPr>
            <w:r w:rsidRPr="006912F6">
              <w:rPr>
                <w:rFonts w:cs="Times New Roman"/>
                <w:sz w:val="16"/>
                <w:szCs w:val="18"/>
              </w:rPr>
              <w:t>Premium</w:t>
            </w:r>
          </w:p>
          <w:p w14:paraId="77FCC243" w14:textId="77777777" w:rsidR="00971E72" w:rsidRPr="006912F6" w:rsidRDefault="00971E72" w:rsidP="000C4BE5">
            <w:pPr>
              <w:spacing w:before="0" w:line="240" w:lineRule="auto"/>
              <w:jc w:val="center"/>
              <w:rPr>
                <w:rFonts w:cs="Times New Roman"/>
                <w:sz w:val="16"/>
                <w:szCs w:val="18"/>
              </w:rPr>
            </w:pPr>
            <w:r w:rsidRPr="006912F6">
              <w:rPr>
                <w:rFonts w:cs="Times New Roman"/>
                <w:sz w:val="16"/>
                <w:szCs w:val="18"/>
              </w:rPr>
              <w:t xml:space="preserve">scenarios </w:t>
            </w:r>
          </w:p>
          <w:p w14:paraId="36B5775B" w14:textId="77777777" w:rsidR="00971E72" w:rsidRPr="006912F6" w:rsidRDefault="00971E72" w:rsidP="000C4BE5">
            <w:pPr>
              <w:spacing w:before="0" w:line="240" w:lineRule="auto"/>
              <w:jc w:val="center"/>
              <w:rPr>
                <w:rFonts w:cs="Times New Roman"/>
                <w:sz w:val="16"/>
                <w:szCs w:val="18"/>
              </w:rPr>
            </w:pPr>
            <w:r w:rsidRPr="006912F6">
              <w:rPr>
                <w:rFonts w:cs="Times New Roman"/>
                <w:sz w:val="16"/>
                <w:szCs w:val="18"/>
              </w:rPr>
              <w:t>(1)</w:t>
            </w:r>
          </w:p>
        </w:tc>
        <w:tc>
          <w:tcPr>
            <w:tcW w:w="1146" w:type="dxa"/>
            <w:vAlign w:val="center"/>
          </w:tcPr>
          <w:p w14:paraId="6AB0B100" w14:textId="77777777" w:rsidR="00971E72" w:rsidRPr="006912F6" w:rsidRDefault="00971E72" w:rsidP="000C4BE5">
            <w:pPr>
              <w:spacing w:before="0" w:line="240" w:lineRule="auto"/>
              <w:jc w:val="center"/>
              <w:rPr>
                <w:rFonts w:cs="Times New Roman"/>
                <w:sz w:val="16"/>
                <w:szCs w:val="18"/>
              </w:rPr>
            </w:pPr>
            <w:r w:rsidRPr="006912F6">
              <w:rPr>
                <w:rFonts w:cs="Times New Roman"/>
                <w:sz w:val="16"/>
                <w:szCs w:val="18"/>
              </w:rPr>
              <w:t>Original investment cost (2)</w:t>
            </w:r>
          </w:p>
        </w:tc>
        <w:tc>
          <w:tcPr>
            <w:tcW w:w="1368" w:type="dxa"/>
            <w:vAlign w:val="center"/>
          </w:tcPr>
          <w:p w14:paraId="17835021" w14:textId="77777777" w:rsidR="00971E72" w:rsidRPr="006912F6" w:rsidRDefault="00971E72" w:rsidP="000C4BE5">
            <w:pPr>
              <w:spacing w:before="0" w:line="240" w:lineRule="auto"/>
              <w:jc w:val="center"/>
              <w:rPr>
                <w:rFonts w:cs="Times New Roman"/>
                <w:sz w:val="16"/>
                <w:szCs w:val="18"/>
              </w:rPr>
            </w:pPr>
            <w:r w:rsidRPr="006912F6">
              <w:rPr>
                <w:rFonts w:cs="Times New Roman"/>
                <w:sz w:val="16"/>
                <w:szCs w:val="18"/>
              </w:rPr>
              <w:t>Premium cost</w:t>
            </w:r>
          </w:p>
          <w:p w14:paraId="23A5B085" w14:textId="77777777" w:rsidR="00971E72" w:rsidRPr="006912F6" w:rsidRDefault="00971E72" w:rsidP="000C4BE5">
            <w:pPr>
              <w:spacing w:before="0" w:line="240" w:lineRule="auto"/>
              <w:jc w:val="center"/>
              <w:rPr>
                <w:rFonts w:cs="Times New Roman"/>
                <w:sz w:val="16"/>
                <w:szCs w:val="18"/>
              </w:rPr>
            </w:pPr>
            <w:r w:rsidRPr="006912F6">
              <w:rPr>
                <w:rFonts w:cs="Times New Roman"/>
                <w:sz w:val="16"/>
                <w:szCs w:val="18"/>
              </w:rPr>
              <w:t>(3)=(2)×(1)</w:t>
            </w:r>
          </w:p>
        </w:tc>
        <w:tc>
          <w:tcPr>
            <w:tcW w:w="1368" w:type="dxa"/>
            <w:vAlign w:val="center"/>
          </w:tcPr>
          <w:p w14:paraId="2671B071" w14:textId="77777777" w:rsidR="00971E72" w:rsidRPr="006912F6" w:rsidRDefault="00971E72" w:rsidP="000C4BE5">
            <w:pPr>
              <w:spacing w:before="0" w:line="240" w:lineRule="auto"/>
              <w:jc w:val="center"/>
              <w:rPr>
                <w:rFonts w:cs="Times New Roman"/>
                <w:sz w:val="16"/>
                <w:szCs w:val="18"/>
              </w:rPr>
            </w:pPr>
            <w:r w:rsidRPr="006912F6">
              <w:rPr>
                <w:rFonts w:cs="Times New Roman"/>
                <w:sz w:val="16"/>
                <w:szCs w:val="18"/>
              </w:rPr>
              <w:t xml:space="preserve">Investment cost </w:t>
            </w:r>
          </w:p>
          <w:p w14:paraId="728A9585" w14:textId="77777777" w:rsidR="00971E72" w:rsidRPr="006912F6" w:rsidRDefault="00971E72" w:rsidP="000C4BE5">
            <w:pPr>
              <w:spacing w:before="0" w:line="240" w:lineRule="auto"/>
              <w:jc w:val="center"/>
              <w:rPr>
                <w:rFonts w:cs="Times New Roman"/>
                <w:sz w:val="16"/>
                <w:szCs w:val="18"/>
              </w:rPr>
            </w:pPr>
            <w:r w:rsidRPr="006912F6">
              <w:rPr>
                <w:rFonts w:cs="Times New Roman"/>
                <w:sz w:val="16"/>
                <w:szCs w:val="18"/>
              </w:rPr>
              <w:t>(4)=(2)+(3)</w:t>
            </w:r>
          </w:p>
        </w:tc>
        <w:tc>
          <w:tcPr>
            <w:tcW w:w="1368" w:type="dxa"/>
            <w:vAlign w:val="center"/>
          </w:tcPr>
          <w:p w14:paraId="4997118B" w14:textId="77777777" w:rsidR="00971E72" w:rsidRPr="006912F6" w:rsidRDefault="00971E72" w:rsidP="000C4BE5">
            <w:pPr>
              <w:spacing w:before="0" w:line="240" w:lineRule="auto"/>
              <w:jc w:val="center"/>
              <w:rPr>
                <w:rFonts w:cs="Times New Roman"/>
                <w:sz w:val="16"/>
                <w:szCs w:val="18"/>
              </w:rPr>
            </w:pPr>
            <w:r w:rsidRPr="006912F6">
              <w:rPr>
                <w:rFonts w:cs="Times New Roman"/>
                <w:sz w:val="16"/>
                <w:szCs w:val="18"/>
              </w:rPr>
              <w:t>Cost for the 1</w:t>
            </w:r>
            <w:r w:rsidRPr="006912F6">
              <w:rPr>
                <w:rFonts w:cs="Times New Roman"/>
                <w:sz w:val="16"/>
                <w:szCs w:val="18"/>
                <w:vertAlign w:val="superscript"/>
              </w:rPr>
              <w:t>st</w:t>
            </w:r>
            <w:r w:rsidRPr="006912F6">
              <w:rPr>
                <w:rFonts w:cs="Times New Roman"/>
                <w:sz w:val="16"/>
                <w:szCs w:val="18"/>
              </w:rPr>
              <w:t xml:space="preserve"> upgrade </w:t>
            </w:r>
          </w:p>
          <w:p w14:paraId="4388CFA5" w14:textId="77777777" w:rsidR="00971E72" w:rsidRPr="006912F6" w:rsidRDefault="00971E72" w:rsidP="000C4BE5">
            <w:pPr>
              <w:spacing w:before="0" w:line="240" w:lineRule="auto"/>
              <w:jc w:val="center"/>
              <w:rPr>
                <w:rFonts w:cs="Times New Roman"/>
                <w:sz w:val="16"/>
                <w:szCs w:val="18"/>
              </w:rPr>
            </w:pPr>
            <w:r w:rsidRPr="006912F6">
              <w:rPr>
                <w:rFonts w:cs="Times New Roman"/>
                <w:sz w:val="16"/>
                <w:szCs w:val="18"/>
              </w:rPr>
              <w:t>(5)</w:t>
            </w:r>
            <w:r w:rsidRPr="006912F6">
              <w:rPr>
                <w:rFonts w:cs="Times New Roman"/>
                <w:sz w:val="16"/>
                <w:szCs w:val="18"/>
                <w:vertAlign w:val="superscript"/>
              </w:rPr>
              <w:t>*</w:t>
            </w:r>
          </w:p>
        </w:tc>
        <w:tc>
          <w:tcPr>
            <w:tcW w:w="1368" w:type="dxa"/>
            <w:vAlign w:val="center"/>
          </w:tcPr>
          <w:p w14:paraId="7292D816" w14:textId="77777777" w:rsidR="00971E72" w:rsidRPr="006912F6" w:rsidRDefault="00971E72" w:rsidP="000C4BE5">
            <w:pPr>
              <w:spacing w:before="0" w:line="240" w:lineRule="auto"/>
              <w:jc w:val="center"/>
              <w:rPr>
                <w:rFonts w:cs="Times New Roman"/>
                <w:sz w:val="16"/>
                <w:szCs w:val="18"/>
              </w:rPr>
            </w:pPr>
            <w:r w:rsidRPr="006912F6">
              <w:rPr>
                <w:rFonts w:cs="Times New Roman"/>
                <w:sz w:val="16"/>
                <w:szCs w:val="18"/>
              </w:rPr>
              <w:t>Cost for the 2</w:t>
            </w:r>
            <w:r w:rsidRPr="006912F6">
              <w:rPr>
                <w:rFonts w:cs="Times New Roman"/>
                <w:sz w:val="16"/>
                <w:szCs w:val="18"/>
                <w:vertAlign w:val="superscript"/>
              </w:rPr>
              <w:t>nd</w:t>
            </w:r>
            <w:r w:rsidRPr="006912F6">
              <w:rPr>
                <w:rFonts w:cs="Times New Roman"/>
                <w:sz w:val="16"/>
                <w:szCs w:val="18"/>
              </w:rPr>
              <w:t xml:space="preserve"> upgrade</w:t>
            </w:r>
          </w:p>
          <w:p w14:paraId="0678BA75" w14:textId="382B228F" w:rsidR="00971E72" w:rsidRPr="006912F6" w:rsidRDefault="00971E72" w:rsidP="000C4BE5">
            <w:pPr>
              <w:spacing w:before="0" w:line="240" w:lineRule="auto"/>
              <w:jc w:val="center"/>
              <w:rPr>
                <w:rFonts w:cs="Times New Roman"/>
                <w:sz w:val="16"/>
                <w:szCs w:val="18"/>
              </w:rPr>
            </w:pPr>
            <w:r w:rsidRPr="006912F6">
              <w:rPr>
                <w:rFonts w:cs="Times New Roman"/>
                <w:sz w:val="16"/>
                <w:szCs w:val="18"/>
              </w:rPr>
              <w:t>(6)</w:t>
            </w:r>
            <w:r w:rsidR="00A95F81" w:rsidRPr="006912F6">
              <w:rPr>
                <w:rFonts w:cs="Times New Roman"/>
                <w:sz w:val="16"/>
                <w:szCs w:val="18"/>
              </w:rPr>
              <w:t xml:space="preserve"> = (4) – (5)</w:t>
            </w:r>
            <w:r w:rsidRPr="006912F6">
              <w:rPr>
                <w:rFonts w:cs="Times New Roman"/>
                <w:sz w:val="16"/>
                <w:szCs w:val="18"/>
              </w:rPr>
              <w:t xml:space="preserve"> </w:t>
            </w:r>
          </w:p>
        </w:tc>
      </w:tr>
      <w:tr w:rsidR="006912F6" w:rsidRPr="006912F6" w14:paraId="42A596E0" w14:textId="77777777" w:rsidTr="00AD3E8A">
        <w:trPr>
          <w:trHeight w:val="287"/>
        </w:trPr>
        <w:tc>
          <w:tcPr>
            <w:tcW w:w="1293" w:type="dxa"/>
            <w:vMerge w:val="restart"/>
            <w:vAlign w:val="center"/>
          </w:tcPr>
          <w:p w14:paraId="263641EA" w14:textId="2E75B308" w:rsidR="00B0357E" w:rsidRPr="006912F6" w:rsidRDefault="003C7583" w:rsidP="00A95F81">
            <w:pPr>
              <w:spacing w:before="0" w:line="240" w:lineRule="auto"/>
              <w:jc w:val="center"/>
              <w:rPr>
                <w:rFonts w:cs="Times New Roman"/>
                <w:i/>
                <w:sz w:val="20"/>
              </w:rPr>
            </w:pPr>
            <m:oMath>
              <m:sSub>
                <m:sSubPr>
                  <m:ctrlPr>
                    <w:rPr>
                      <w:rFonts w:ascii="Cambria Math" w:hAnsi="Cambria Math" w:cs="Times New Roman"/>
                      <w:i/>
                      <w:sz w:val="20"/>
                    </w:rPr>
                  </m:ctrlPr>
                </m:sSubPr>
                <m:e>
                  <m:r>
                    <w:rPr>
                      <w:rFonts w:ascii="Cambria Math" w:hAnsi="Cambria Math" w:cs="Times New Roman"/>
                      <w:sz w:val="20"/>
                    </w:rPr>
                    <m:t>U</m:t>
                  </m:r>
                </m:e>
                <m:sub>
                  <m:r>
                    <w:rPr>
                      <w:rFonts w:ascii="Cambria Math" w:hAnsi="Cambria Math" w:cs="Times New Roman"/>
                      <w:sz w:val="20"/>
                    </w:rPr>
                    <m:t>c→3.5m</m:t>
                  </m:r>
                </m:sub>
              </m:sSub>
            </m:oMath>
            <w:r w:rsidR="00B0357E" w:rsidRPr="006912F6">
              <w:rPr>
                <w:rFonts w:cs="Times New Roman"/>
                <w:i/>
                <w:sz w:val="20"/>
              </w:rPr>
              <w:t xml:space="preserve">* </w:t>
            </w:r>
            <m:oMath>
              <m:sSub>
                <m:sSubPr>
                  <m:ctrlPr>
                    <w:rPr>
                      <w:rFonts w:ascii="Cambria Math" w:hAnsi="Cambria Math" w:cs="Times New Roman"/>
                      <w:i/>
                      <w:sz w:val="20"/>
                    </w:rPr>
                  </m:ctrlPr>
                </m:sSubPr>
                <m:e>
                  <m:r>
                    <w:rPr>
                      <w:rFonts w:ascii="Cambria Math" w:hAnsi="Cambria Math" w:cs="Times New Roman"/>
                      <w:sz w:val="20"/>
                    </w:rPr>
                    <m:t>U</m:t>
                  </m:r>
                </m:e>
                <m:sub>
                  <m:r>
                    <w:rPr>
                      <w:rFonts w:ascii="Cambria Math" w:hAnsi="Cambria Math" w:cs="Times New Roman"/>
                      <w:sz w:val="20"/>
                    </w:rPr>
                    <m:t>3.5m→4.0m</m:t>
                  </m:r>
                </m:sub>
              </m:sSub>
            </m:oMath>
          </w:p>
        </w:tc>
        <w:tc>
          <w:tcPr>
            <w:tcW w:w="1148" w:type="dxa"/>
            <w:vAlign w:val="center"/>
          </w:tcPr>
          <w:p w14:paraId="0A8B8527" w14:textId="77777777" w:rsidR="00B0357E" w:rsidRPr="006912F6" w:rsidRDefault="00B0357E" w:rsidP="00A95F81">
            <w:pPr>
              <w:spacing w:before="0" w:line="240" w:lineRule="auto"/>
              <w:jc w:val="center"/>
              <w:rPr>
                <w:rFonts w:cs="Times New Roman"/>
                <w:sz w:val="20"/>
              </w:rPr>
            </w:pPr>
            <w:r w:rsidRPr="006912F6">
              <w:rPr>
                <w:rFonts w:cs="Times New Roman"/>
                <w:sz w:val="20"/>
              </w:rPr>
              <w:t>20%</w:t>
            </w:r>
          </w:p>
        </w:tc>
        <w:tc>
          <w:tcPr>
            <w:tcW w:w="1146" w:type="dxa"/>
            <w:vMerge w:val="restart"/>
            <w:vAlign w:val="center"/>
          </w:tcPr>
          <w:p w14:paraId="257FE629" w14:textId="2E2C8E0A" w:rsidR="00B0357E" w:rsidRPr="006912F6" w:rsidRDefault="00B0357E" w:rsidP="00A95F81">
            <w:pPr>
              <w:spacing w:before="0" w:line="240" w:lineRule="auto"/>
              <w:jc w:val="both"/>
              <w:rPr>
                <w:rFonts w:cs="Times New Roman"/>
                <w:sz w:val="16"/>
                <w:szCs w:val="18"/>
              </w:rPr>
            </w:pPr>
            <w:r w:rsidRPr="006912F6">
              <w:rPr>
                <w:rFonts w:cs="Times New Roman"/>
                <w:sz w:val="20"/>
              </w:rPr>
              <w:t>£ 96.30 M</w:t>
            </w:r>
          </w:p>
        </w:tc>
        <w:tc>
          <w:tcPr>
            <w:tcW w:w="1368" w:type="dxa"/>
            <w:vAlign w:val="center"/>
          </w:tcPr>
          <w:p w14:paraId="36AD8731" w14:textId="77777777" w:rsidR="00B0357E" w:rsidRPr="006912F6" w:rsidRDefault="00B0357E" w:rsidP="00A95F81">
            <w:pPr>
              <w:spacing w:before="0" w:line="240" w:lineRule="auto"/>
              <w:jc w:val="center"/>
              <w:rPr>
                <w:rFonts w:cs="Times New Roman"/>
                <w:sz w:val="20"/>
              </w:rPr>
            </w:pPr>
            <w:r w:rsidRPr="006912F6">
              <w:rPr>
                <w:rFonts w:cs="Times New Roman"/>
                <w:sz w:val="20"/>
              </w:rPr>
              <w:t>£ 19.32 M</w:t>
            </w:r>
          </w:p>
        </w:tc>
        <w:tc>
          <w:tcPr>
            <w:tcW w:w="1368" w:type="dxa"/>
            <w:vAlign w:val="center"/>
          </w:tcPr>
          <w:p w14:paraId="3A28238A" w14:textId="77777777" w:rsidR="00B0357E" w:rsidRPr="006912F6" w:rsidRDefault="00B0357E" w:rsidP="00A95F81">
            <w:pPr>
              <w:spacing w:before="0" w:line="240" w:lineRule="auto"/>
              <w:jc w:val="center"/>
              <w:rPr>
                <w:rFonts w:cs="Times New Roman"/>
                <w:sz w:val="20"/>
              </w:rPr>
            </w:pPr>
            <w:r w:rsidRPr="006912F6">
              <w:rPr>
                <w:rFonts w:cs="Times New Roman"/>
                <w:sz w:val="20"/>
              </w:rPr>
              <w:t>£ 116.28 M</w:t>
            </w:r>
          </w:p>
        </w:tc>
        <w:tc>
          <w:tcPr>
            <w:tcW w:w="1368" w:type="dxa"/>
            <w:vAlign w:val="center"/>
          </w:tcPr>
          <w:p w14:paraId="30E83C93" w14:textId="7C75484E" w:rsidR="00B0357E" w:rsidRPr="006912F6" w:rsidRDefault="00B0357E" w:rsidP="00A95F81">
            <w:pPr>
              <w:spacing w:before="0" w:line="240" w:lineRule="auto"/>
              <w:jc w:val="center"/>
              <w:rPr>
                <w:rFonts w:cs="Times New Roman"/>
                <w:sz w:val="20"/>
              </w:rPr>
            </w:pPr>
            <w:r w:rsidRPr="006912F6">
              <w:rPr>
                <w:rFonts w:cs="Times New Roman"/>
                <w:sz w:val="20"/>
              </w:rPr>
              <w:t>£ 73.89 M</w:t>
            </w:r>
          </w:p>
        </w:tc>
        <w:tc>
          <w:tcPr>
            <w:tcW w:w="1368" w:type="dxa"/>
            <w:vAlign w:val="center"/>
          </w:tcPr>
          <w:p w14:paraId="5868AC44" w14:textId="11F381F6" w:rsidR="00B0357E" w:rsidRPr="006912F6" w:rsidRDefault="00B0357E" w:rsidP="00A95F81">
            <w:pPr>
              <w:spacing w:before="0" w:line="240" w:lineRule="auto"/>
              <w:jc w:val="center"/>
              <w:rPr>
                <w:rFonts w:cs="Times New Roman"/>
                <w:sz w:val="20"/>
              </w:rPr>
            </w:pPr>
            <w:r w:rsidRPr="006912F6">
              <w:rPr>
                <w:rFonts w:cs="Times New Roman"/>
                <w:sz w:val="20"/>
              </w:rPr>
              <w:t>£ 41.79 M</w:t>
            </w:r>
          </w:p>
        </w:tc>
      </w:tr>
      <w:tr w:rsidR="006912F6" w:rsidRPr="006912F6" w14:paraId="5C1859C4" w14:textId="77777777" w:rsidTr="00AD3E8A">
        <w:trPr>
          <w:trHeight w:val="288"/>
        </w:trPr>
        <w:tc>
          <w:tcPr>
            <w:tcW w:w="1293" w:type="dxa"/>
            <w:vMerge/>
            <w:vAlign w:val="center"/>
          </w:tcPr>
          <w:p w14:paraId="6599F7F9" w14:textId="77777777" w:rsidR="00B0357E" w:rsidRPr="006912F6" w:rsidRDefault="00B0357E" w:rsidP="00A95F81">
            <w:pPr>
              <w:spacing w:before="0" w:line="240" w:lineRule="auto"/>
              <w:jc w:val="both"/>
              <w:rPr>
                <w:rFonts w:cs="Times New Roman"/>
                <w:sz w:val="16"/>
                <w:szCs w:val="18"/>
              </w:rPr>
            </w:pPr>
          </w:p>
        </w:tc>
        <w:tc>
          <w:tcPr>
            <w:tcW w:w="1148" w:type="dxa"/>
            <w:vAlign w:val="center"/>
          </w:tcPr>
          <w:p w14:paraId="5ECAFB2C" w14:textId="77777777" w:rsidR="00B0357E" w:rsidRPr="006912F6" w:rsidRDefault="00B0357E" w:rsidP="00A95F81">
            <w:pPr>
              <w:spacing w:before="0" w:line="240" w:lineRule="auto"/>
              <w:jc w:val="center"/>
              <w:rPr>
                <w:rFonts w:cs="Times New Roman"/>
                <w:sz w:val="20"/>
              </w:rPr>
            </w:pPr>
            <w:r w:rsidRPr="006912F6">
              <w:rPr>
                <w:rFonts w:cs="Times New Roman"/>
                <w:sz w:val="20"/>
              </w:rPr>
              <w:t>30%</w:t>
            </w:r>
          </w:p>
        </w:tc>
        <w:tc>
          <w:tcPr>
            <w:tcW w:w="1146" w:type="dxa"/>
            <w:vMerge/>
            <w:vAlign w:val="center"/>
          </w:tcPr>
          <w:p w14:paraId="2C12C085" w14:textId="77777777" w:rsidR="00B0357E" w:rsidRPr="006912F6" w:rsidRDefault="00B0357E" w:rsidP="00A95F81">
            <w:pPr>
              <w:spacing w:before="0" w:line="240" w:lineRule="auto"/>
              <w:jc w:val="both"/>
              <w:rPr>
                <w:rFonts w:cs="Times New Roman"/>
                <w:sz w:val="16"/>
                <w:szCs w:val="18"/>
              </w:rPr>
            </w:pPr>
          </w:p>
        </w:tc>
        <w:tc>
          <w:tcPr>
            <w:tcW w:w="1368" w:type="dxa"/>
            <w:vAlign w:val="center"/>
          </w:tcPr>
          <w:p w14:paraId="6670799E" w14:textId="77777777" w:rsidR="00B0357E" w:rsidRPr="006912F6" w:rsidRDefault="00B0357E" w:rsidP="00A95F81">
            <w:pPr>
              <w:spacing w:before="0" w:line="240" w:lineRule="auto"/>
              <w:jc w:val="center"/>
              <w:rPr>
                <w:rFonts w:cs="Times New Roman"/>
                <w:sz w:val="20"/>
              </w:rPr>
            </w:pPr>
            <w:r w:rsidRPr="006912F6">
              <w:rPr>
                <w:rFonts w:cs="Times New Roman"/>
                <w:sz w:val="20"/>
              </w:rPr>
              <w:t>£ 28.89 M</w:t>
            </w:r>
          </w:p>
        </w:tc>
        <w:tc>
          <w:tcPr>
            <w:tcW w:w="1368" w:type="dxa"/>
            <w:vAlign w:val="center"/>
          </w:tcPr>
          <w:p w14:paraId="03F6914C" w14:textId="77777777" w:rsidR="00B0357E" w:rsidRPr="006912F6" w:rsidRDefault="00B0357E" w:rsidP="00A95F81">
            <w:pPr>
              <w:spacing w:before="0" w:line="240" w:lineRule="auto"/>
              <w:jc w:val="center"/>
              <w:rPr>
                <w:rFonts w:cs="Times New Roman"/>
                <w:sz w:val="20"/>
              </w:rPr>
            </w:pPr>
            <w:r w:rsidRPr="006912F6">
              <w:rPr>
                <w:rFonts w:cs="Times New Roman"/>
                <w:sz w:val="20"/>
              </w:rPr>
              <w:t>£ 125.97 M</w:t>
            </w:r>
          </w:p>
        </w:tc>
        <w:tc>
          <w:tcPr>
            <w:tcW w:w="1368" w:type="dxa"/>
            <w:vAlign w:val="center"/>
          </w:tcPr>
          <w:p w14:paraId="2530BD7E" w14:textId="242EEF9B" w:rsidR="00B0357E" w:rsidRPr="006912F6" w:rsidRDefault="00B0357E" w:rsidP="00A95F81">
            <w:pPr>
              <w:spacing w:before="0" w:line="240" w:lineRule="auto"/>
              <w:jc w:val="center"/>
              <w:rPr>
                <w:rFonts w:cs="Times New Roman"/>
                <w:sz w:val="20"/>
              </w:rPr>
            </w:pPr>
            <w:r w:rsidRPr="006912F6">
              <w:rPr>
                <w:rFonts w:cs="Times New Roman"/>
                <w:sz w:val="20"/>
              </w:rPr>
              <w:t>£ 78.74 M</w:t>
            </w:r>
          </w:p>
        </w:tc>
        <w:tc>
          <w:tcPr>
            <w:tcW w:w="1368" w:type="dxa"/>
            <w:vAlign w:val="center"/>
          </w:tcPr>
          <w:p w14:paraId="59E25D0B" w14:textId="782F0448" w:rsidR="00B0357E" w:rsidRPr="006912F6" w:rsidRDefault="00B0357E" w:rsidP="00A95F81">
            <w:pPr>
              <w:spacing w:before="0" w:line="240" w:lineRule="auto"/>
              <w:jc w:val="center"/>
              <w:rPr>
                <w:rFonts w:cs="Times New Roman"/>
                <w:sz w:val="20"/>
              </w:rPr>
            </w:pPr>
            <w:r w:rsidRPr="006912F6">
              <w:rPr>
                <w:rFonts w:cs="Times New Roman"/>
                <w:sz w:val="20"/>
              </w:rPr>
              <w:t>£ 46.63 M</w:t>
            </w:r>
          </w:p>
        </w:tc>
      </w:tr>
      <w:tr w:rsidR="006912F6" w:rsidRPr="006912F6" w14:paraId="226FB00F" w14:textId="77777777" w:rsidTr="00AD3E8A">
        <w:trPr>
          <w:trHeight w:val="287"/>
        </w:trPr>
        <w:tc>
          <w:tcPr>
            <w:tcW w:w="1293" w:type="dxa"/>
            <w:vMerge/>
            <w:vAlign w:val="center"/>
          </w:tcPr>
          <w:p w14:paraId="2D38AE30" w14:textId="77777777" w:rsidR="00B0357E" w:rsidRPr="006912F6" w:rsidRDefault="00B0357E" w:rsidP="00A95F81">
            <w:pPr>
              <w:spacing w:before="0" w:line="240" w:lineRule="auto"/>
              <w:jc w:val="both"/>
              <w:rPr>
                <w:rFonts w:cs="Times New Roman"/>
                <w:sz w:val="16"/>
                <w:szCs w:val="18"/>
              </w:rPr>
            </w:pPr>
          </w:p>
        </w:tc>
        <w:tc>
          <w:tcPr>
            <w:tcW w:w="1148" w:type="dxa"/>
            <w:vAlign w:val="center"/>
          </w:tcPr>
          <w:p w14:paraId="727F362F" w14:textId="77777777" w:rsidR="00B0357E" w:rsidRPr="006912F6" w:rsidRDefault="00B0357E" w:rsidP="00A95F81">
            <w:pPr>
              <w:spacing w:before="0" w:line="240" w:lineRule="auto"/>
              <w:jc w:val="center"/>
              <w:rPr>
                <w:rFonts w:cs="Times New Roman"/>
                <w:sz w:val="20"/>
              </w:rPr>
            </w:pPr>
            <w:r w:rsidRPr="006912F6">
              <w:rPr>
                <w:rFonts w:cs="Times New Roman"/>
                <w:sz w:val="20"/>
              </w:rPr>
              <w:t>40%</w:t>
            </w:r>
          </w:p>
        </w:tc>
        <w:tc>
          <w:tcPr>
            <w:tcW w:w="1146" w:type="dxa"/>
            <w:vMerge/>
            <w:vAlign w:val="center"/>
          </w:tcPr>
          <w:p w14:paraId="154EA59C" w14:textId="77777777" w:rsidR="00B0357E" w:rsidRPr="006912F6" w:rsidRDefault="00B0357E" w:rsidP="00A95F81">
            <w:pPr>
              <w:spacing w:before="0" w:line="240" w:lineRule="auto"/>
              <w:jc w:val="both"/>
              <w:rPr>
                <w:rFonts w:cs="Times New Roman"/>
                <w:sz w:val="16"/>
                <w:szCs w:val="18"/>
              </w:rPr>
            </w:pPr>
          </w:p>
        </w:tc>
        <w:tc>
          <w:tcPr>
            <w:tcW w:w="1368" w:type="dxa"/>
            <w:vAlign w:val="center"/>
          </w:tcPr>
          <w:p w14:paraId="053400F5" w14:textId="77777777" w:rsidR="00B0357E" w:rsidRPr="006912F6" w:rsidRDefault="00B0357E" w:rsidP="00A95F81">
            <w:pPr>
              <w:spacing w:before="0" w:line="240" w:lineRule="auto"/>
              <w:jc w:val="center"/>
              <w:rPr>
                <w:rFonts w:cs="Times New Roman"/>
                <w:sz w:val="20"/>
              </w:rPr>
            </w:pPr>
            <w:r w:rsidRPr="006912F6">
              <w:rPr>
                <w:rFonts w:cs="Times New Roman"/>
                <w:sz w:val="20"/>
              </w:rPr>
              <w:t>£ 38.52 M</w:t>
            </w:r>
          </w:p>
        </w:tc>
        <w:tc>
          <w:tcPr>
            <w:tcW w:w="1368" w:type="dxa"/>
            <w:vAlign w:val="center"/>
          </w:tcPr>
          <w:p w14:paraId="37155BB8" w14:textId="77777777" w:rsidR="00B0357E" w:rsidRPr="006912F6" w:rsidRDefault="00B0357E" w:rsidP="00A95F81">
            <w:pPr>
              <w:spacing w:before="0" w:line="240" w:lineRule="auto"/>
              <w:jc w:val="center"/>
              <w:rPr>
                <w:rFonts w:cs="Times New Roman"/>
                <w:sz w:val="20"/>
              </w:rPr>
            </w:pPr>
            <w:r w:rsidRPr="006912F6">
              <w:rPr>
                <w:rFonts w:cs="Times New Roman"/>
                <w:sz w:val="20"/>
              </w:rPr>
              <w:t>£ 135.66 M</w:t>
            </w:r>
          </w:p>
        </w:tc>
        <w:tc>
          <w:tcPr>
            <w:tcW w:w="1368" w:type="dxa"/>
            <w:vAlign w:val="center"/>
          </w:tcPr>
          <w:p w14:paraId="496C7BD5" w14:textId="2E64BD2A" w:rsidR="00B0357E" w:rsidRPr="006912F6" w:rsidRDefault="00B0357E" w:rsidP="00A95F81">
            <w:pPr>
              <w:spacing w:before="0" w:line="240" w:lineRule="auto"/>
              <w:jc w:val="center"/>
              <w:rPr>
                <w:rFonts w:cs="Times New Roman"/>
                <w:sz w:val="20"/>
              </w:rPr>
            </w:pPr>
            <w:r w:rsidRPr="006912F6">
              <w:rPr>
                <w:rFonts w:cs="Times New Roman"/>
                <w:sz w:val="20"/>
              </w:rPr>
              <w:t>£ 83.58 M</w:t>
            </w:r>
          </w:p>
        </w:tc>
        <w:tc>
          <w:tcPr>
            <w:tcW w:w="1368" w:type="dxa"/>
            <w:vAlign w:val="center"/>
          </w:tcPr>
          <w:p w14:paraId="61D779FC" w14:textId="05FE6AC3" w:rsidR="00B0357E" w:rsidRPr="006912F6" w:rsidRDefault="00B0357E" w:rsidP="00A95F81">
            <w:pPr>
              <w:spacing w:before="0" w:line="240" w:lineRule="auto"/>
              <w:jc w:val="center"/>
              <w:rPr>
                <w:rFonts w:cs="Times New Roman"/>
                <w:sz w:val="20"/>
              </w:rPr>
            </w:pPr>
            <w:r w:rsidRPr="006912F6">
              <w:rPr>
                <w:rFonts w:cs="Times New Roman"/>
                <w:sz w:val="20"/>
              </w:rPr>
              <w:t>£ 51.48 M</w:t>
            </w:r>
          </w:p>
        </w:tc>
      </w:tr>
      <w:tr w:rsidR="00B0357E" w:rsidRPr="006912F6" w14:paraId="4AD7D4A0" w14:textId="77777777" w:rsidTr="00AD3E8A">
        <w:trPr>
          <w:trHeight w:val="150"/>
        </w:trPr>
        <w:tc>
          <w:tcPr>
            <w:tcW w:w="1293" w:type="dxa"/>
            <w:vMerge/>
            <w:vAlign w:val="center"/>
          </w:tcPr>
          <w:p w14:paraId="31C1FE6D" w14:textId="77777777" w:rsidR="00B0357E" w:rsidRPr="006912F6" w:rsidRDefault="00B0357E" w:rsidP="00A95F81">
            <w:pPr>
              <w:spacing w:before="0" w:line="240" w:lineRule="auto"/>
              <w:jc w:val="both"/>
              <w:rPr>
                <w:rFonts w:cs="Times New Roman"/>
                <w:sz w:val="16"/>
                <w:szCs w:val="18"/>
              </w:rPr>
            </w:pPr>
          </w:p>
        </w:tc>
        <w:tc>
          <w:tcPr>
            <w:tcW w:w="1148" w:type="dxa"/>
            <w:vAlign w:val="center"/>
          </w:tcPr>
          <w:p w14:paraId="7A4A604E" w14:textId="77777777" w:rsidR="00B0357E" w:rsidRPr="006912F6" w:rsidRDefault="00B0357E" w:rsidP="00A95F81">
            <w:pPr>
              <w:spacing w:before="0" w:line="240" w:lineRule="auto"/>
              <w:jc w:val="center"/>
              <w:rPr>
                <w:rFonts w:cs="Times New Roman"/>
                <w:sz w:val="20"/>
              </w:rPr>
            </w:pPr>
            <w:r w:rsidRPr="006912F6">
              <w:rPr>
                <w:rFonts w:cs="Times New Roman"/>
                <w:sz w:val="20"/>
              </w:rPr>
              <w:t>50%</w:t>
            </w:r>
          </w:p>
        </w:tc>
        <w:tc>
          <w:tcPr>
            <w:tcW w:w="1146" w:type="dxa"/>
            <w:vMerge/>
            <w:vAlign w:val="center"/>
          </w:tcPr>
          <w:p w14:paraId="125D7FD5" w14:textId="77777777" w:rsidR="00B0357E" w:rsidRPr="006912F6" w:rsidRDefault="00B0357E" w:rsidP="00A95F81">
            <w:pPr>
              <w:spacing w:before="0" w:line="240" w:lineRule="auto"/>
              <w:jc w:val="both"/>
              <w:rPr>
                <w:rFonts w:cs="Times New Roman"/>
                <w:sz w:val="16"/>
                <w:szCs w:val="18"/>
              </w:rPr>
            </w:pPr>
          </w:p>
        </w:tc>
        <w:tc>
          <w:tcPr>
            <w:tcW w:w="1368" w:type="dxa"/>
            <w:vAlign w:val="center"/>
          </w:tcPr>
          <w:p w14:paraId="27FDCCA5" w14:textId="77777777" w:rsidR="00B0357E" w:rsidRPr="006912F6" w:rsidRDefault="00B0357E" w:rsidP="00A95F81">
            <w:pPr>
              <w:spacing w:before="0" w:line="240" w:lineRule="auto"/>
              <w:jc w:val="center"/>
              <w:rPr>
                <w:rFonts w:cs="Times New Roman"/>
                <w:sz w:val="20"/>
              </w:rPr>
            </w:pPr>
            <w:r w:rsidRPr="006912F6">
              <w:rPr>
                <w:rFonts w:cs="Times New Roman"/>
                <w:sz w:val="20"/>
              </w:rPr>
              <w:t>£ 48.15 M</w:t>
            </w:r>
          </w:p>
        </w:tc>
        <w:tc>
          <w:tcPr>
            <w:tcW w:w="1368" w:type="dxa"/>
            <w:vAlign w:val="center"/>
          </w:tcPr>
          <w:p w14:paraId="4EA0AD9B" w14:textId="77777777" w:rsidR="00B0357E" w:rsidRPr="006912F6" w:rsidRDefault="00B0357E" w:rsidP="00A95F81">
            <w:pPr>
              <w:spacing w:before="0" w:line="240" w:lineRule="auto"/>
              <w:jc w:val="center"/>
              <w:rPr>
                <w:rFonts w:cs="Times New Roman"/>
                <w:sz w:val="20"/>
              </w:rPr>
            </w:pPr>
            <w:r w:rsidRPr="006912F6">
              <w:rPr>
                <w:rFonts w:cs="Times New Roman"/>
                <w:sz w:val="20"/>
              </w:rPr>
              <w:t>£ 145.35 M</w:t>
            </w:r>
          </w:p>
        </w:tc>
        <w:tc>
          <w:tcPr>
            <w:tcW w:w="1368" w:type="dxa"/>
            <w:vAlign w:val="center"/>
          </w:tcPr>
          <w:p w14:paraId="05310115" w14:textId="16CE5626" w:rsidR="00B0357E" w:rsidRPr="006912F6" w:rsidRDefault="00B0357E" w:rsidP="00A95F81">
            <w:pPr>
              <w:spacing w:before="0" w:line="240" w:lineRule="auto"/>
              <w:jc w:val="center"/>
              <w:rPr>
                <w:rFonts w:cs="Times New Roman"/>
                <w:sz w:val="20"/>
              </w:rPr>
            </w:pPr>
            <w:r w:rsidRPr="006912F6">
              <w:rPr>
                <w:rFonts w:cs="Times New Roman"/>
                <w:sz w:val="20"/>
              </w:rPr>
              <w:t>£ 88.42 M</w:t>
            </w:r>
          </w:p>
        </w:tc>
        <w:tc>
          <w:tcPr>
            <w:tcW w:w="1368" w:type="dxa"/>
            <w:vAlign w:val="center"/>
          </w:tcPr>
          <w:p w14:paraId="44033A13" w14:textId="7BE88470" w:rsidR="00B0357E" w:rsidRPr="006912F6" w:rsidRDefault="00B0357E" w:rsidP="00A95F81">
            <w:pPr>
              <w:spacing w:before="0" w:line="240" w:lineRule="auto"/>
              <w:jc w:val="center"/>
              <w:rPr>
                <w:rFonts w:cs="Times New Roman"/>
                <w:sz w:val="20"/>
              </w:rPr>
            </w:pPr>
            <w:r w:rsidRPr="006912F6">
              <w:rPr>
                <w:rFonts w:cs="Times New Roman"/>
                <w:sz w:val="20"/>
              </w:rPr>
              <w:t>£ 56.33 M</w:t>
            </w:r>
          </w:p>
        </w:tc>
      </w:tr>
    </w:tbl>
    <w:p w14:paraId="5504E347" w14:textId="77777777" w:rsidR="00971E72" w:rsidRPr="006912F6" w:rsidRDefault="00971E72" w:rsidP="00971E72">
      <w:pPr>
        <w:rPr>
          <w:rFonts w:cs="Times New Roman"/>
          <w:sz w:val="4"/>
        </w:rPr>
      </w:pPr>
    </w:p>
    <w:p w14:paraId="726DC382" w14:textId="28BC3D4B" w:rsidR="00A95F81" w:rsidRPr="006912F6" w:rsidRDefault="00A95F81" w:rsidP="00971E72">
      <w:pPr>
        <w:spacing w:before="0"/>
        <w:contextualSpacing/>
        <w:jc w:val="both"/>
        <w:rPr>
          <w:rFonts w:cs="Times New Roman"/>
          <w:sz w:val="18"/>
          <w:szCs w:val="20"/>
        </w:rPr>
      </w:pPr>
      <w:r w:rsidRPr="006912F6">
        <w:rPr>
          <w:rFonts w:cs="Times New Roman"/>
          <w:sz w:val="18"/>
          <w:szCs w:val="20"/>
          <w:vertAlign w:val="superscript"/>
        </w:rPr>
        <w:t xml:space="preserve"> </w:t>
      </w:r>
      <w:r w:rsidR="00971E72" w:rsidRPr="006912F6">
        <w:rPr>
          <w:rFonts w:cs="Times New Roman"/>
          <w:sz w:val="18"/>
          <w:szCs w:val="20"/>
          <w:vertAlign w:val="superscript"/>
        </w:rPr>
        <w:t>*</w:t>
      </w:r>
      <w:r w:rsidR="00971E72" w:rsidRPr="006912F6">
        <w:rPr>
          <w:rFonts w:cs="Times New Roman"/>
          <w:sz w:val="18"/>
          <w:szCs w:val="20"/>
        </w:rPr>
        <w:t xml:space="preserve"> </w:t>
      </w:r>
      <w:r w:rsidRPr="006912F6">
        <w:rPr>
          <w:rFonts w:cs="Times New Roman"/>
          <w:sz w:val="18"/>
          <w:szCs w:val="20"/>
        </w:rPr>
        <w:t>A c</w:t>
      </w:r>
      <w:r w:rsidR="00971E72" w:rsidRPr="006912F6">
        <w:rPr>
          <w:rFonts w:cs="Times New Roman"/>
          <w:sz w:val="18"/>
          <w:szCs w:val="20"/>
        </w:rPr>
        <w:t xml:space="preserve">ost in column (5) </w:t>
      </w:r>
      <w:r w:rsidRPr="006912F6">
        <w:rPr>
          <w:rFonts w:cs="Times New Roman"/>
          <w:sz w:val="18"/>
          <w:szCs w:val="20"/>
        </w:rPr>
        <w:t>is</w:t>
      </w:r>
      <w:r w:rsidR="00971E72" w:rsidRPr="006912F6">
        <w:rPr>
          <w:rFonts w:cs="Times New Roman"/>
          <w:sz w:val="18"/>
          <w:szCs w:val="20"/>
        </w:rPr>
        <w:t xml:space="preserve"> </w:t>
      </w:r>
      <w:r w:rsidRPr="006912F6">
        <w:rPr>
          <w:rFonts w:cs="Times New Roman"/>
          <w:sz w:val="18"/>
          <w:szCs w:val="20"/>
        </w:rPr>
        <w:t>the sum</w:t>
      </w:r>
      <w:r w:rsidR="00971E72" w:rsidRPr="006912F6">
        <w:rPr>
          <w:rFonts w:cs="Times New Roman"/>
          <w:sz w:val="18"/>
          <w:szCs w:val="20"/>
        </w:rPr>
        <w:t xml:space="preserve"> of</w:t>
      </w:r>
      <w:r w:rsidRPr="006912F6">
        <w:rPr>
          <w:rFonts w:cs="Times New Roman"/>
          <w:sz w:val="18"/>
          <w:szCs w:val="20"/>
        </w:rPr>
        <w:t xml:space="preserve"> the original cost (£ 64.2M) of </w:t>
      </w:r>
      <m:oMath>
        <m:sSub>
          <m:sSubPr>
            <m:ctrlPr>
              <w:rPr>
                <w:rFonts w:ascii="Cambria Math" w:hAnsi="Cambria Math" w:cs="Times New Roman"/>
                <w:sz w:val="18"/>
                <w:szCs w:val="20"/>
              </w:rPr>
            </m:ctrlPr>
          </m:sSubPr>
          <m:e>
            <m:r>
              <w:rPr>
                <w:rFonts w:ascii="Cambria Math" w:hAnsi="Cambria Math" w:cs="Times New Roman"/>
                <w:sz w:val="18"/>
                <w:szCs w:val="20"/>
              </w:rPr>
              <m:t>U</m:t>
            </m:r>
          </m:e>
          <m:sub>
            <m:r>
              <w:rPr>
                <w:rFonts w:ascii="Cambria Math" w:hAnsi="Cambria Math" w:cs="Times New Roman"/>
                <w:sz w:val="18"/>
                <w:szCs w:val="20"/>
              </w:rPr>
              <m:t>c</m:t>
            </m:r>
            <m:r>
              <m:rPr>
                <m:sty m:val="p"/>
              </m:rPr>
              <w:rPr>
                <w:rFonts w:ascii="Cambria Math" w:hAnsi="Cambria Math" w:cs="Times New Roman"/>
                <w:sz w:val="18"/>
                <w:szCs w:val="20"/>
              </w:rPr>
              <m:t>→3.5</m:t>
            </m:r>
            <m:r>
              <w:rPr>
                <w:rFonts w:ascii="Cambria Math" w:hAnsi="Cambria Math" w:cs="Times New Roman"/>
                <w:sz w:val="18"/>
                <w:szCs w:val="20"/>
              </w:rPr>
              <m:t>m</m:t>
            </m:r>
          </m:sub>
        </m:sSub>
      </m:oMath>
      <w:r w:rsidRPr="006912F6">
        <w:rPr>
          <w:rFonts w:cs="Times New Roman"/>
          <w:sz w:val="18"/>
          <w:szCs w:val="20"/>
        </w:rPr>
        <w:t xml:space="preserve"> </w:t>
      </w:r>
      <w:r w:rsidR="00971E72" w:rsidRPr="006912F6">
        <w:rPr>
          <w:rFonts w:cs="Times New Roman"/>
          <w:sz w:val="18"/>
          <w:szCs w:val="20"/>
        </w:rPr>
        <w:t>and</w:t>
      </w:r>
      <w:r w:rsidRPr="006912F6">
        <w:rPr>
          <w:rFonts w:cs="Times New Roman"/>
          <w:sz w:val="18"/>
          <w:szCs w:val="20"/>
        </w:rPr>
        <w:t xml:space="preserve"> the half of the premium cost in column (3)</w:t>
      </w:r>
    </w:p>
    <w:p w14:paraId="7A95D566" w14:textId="77777777" w:rsidR="00B0357E" w:rsidRPr="006912F6" w:rsidRDefault="00B0357E" w:rsidP="00011122">
      <w:pPr>
        <w:pStyle w:val="a4"/>
        <w:jc w:val="both"/>
        <w:rPr>
          <w:rFonts w:cs="Times New Roman"/>
          <w:b/>
          <w:i w:val="0"/>
          <w:color w:val="auto"/>
          <w:sz w:val="20"/>
          <w:szCs w:val="14"/>
        </w:rPr>
      </w:pPr>
    </w:p>
    <w:p w14:paraId="65FC5B0F" w14:textId="4D6C6B6A" w:rsidR="00862374" w:rsidRPr="006912F6" w:rsidRDefault="003C7583" w:rsidP="00667743">
      <w:pPr>
        <w:pStyle w:val="a7"/>
        <w:numPr>
          <w:ilvl w:val="0"/>
          <w:numId w:val="38"/>
        </w:numPr>
        <w:spacing w:before="0" w:line="480" w:lineRule="auto"/>
        <w:jc w:val="both"/>
        <w:rPr>
          <w:rFonts w:ascii="Cambria Math" w:hAnsi="Cambria Math" w:cs="Times New Roman"/>
          <w:i/>
          <w:sz w:val="20"/>
          <w:szCs w:val="18"/>
        </w:rPr>
      </w:pPr>
      <m:oMath>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c→3.25m</m:t>
            </m:r>
          </m:sub>
        </m:sSub>
        <m:r>
          <w:rPr>
            <w:rFonts w:ascii="Cambria Math" w:hAnsi="Cambria Math" w:cs="Times New Roman"/>
            <w:sz w:val="20"/>
            <w:szCs w:val="18"/>
          </w:rPr>
          <m:t>*</m:t>
        </m:r>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3.25m→4.0m</m:t>
            </m:r>
          </m:sub>
        </m:sSub>
      </m:oMath>
    </w:p>
    <w:tbl>
      <w:tblPr>
        <w:tblStyle w:val="TableGrid2"/>
        <w:tblW w:w="0" w:type="auto"/>
        <w:tblLook w:val="04A0" w:firstRow="1" w:lastRow="0" w:firstColumn="1" w:lastColumn="0" w:noHBand="0" w:noVBand="1"/>
      </w:tblPr>
      <w:tblGrid>
        <w:gridCol w:w="1297"/>
        <w:gridCol w:w="1151"/>
        <w:gridCol w:w="1149"/>
        <w:gridCol w:w="1372"/>
        <w:gridCol w:w="1372"/>
        <w:gridCol w:w="1372"/>
        <w:gridCol w:w="1372"/>
      </w:tblGrid>
      <w:tr w:rsidR="006912F6" w:rsidRPr="006912F6" w14:paraId="0D90C458" w14:textId="77777777" w:rsidTr="00AD3E8A">
        <w:trPr>
          <w:trHeight w:val="456"/>
        </w:trPr>
        <w:tc>
          <w:tcPr>
            <w:tcW w:w="1297" w:type="dxa"/>
            <w:vAlign w:val="center"/>
          </w:tcPr>
          <w:p w14:paraId="334103EC" w14:textId="77777777" w:rsidR="00735934" w:rsidRPr="006912F6" w:rsidRDefault="00735934" w:rsidP="000C4BE5">
            <w:pPr>
              <w:spacing w:before="0" w:line="240" w:lineRule="auto"/>
              <w:jc w:val="center"/>
              <w:rPr>
                <w:rFonts w:cs="Times New Roman"/>
                <w:sz w:val="16"/>
                <w:szCs w:val="18"/>
              </w:rPr>
            </w:pPr>
            <w:r w:rsidRPr="006912F6">
              <w:rPr>
                <w:rFonts w:cs="Times New Roman"/>
                <w:sz w:val="16"/>
                <w:szCs w:val="18"/>
              </w:rPr>
              <w:t>Adaptation paths</w:t>
            </w:r>
          </w:p>
        </w:tc>
        <w:tc>
          <w:tcPr>
            <w:tcW w:w="1151" w:type="dxa"/>
            <w:vAlign w:val="center"/>
          </w:tcPr>
          <w:p w14:paraId="60403685" w14:textId="77777777" w:rsidR="00735934" w:rsidRPr="006912F6" w:rsidRDefault="00735934" w:rsidP="000C4BE5">
            <w:pPr>
              <w:spacing w:before="0" w:line="240" w:lineRule="auto"/>
              <w:jc w:val="center"/>
              <w:rPr>
                <w:rFonts w:cs="Times New Roman"/>
                <w:sz w:val="16"/>
                <w:szCs w:val="18"/>
              </w:rPr>
            </w:pPr>
            <w:r w:rsidRPr="006912F6">
              <w:rPr>
                <w:rFonts w:cs="Times New Roman"/>
                <w:sz w:val="16"/>
                <w:szCs w:val="18"/>
              </w:rPr>
              <w:t>Premium</w:t>
            </w:r>
          </w:p>
          <w:p w14:paraId="1A787897" w14:textId="77777777" w:rsidR="00735934" w:rsidRPr="006912F6" w:rsidRDefault="00735934" w:rsidP="000C4BE5">
            <w:pPr>
              <w:spacing w:before="0" w:line="240" w:lineRule="auto"/>
              <w:jc w:val="center"/>
              <w:rPr>
                <w:rFonts w:cs="Times New Roman"/>
                <w:sz w:val="16"/>
                <w:szCs w:val="18"/>
              </w:rPr>
            </w:pPr>
            <w:r w:rsidRPr="006912F6">
              <w:rPr>
                <w:rFonts w:cs="Times New Roman"/>
                <w:sz w:val="16"/>
                <w:szCs w:val="18"/>
              </w:rPr>
              <w:t xml:space="preserve">scenarios </w:t>
            </w:r>
          </w:p>
          <w:p w14:paraId="1AB6FE64" w14:textId="77777777" w:rsidR="00735934" w:rsidRPr="006912F6" w:rsidRDefault="00735934" w:rsidP="000C4BE5">
            <w:pPr>
              <w:spacing w:before="0" w:line="240" w:lineRule="auto"/>
              <w:jc w:val="center"/>
              <w:rPr>
                <w:rFonts w:cs="Times New Roman"/>
                <w:sz w:val="16"/>
                <w:szCs w:val="18"/>
              </w:rPr>
            </w:pPr>
            <w:r w:rsidRPr="006912F6">
              <w:rPr>
                <w:rFonts w:cs="Times New Roman"/>
                <w:sz w:val="16"/>
                <w:szCs w:val="18"/>
              </w:rPr>
              <w:t>(1)</w:t>
            </w:r>
          </w:p>
        </w:tc>
        <w:tc>
          <w:tcPr>
            <w:tcW w:w="1149" w:type="dxa"/>
            <w:vAlign w:val="center"/>
          </w:tcPr>
          <w:p w14:paraId="794A0B61" w14:textId="77777777" w:rsidR="00735934" w:rsidRPr="006912F6" w:rsidRDefault="00735934" w:rsidP="000C4BE5">
            <w:pPr>
              <w:spacing w:before="0" w:line="240" w:lineRule="auto"/>
              <w:jc w:val="center"/>
              <w:rPr>
                <w:rFonts w:cs="Times New Roman"/>
                <w:sz w:val="16"/>
                <w:szCs w:val="18"/>
              </w:rPr>
            </w:pPr>
            <w:r w:rsidRPr="006912F6">
              <w:rPr>
                <w:rFonts w:cs="Times New Roman"/>
                <w:sz w:val="16"/>
                <w:szCs w:val="18"/>
              </w:rPr>
              <w:t>Original investment cost (2)</w:t>
            </w:r>
          </w:p>
        </w:tc>
        <w:tc>
          <w:tcPr>
            <w:tcW w:w="1372" w:type="dxa"/>
            <w:vAlign w:val="center"/>
          </w:tcPr>
          <w:p w14:paraId="28A38C44" w14:textId="77777777" w:rsidR="00735934" w:rsidRPr="006912F6" w:rsidRDefault="00735934" w:rsidP="000C4BE5">
            <w:pPr>
              <w:spacing w:before="0" w:line="240" w:lineRule="auto"/>
              <w:jc w:val="center"/>
              <w:rPr>
                <w:rFonts w:cs="Times New Roman"/>
                <w:sz w:val="16"/>
                <w:szCs w:val="18"/>
              </w:rPr>
            </w:pPr>
            <w:r w:rsidRPr="006912F6">
              <w:rPr>
                <w:rFonts w:cs="Times New Roman"/>
                <w:sz w:val="16"/>
                <w:szCs w:val="18"/>
              </w:rPr>
              <w:t>Premium cost</w:t>
            </w:r>
          </w:p>
          <w:p w14:paraId="2548C247" w14:textId="77777777" w:rsidR="00735934" w:rsidRPr="006912F6" w:rsidRDefault="00735934" w:rsidP="000C4BE5">
            <w:pPr>
              <w:spacing w:before="0" w:line="240" w:lineRule="auto"/>
              <w:jc w:val="center"/>
              <w:rPr>
                <w:rFonts w:cs="Times New Roman"/>
                <w:sz w:val="16"/>
                <w:szCs w:val="18"/>
              </w:rPr>
            </w:pPr>
            <w:r w:rsidRPr="006912F6">
              <w:rPr>
                <w:rFonts w:cs="Times New Roman"/>
                <w:sz w:val="16"/>
                <w:szCs w:val="18"/>
              </w:rPr>
              <w:t>(3)=(2)×(1)</w:t>
            </w:r>
          </w:p>
        </w:tc>
        <w:tc>
          <w:tcPr>
            <w:tcW w:w="1372" w:type="dxa"/>
            <w:vAlign w:val="center"/>
          </w:tcPr>
          <w:p w14:paraId="7351F2C2" w14:textId="77777777" w:rsidR="00735934" w:rsidRPr="006912F6" w:rsidRDefault="00735934" w:rsidP="000C4BE5">
            <w:pPr>
              <w:spacing w:before="0" w:line="240" w:lineRule="auto"/>
              <w:jc w:val="center"/>
              <w:rPr>
                <w:rFonts w:cs="Times New Roman"/>
                <w:sz w:val="16"/>
                <w:szCs w:val="18"/>
              </w:rPr>
            </w:pPr>
            <w:r w:rsidRPr="006912F6">
              <w:rPr>
                <w:rFonts w:cs="Times New Roman"/>
                <w:sz w:val="16"/>
                <w:szCs w:val="18"/>
              </w:rPr>
              <w:t xml:space="preserve">Investment cost </w:t>
            </w:r>
          </w:p>
          <w:p w14:paraId="29DAFBEE" w14:textId="77777777" w:rsidR="00735934" w:rsidRPr="006912F6" w:rsidRDefault="00735934" w:rsidP="000C4BE5">
            <w:pPr>
              <w:spacing w:before="0" w:line="240" w:lineRule="auto"/>
              <w:jc w:val="center"/>
              <w:rPr>
                <w:rFonts w:cs="Times New Roman"/>
                <w:sz w:val="16"/>
                <w:szCs w:val="18"/>
              </w:rPr>
            </w:pPr>
            <w:r w:rsidRPr="006912F6">
              <w:rPr>
                <w:rFonts w:cs="Times New Roman"/>
                <w:sz w:val="16"/>
                <w:szCs w:val="18"/>
              </w:rPr>
              <w:t>(4)=(2)+(3)</w:t>
            </w:r>
          </w:p>
        </w:tc>
        <w:tc>
          <w:tcPr>
            <w:tcW w:w="1372" w:type="dxa"/>
            <w:vAlign w:val="center"/>
          </w:tcPr>
          <w:p w14:paraId="50FFB240" w14:textId="77777777" w:rsidR="00735934" w:rsidRPr="006912F6" w:rsidRDefault="00735934" w:rsidP="000C4BE5">
            <w:pPr>
              <w:spacing w:before="0" w:line="240" w:lineRule="auto"/>
              <w:jc w:val="center"/>
              <w:rPr>
                <w:rFonts w:cs="Times New Roman"/>
                <w:sz w:val="16"/>
                <w:szCs w:val="18"/>
              </w:rPr>
            </w:pPr>
            <w:r w:rsidRPr="006912F6">
              <w:rPr>
                <w:rFonts w:cs="Times New Roman"/>
                <w:sz w:val="16"/>
                <w:szCs w:val="18"/>
              </w:rPr>
              <w:t>Cost for the 1</w:t>
            </w:r>
            <w:r w:rsidRPr="006912F6">
              <w:rPr>
                <w:rFonts w:cs="Times New Roman"/>
                <w:sz w:val="16"/>
                <w:szCs w:val="18"/>
                <w:vertAlign w:val="superscript"/>
              </w:rPr>
              <w:t>st</w:t>
            </w:r>
            <w:r w:rsidRPr="006912F6">
              <w:rPr>
                <w:rFonts w:cs="Times New Roman"/>
                <w:sz w:val="16"/>
                <w:szCs w:val="18"/>
              </w:rPr>
              <w:t xml:space="preserve"> upgrade </w:t>
            </w:r>
          </w:p>
          <w:p w14:paraId="7C662474" w14:textId="0D9ABC87" w:rsidR="00735934" w:rsidRPr="006912F6" w:rsidRDefault="00735934" w:rsidP="000C4BE5">
            <w:pPr>
              <w:spacing w:before="0" w:line="240" w:lineRule="auto"/>
              <w:jc w:val="center"/>
              <w:rPr>
                <w:rFonts w:cs="Times New Roman"/>
                <w:sz w:val="16"/>
                <w:szCs w:val="18"/>
              </w:rPr>
            </w:pPr>
            <w:r w:rsidRPr="006912F6">
              <w:rPr>
                <w:rFonts w:cs="Times New Roman"/>
                <w:sz w:val="16"/>
                <w:szCs w:val="18"/>
              </w:rPr>
              <w:t>(5)</w:t>
            </w:r>
            <w:r w:rsidR="00E4082E" w:rsidRPr="006912F6">
              <w:rPr>
                <w:rFonts w:cs="Times New Roman"/>
                <w:sz w:val="16"/>
                <w:szCs w:val="18"/>
                <w:vertAlign w:val="superscript"/>
              </w:rPr>
              <w:t>*</w:t>
            </w:r>
          </w:p>
        </w:tc>
        <w:tc>
          <w:tcPr>
            <w:tcW w:w="1372" w:type="dxa"/>
            <w:vAlign w:val="center"/>
          </w:tcPr>
          <w:p w14:paraId="759162DC" w14:textId="77777777" w:rsidR="00735934" w:rsidRPr="006912F6" w:rsidRDefault="00735934" w:rsidP="000C4BE5">
            <w:pPr>
              <w:spacing w:before="0" w:line="240" w:lineRule="auto"/>
              <w:jc w:val="center"/>
              <w:rPr>
                <w:rFonts w:cs="Times New Roman"/>
                <w:sz w:val="16"/>
                <w:szCs w:val="18"/>
              </w:rPr>
            </w:pPr>
            <w:r w:rsidRPr="006912F6">
              <w:rPr>
                <w:rFonts w:cs="Times New Roman"/>
                <w:sz w:val="16"/>
                <w:szCs w:val="18"/>
              </w:rPr>
              <w:t>Cost for the 2</w:t>
            </w:r>
            <w:r w:rsidRPr="006912F6">
              <w:rPr>
                <w:rFonts w:cs="Times New Roman"/>
                <w:sz w:val="16"/>
                <w:szCs w:val="18"/>
                <w:vertAlign w:val="superscript"/>
              </w:rPr>
              <w:t>nd</w:t>
            </w:r>
            <w:r w:rsidRPr="006912F6">
              <w:rPr>
                <w:rFonts w:cs="Times New Roman"/>
                <w:sz w:val="16"/>
                <w:szCs w:val="18"/>
              </w:rPr>
              <w:t xml:space="preserve"> upgrade</w:t>
            </w:r>
          </w:p>
          <w:p w14:paraId="658A8157" w14:textId="3C970EAE" w:rsidR="00735934" w:rsidRPr="006912F6" w:rsidRDefault="00735934" w:rsidP="000C4BE5">
            <w:pPr>
              <w:spacing w:before="0" w:line="240" w:lineRule="auto"/>
              <w:jc w:val="center"/>
              <w:rPr>
                <w:rFonts w:cs="Times New Roman"/>
                <w:sz w:val="16"/>
                <w:szCs w:val="18"/>
              </w:rPr>
            </w:pPr>
            <w:r w:rsidRPr="006912F6">
              <w:rPr>
                <w:rFonts w:cs="Times New Roman"/>
                <w:sz w:val="16"/>
                <w:szCs w:val="18"/>
              </w:rPr>
              <w:t>(6)=</w:t>
            </w:r>
            <w:r w:rsidR="00C94AEA" w:rsidRPr="006912F6">
              <w:rPr>
                <w:rFonts w:cs="Times New Roman"/>
                <w:sz w:val="16"/>
                <w:szCs w:val="18"/>
              </w:rPr>
              <w:t xml:space="preserve"> (4) – (5)</w:t>
            </w:r>
            <w:r w:rsidRPr="006912F6">
              <w:rPr>
                <w:rFonts w:cs="Times New Roman"/>
                <w:sz w:val="16"/>
                <w:szCs w:val="18"/>
              </w:rPr>
              <w:t xml:space="preserve"> </w:t>
            </w:r>
          </w:p>
        </w:tc>
      </w:tr>
      <w:tr w:rsidR="006912F6" w:rsidRPr="006912F6" w14:paraId="07503E4D" w14:textId="77777777" w:rsidTr="00AD3E8A">
        <w:trPr>
          <w:trHeight w:val="311"/>
        </w:trPr>
        <w:tc>
          <w:tcPr>
            <w:tcW w:w="1297" w:type="dxa"/>
            <w:vMerge w:val="restart"/>
            <w:vAlign w:val="center"/>
          </w:tcPr>
          <w:p w14:paraId="051B8511" w14:textId="630F1CE2" w:rsidR="00B0357E" w:rsidRPr="006912F6" w:rsidRDefault="003C7583" w:rsidP="00C94AEA">
            <w:pPr>
              <w:spacing w:before="0" w:line="240" w:lineRule="auto"/>
              <w:jc w:val="center"/>
              <w:rPr>
                <w:rFonts w:cs="Times New Roman"/>
                <w:i/>
                <w:sz w:val="20"/>
              </w:rPr>
            </w:pPr>
            <m:oMath>
              <m:sSub>
                <m:sSubPr>
                  <m:ctrlPr>
                    <w:rPr>
                      <w:rFonts w:ascii="Cambria Math" w:hAnsi="Cambria Math" w:cs="Times New Roman"/>
                      <w:i/>
                      <w:sz w:val="20"/>
                    </w:rPr>
                  </m:ctrlPr>
                </m:sSubPr>
                <m:e>
                  <m:r>
                    <w:rPr>
                      <w:rFonts w:ascii="Cambria Math" w:hAnsi="Cambria Math" w:cs="Times New Roman"/>
                      <w:sz w:val="20"/>
                    </w:rPr>
                    <m:t>U</m:t>
                  </m:r>
                </m:e>
                <m:sub>
                  <m:r>
                    <w:rPr>
                      <w:rFonts w:ascii="Cambria Math" w:hAnsi="Cambria Math" w:cs="Times New Roman"/>
                      <w:sz w:val="20"/>
                    </w:rPr>
                    <m:t>c→3.25m</m:t>
                  </m:r>
                </m:sub>
              </m:sSub>
            </m:oMath>
            <w:r w:rsidR="00B0357E" w:rsidRPr="006912F6">
              <w:rPr>
                <w:rFonts w:cs="Times New Roman"/>
                <w:i/>
                <w:sz w:val="20"/>
              </w:rPr>
              <w:t xml:space="preserve">* </w:t>
            </w:r>
            <m:oMath>
              <m:sSub>
                <m:sSubPr>
                  <m:ctrlPr>
                    <w:rPr>
                      <w:rFonts w:ascii="Cambria Math" w:hAnsi="Cambria Math" w:cs="Times New Roman"/>
                      <w:i/>
                      <w:sz w:val="20"/>
                    </w:rPr>
                  </m:ctrlPr>
                </m:sSubPr>
                <m:e>
                  <m:r>
                    <w:rPr>
                      <w:rFonts w:ascii="Cambria Math" w:hAnsi="Cambria Math" w:cs="Times New Roman"/>
                      <w:sz w:val="20"/>
                    </w:rPr>
                    <m:t>U</m:t>
                  </m:r>
                </m:e>
                <m:sub>
                  <m:r>
                    <w:rPr>
                      <w:rFonts w:ascii="Cambria Math" w:hAnsi="Cambria Math" w:cs="Times New Roman"/>
                      <w:sz w:val="20"/>
                    </w:rPr>
                    <m:t>3.25m→4.0m</m:t>
                  </m:r>
                </m:sub>
              </m:sSub>
            </m:oMath>
          </w:p>
        </w:tc>
        <w:tc>
          <w:tcPr>
            <w:tcW w:w="1151" w:type="dxa"/>
            <w:vAlign w:val="center"/>
          </w:tcPr>
          <w:p w14:paraId="0BCC83EB" w14:textId="77777777" w:rsidR="00B0357E" w:rsidRPr="006912F6" w:rsidRDefault="00B0357E" w:rsidP="00C94AEA">
            <w:pPr>
              <w:spacing w:before="0" w:line="240" w:lineRule="auto"/>
              <w:jc w:val="center"/>
              <w:rPr>
                <w:rFonts w:cs="Times New Roman"/>
                <w:sz w:val="20"/>
              </w:rPr>
            </w:pPr>
            <w:r w:rsidRPr="006912F6">
              <w:rPr>
                <w:rFonts w:cs="Times New Roman"/>
                <w:sz w:val="20"/>
              </w:rPr>
              <w:t>20%</w:t>
            </w:r>
          </w:p>
        </w:tc>
        <w:tc>
          <w:tcPr>
            <w:tcW w:w="1149" w:type="dxa"/>
            <w:vMerge w:val="restart"/>
            <w:vAlign w:val="center"/>
          </w:tcPr>
          <w:p w14:paraId="3FED7E53" w14:textId="3BA14B87" w:rsidR="00B0357E" w:rsidRPr="006912F6" w:rsidRDefault="00B0357E" w:rsidP="00C94AEA">
            <w:pPr>
              <w:spacing w:before="0" w:line="240" w:lineRule="auto"/>
              <w:jc w:val="both"/>
              <w:rPr>
                <w:rFonts w:cs="Times New Roman"/>
                <w:sz w:val="16"/>
                <w:szCs w:val="18"/>
              </w:rPr>
            </w:pPr>
            <w:r w:rsidRPr="006912F6">
              <w:rPr>
                <w:rFonts w:cs="Times New Roman"/>
                <w:sz w:val="20"/>
              </w:rPr>
              <w:t>£ 96.30 M</w:t>
            </w:r>
          </w:p>
        </w:tc>
        <w:tc>
          <w:tcPr>
            <w:tcW w:w="1372" w:type="dxa"/>
            <w:vAlign w:val="center"/>
          </w:tcPr>
          <w:p w14:paraId="15141996" w14:textId="1B0D432D" w:rsidR="00B0357E" w:rsidRPr="006912F6" w:rsidRDefault="00B0357E" w:rsidP="00C94AEA">
            <w:pPr>
              <w:spacing w:before="0" w:line="240" w:lineRule="auto"/>
              <w:jc w:val="center"/>
              <w:rPr>
                <w:rFonts w:cs="Times New Roman"/>
                <w:sz w:val="20"/>
              </w:rPr>
            </w:pPr>
            <w:r w:rsidRPr="006912F6">
              <w:rPr>
                <w:rFonts w:cs="Times New Roman"/>
                <w:sz w:val="20"/>
              </w:rPr>
              <w:t>£ 19.32 M</w:t>
            </w:r>
          </w:p>
        </w:tc>
        <w:tc>
          <w:tcPr>
            <w:tcW w:w="1372" w:type="dxa"/>
            <w:vAlign w:val="center"/>
          </w:tcPr>
          <w:p w14:paraId="3F264464" w14:textId="77777777" w:rsidR="00B0357E" w:rsidRPr="006912F6" w:rsidRDefault="00B0357E" w:rsidP="00C94AEA">
            <w:pPr>
              <w:spacing w:before="0" w:line="240" w:lineRule="auto"/>
              <w:jc w:val="center"/>
              <w:rPr>
                <w:rFonts w:cs="Times New Roman"/>
                <w:sz w:val="20"/>
              </w:rPr>
            </w:pPr>
            <w:r w:rsidRPr="006912F6">
              <w:rPr>
                <w:rFonts w:cs="Times New Roman"/>
                <w:sz w:val="20"/>
              </w:rPr>
              <w:t>£ 116.28 M</w:t>
            </w:r>
          </w:p>
        </w:tc>
        <w:tc>
          <w:tcPr>
            <w:tcW w:w="1372" w:type="dxa"/>
            <w:vAlign w:val="center"/>
          </w:tcPr>
          <w:p w14:paraId="3A1A934F" w14:textId="53185DDE" w:rsidR="00B0357E" w:rsidRPr="006912F6" w:rsidRDefault="00B0357E" w:rsidP="00C94AEA">
            <w:pPr>
              <w:spacing w:before="0" w:line="240" w:lineRule="auto"/>
              <w:jc w:val="center"/>
              <w:rPr>
                <w:rFonts w:cs="Times New Roman"/>
                <w:sz w:val="20"/>
              </w:rPr>
            </w:pPr>
            <w:r w:rsidRPr="006912F6">
              <w:rPr>
                <w:rFonts w:cs="Times New Roman"/>
                <w:sz w:val="20"/>
              </w:rPr>
              <w:t>£ 66.02 M</w:t>
            </w:r>
          </w:p>
        </w:tc>
        <w:tc>
          <w:tcPr>
            <w:tcW w:w="1372" w:type="dxa"/>
            <w:vAlign w:val="center"/>
          </w:tcPr>
          <w:p w14:paraId="28921584" w14:textId="43AB6D44" w:rsidR="00B0357E" w:rsidRPr="006912F6" w:rsidRDefault="00B0357E" w:rsidP="00C94AEA">
            <w:pPr>
              <w:spacing w:before="0" w:line="240" w:lineRule="auto"/>
              <w:jc w:val="center"/>
              <w:rPr>
                <w:rFonts w:cs="Times New Roman"/>
                <w:sz w:val="20"/>
              </w:rPr>
            </w:pPr>
            <w:r w:rsidRPr="006912F6">
              <w:rPr>
                <w:rFonts w:cs="Times New Roman"/>
                <w:sz w:val="20"/>
              </w:rPr>
              <w:t>£ 49.67 M</w:t>
            </w:r>
          </w:p>
        </w:tc>
      </w:tr>
      <w:tr w:rsidR="006912F6" w:rsidRPr="006912F6" w14:paraId="5AF9826D" w14:textId="77777777" w:rsidTr="00AD3E8A">
        <w:trPr>
          <w:trHeight w:val="311"/>
        </w:trPr>
        <w:tc>
          <w:tcPr>
            <w:tcW w:w="1297" w:type="dxa"/>
            <w:vMerge/>
            <w:vAlign w:val="center"/>
          </w:tcPr>
          <w:p w14:paraId="2C72BF2E" w14:textId="77777777" w:rsidR="00B0357E" w:rsidRPr="006912F6" w:rsidRDefault="00B0357E" w:rsidP="00C94AEA">
            <w:pPr>
              <w:spacing w:before="0" w:line="240" w:lineRule="auto"/>
              <w:jc w:val="both"/>
              <w:rPr>
                <w:rFonts w:cs="Times New Roman"/>
                <w:sz w:val="16"/>
                <w:szCs w:val="18"/>
              </w:rPr>
            </w:pPr>
          </w:p>
        </w:tc>
        <w:tc>
          <w:tcPr>
            <w:tcW w:w="1151" w:type="dxa"/>
            <w:vAlign w:val="center"/>
          </w:tcPr>
          <w:p w14:paraId="491D0BD2" w14:textId="77777777" w:rsidR="00B0357E" w:rsidRPr="006912F6" w:rsidRDefault="00B0357E" w:rsidP="00C94AEA">
            <w:pPr>
              <w:spacing w:before="0" w:line="240" w:lineRule="auto"/>
              <w:jc w:val="center"/>
              <w:rPr>
                <w:rFonts w:cs="Times New Roman"/>
                <w:sz w:val="20"/>
              </w:rPr>
            </w:pPr>
            <w:r w:rsidRPr="006912F6">
              <w:rPr>
                <w:rFonts w:cs="Times New Roman"/>
                <w:sz w:val="20"/>
              </w:rPr>
              <w:t>30%</w:t>
            </w:r>
          </w:p>
        </w:tc>
        <w:tc>
          <w:tcPr>
            <w:tcW w:w="1149" w:type="dxa"/>
            <w:vMerge/>
            <w:vAlign w:val="center"/>
          </w:tcPr>
          <w:p w14:paraId="7A5B5565" w14:textId="77777777" w:rsidR="00B0357E" w:rsidRPr="006912F6" w:rsidRDefault="00B0357E" w:rsidP="00C94AEA">
            <w:pPr>
              <w:spacing w:before="0" w:line="240" w:lineRule="auto"/>
              <w:jc w:val="both"/>
              <w:rPr>
                <w:rFonts w:cs="Times New Roman"/>
                <w:sz w:val="16"/>
                <w:szCs w:val="18"/>
              </w:rPr>
            </w:pPr>
          </w:p>
        </w:tc>
        <w:tc>
          <w:tcPr>
            <w:tcW w:w="1372" w:type="dxa"/>
            <w:vAlign w:val="center"/>
          </w:tcPr>
          <w:p w14:paraId="1CE8094B" w14:textId="1CEFA0F0" w:rsidR="00B0357E" w:rsidRPr="006912F6" w:rsidRDefault="00B0357E" w:rsidP="00C94AEA">
            <w:pPr>
              <w:spacing w:before="0" w:line="240" w:lineRule="auto"/>
              <w:jc w:val="center"/>
              <w:rPr>
                <w:rFonts w:cs="Times New Roman"/>
                <w:sz w:val="20"/>
              </w:rPr>
            </w:pPr>
            <w:r w:rsidRPr="006912F6">
              <w:rPr>
                <w:rFonts w:cs="Times New Roman"/>
                <w:sz w:val="20"/>
              </w:rPr>
              <w:t>£ 28.89 M</w:t>
            </w:r>
          </w:p>
        </w:tc>
        <w:tc>
          <w:tcPr>
            <w:tcW w:w="1372" w:type="dxa"/>
            <w:vAlign w:val="center"/>
          </w:tcPr>
          <w:p w14:paraId="0CB930A1" w14:textId="77777777" w:rsidR="00B0357E" w:rsidRPr="006912F6" w:rsidRDefault="00B0357E" w:rsidP="00C94AEA">
            <w:pPr>
              <w:spacing w:before="0" w:line="240" w:lineRule="auto"/>
              <w:jc w:val="center"/>
              <w:rPr>
                <w:rFonts w:cs="Times New Roman"/>
                <w:sz w:val="20"/>
              </w:rPr>
            </w:pPr>
            <w:r w:rsidRPr="006912F6">
              <w:rPr>
                <w:rFonts w:cs="Times New Roman"/>
                <w:sz w:val="20"/>
              </w:rPr>
              <w:t>£ 125.97 M</w:t>
            </w:r>
          </w:p>
        </w:tc>
        <w:tc>
          <w:tcPr>
            <w:tcW w:w="1372" w:type="dxa"/>
            <w:vAlign w:val="center"/>
          </w:tcPr>
          <w:p w14:paraId="378B54AD" w14:textId="70246355" w:rsidR="00B0357E" w:rsidRPr="006912F6" w:rsidRDefault="00B0357E" w:rsidP="00C94AEA">
            <w:pPr>
              <w:spacing w:before="0" w:line="240" w:lineRule="auto"/>
              <w:jc w:val="center"/>
              <w:rPr>
                <w:rFonts w:cs="Times New Roman"/>
                <w:sz w:val="20"/>
              </w:rPr>
            </w:pPr>
            <w:r w:rsidRPr="006912F6">
              <w:rPr>
                <w:rFonts w:cs="Times New Roman"/>
                <w:sz w:val="20"/>
              </w:rPr>
              <w:t>£ 70.86 M</w:t>
            </w:r>
          </w:p>
        </w:tc>
        <w:tc>
          <w:tcPr>
            <w:tcW w:w="1372" w:type="dxa"/>
            <w:vAlign w:val="center"/>
          </w:tcPr>
          <w:p w14:paraId="773C2F8F" w14:textId="7B6EA3D8" w:rsidR="00B0357E" w:rsidRPr="006912F6" w:rsidRDefault="00B0357E" w:rsidP="00C94AEA">
            <w:pPr>
              <w:spacing w:before="0" w:line="240" w:lineRule="auto"/>
              <w:jc w:val="center"/>
              <w:rPr>
                <w:rFonts w:cs="Times New Roman"/>
                <w:sz w:val="20"/>
              </w:rPr>
            </w:pPr>
            <w:r w:rsidRPr="006912F6">
              <w:rPr>
                <w:rFonts w:cs="Times New Roman"/>
                <w:sz w:val="20"/>
              </w:rPr>
              <w:t>£ 54.51 M</w:t>
            </w:r>
          </w:p>
        </w:tc>
      </w:tr>
      <w:tr w:rsidR="006912F6" w:rsidRPr="006912F6" w14:paraId="67A82883" w14:textId="77777777" w:rsidTr="00AD3E8A">
        <w:trPr>
          <w:trHeight w:val="311"/>
        </w:trPr>
        <w:tc>
          <w:tcPr>
            <w:tcW w:w="1297" w:type="dxa"/>
            <w:vMerge/>
            <w:vAlign w:val="center"/>
          </w:tcPr>
          <w:p w14:paraId="310D64A4" w14:textId="77777777" w:rsidR="00B0357E" w:rsidRPr="006912F6" w:rsidRDefault="00B0357E" w:rsidP="00C94AEA">
            <w:pPr>
              <w:spacing w:before="0" w:line="240" w:lineRule="auto"/>
              <w:jc w:val="both"/>
              <w:rPr>
                <w:rFonts w:cs="Times New Roman"/>
                <w:sz w:val="16"/>
                <w:szCs w:val="18"/>
              </w:rPr>
            </w:pPr>
          </w:p>
        </w:tc>
        <w:tc>
          <w:tcPr>
            <w:tcW w:w="1151" w:type="dxa"/>
            <w:vAlign w:val="center"/>
          </w:tcPr>
          <w:p w14:paraId="69DAC7A2" w14:textId="77777777" w:rsidR="00B0357E" w:rsidRPr="006912F6" w:rsidRDefault="00B0357E" w:rsidP="00C94AEA">
            <w:pPr>
              <w:spacing w:before="0" w:line="240" w:lineRule="auto"/>
              <w:jc w:val="center"/>
              <w:rPr>
                <w:rFonts w:cs="Times New Roman"/>
                <w:sz w:val="20"/>
              </w:rPr>
            </w:pPr>
            <w:r w:rsidRPr="006912F6">
              <w:rPr>
                <w:rFonts w:cs="Times New Roman"/>
                <w:sz w:val="20"/>
              </w:rPr>
              <w:t>40%</w:t>
            </w:r>
          </w:p>
        </w:tc>
        <w:tc>
          <w:tcPr>
            <w:tcW w:w="1149" w:type="dxa"/>
            <w:vMerge/>
            <w:vAlign w:val="center"/>
          </w:tcPr>
          <w:p w14:paraId="09298CD0" w14:textId="77777777" w:rsidR="00B0357E" w:rsidRPr="006912F6" w:rsidRDefault="00B0357E" w:rsidP="00C94AEA">
            <w:pPr>
              <w:spacing w:before="0" w:line="240" w:lineRule="auto"/>
              <w:jc w:val="both"/>
              <w:rPr>
                <w:rFonts w:cs="Times New Roman"/>
                <w:sz w:val="16"/>
                <w:szCs w:val="18"/>
              </w:rPr>
            </w:pPr>
          </w:p>
        </w:tc>
        <w:tc>
          <w:tcPr>
            <w:tcW w:w="1372" w:type="dxa"/>
            <w:vAlign w:val="center"/>
          </w:tcPr>
          <w:p w14:paraId="1A0BBDD0" w14:textId="6D0BD0EC" w:rsidR="00B0357E" w:rsidRPr="006912F6" w:rsidRDefault="00B0357E" w:rsidP="00C94AEA">
            <w:pPr>
              <w:spacing w:before="0" w:line="240" w:lineRule="auto"/>
              <w:jc w:val="center"/>
              <w:rPr>
                <w:rFonts w:cs="Times New Roman"/>
                <w:sz w:val="20"/>
              </w:rPr>
            </w:pPr>
            <w:r w:rsidRPr="006912F6">
              <w:rPr>
                <w:rFonts w:cs="Times New Roman"/>
                <w:sz w:val="20"/>
              </w:rPr>
              <w:t>£ 38.52 M</w:t>
            </w:r>
          </w:p>
        </w:tc>
        <w:tc>
          <w:tcPr>
            <w:tcW w:w="1372" w:type="dxa"/>
            <w:vAlign w:val="center"/>
          </w:tcPr>
          <w:p w14:paraId="4F7D9B85" w14:textId="77777777" w:rsidR="00B0357E" w:rsidRPr="006912F6" w:rsidRDefault="00B0357E" w:rsidP="00C94AEA">
            <w:pPr>
              <w:spacing w:before="0" w:line="240" w:lineRule="auto"/>
              <w:jc w:val="center"/>
              <w:rPr>
                <w:rFonts w:cs="Times New Roman"/>
                <w:sz w:val="20"/>
              </w:rPr>
            </w:pPr>
            <w:r w:rsidRPr="006912F6">
              <w:rPr>
                <w:rFonts w:cs="Times New Roman"/>
                <w:sz w:val="20"/>
              </w:rPr>
              <w:t>£ 135.66 M</w:t>
            </w:r>
          </w:p>
        </w:tc>
        <w:tc>
          <w:tcPr>
            <w:tcW w:w="1372" w:type="dxa"/>
            <w:vAlign w:val="center"/>
          </w:tcPr>
          <w:p w14:paraId="20C417AF" w14:textId="084C278E" w:rsidR="00B0357E" w:rsidRPr="006912F6" w:rsidRDefault="00B0357E" w:rsidP="00C94AEA">
            <w:pPr>
              <w:spacing w:before="0" w:line="240" w:lineRule="auto"/>
              <w:jc w:val="center"/>
              <w:rPr>
                <w:rFonts w:cs="Times New Roman"/>
                <w:sz w:val="20"/>
              </w:rPr>
            </w:pPr>
            <w:r w:rsidRPr="006912F6">
              <w:rPr>
                <w:rFonts w:cs="Times New Roman"/>
                <w:sz w:val="20"/>
              </w:rPr>
              <w:t>£ 75.71 M</w:t>
            </w:r>
          </w:p>
        </w:tc>
        <w:tc>
          <w:tcPr>
            <w:tcW w:w="1372" w:type="dxa"/>
            <w:vAlign w:val="center"/>
          </w:tcPr>
          <w:p w14:paraId="1DCD4A4D" w14:textId="6CBF19B3" w:rsidR="00B0357E" w:rsidRPr="006912F6" w:rsidRDefault="00B0357E" w:rsidP="00C94AEA">
            <w:pPr>
              <w:spacing w:before="0" w:line="240" w:lineRule="auto"/>
              <w:jc w:val="center"/>
              <w:rPr>
                <w:rFonts w:cs="Times New Roman"/>
                <w:sz w:val="20"/>
              </w:rPr>
            </w:pPr>
            <w:r w:rsidRPr="006912F6">
              <w:rPr>
                <w:rFonts w:cs="Times New Roman"/>
                <w:sz w:val="20"/>
              </w:rPr>
              <w:t>£ 59.36 M</w:t>
            </w:r>
          </w:p>
        </w:tc>
      </w:tr>
      <w:tr w:rsidR="00B0357E" w:rsidRPr="006912F6" w14:paraId="47799B2D" w14:textId="77777777" w:rsidTr="00AD3E8A">
        <w:trPr>
          <w:trHeight w:val="311"/>
        </w:trPr>
        <w:tc>
          <w:tcPr>
            <w:tcW w:w="1297" w:type="dxa"/>
            <w:vMerge/>
            <w:vAlign w:val="center"/>
          </w:tcPr>
          <w:p w14:paraId="392720CD" w14:textId="77777777" w:rsidR="00B0357E" w:rsidRPr="006912F6" w:rsidRDefault="00B0357E" w:rsidP="00C94AEA">
            <w:pPr>
              <w:spacing w:before="0" w:line="240" w:lineRule="auto"/>
              <w:jc w:val="both"/>
              <w:rPr>
                <w:rFonts w:cs="Times New Roman"/>
                <w:sz w:val="16"/>
                <w:szCs w:val="18"/>
              </w:rPr>
            </w:pPr>
          </w:p>
        </w:tc>
        <w:tc>
          <w:tcPr>
            <w:tcW w:w="1151" w:type="dxa"/>
            <w:vAlign w:val="center"/>
          </w:tcPr>
          <w:p w14:paraId="2D2231F0" w14:textId="77777777" w:rsidR="00B0357E" w:rsidRPr="006912F6" w:rsidRDefault="00B0357E" w:rsidP="00C94AEA">
            <w:pPr>
              <w:spacing w:before="0" w:line="240" w:lineRule="auto"/>
              <w:jc w:val="center"/>
              <w:rPr>
                <w:rFonts w:cs="Times New Roman"/>
                <w:sz w:val="20"/>
              </w:rPr>
            </w:pPr>
            <w:r w:rsidRPr="006912F6">
              <w:rPr>
                <w:rFonts w:cs="Times New Roman"/>
                <w:sz w:val="20"/>
              </w:rPr>
              <w:t>50%</w:t>
            </w:r>
          </w:p>
        </w:tc>
        <w:tc>
          <w:tcPr>
            <w:tcW w:w="1149" w:type="dxa"/>
            <w:vMerge/>
            <w:vAlign w:val="center"/>
          </w:tcPr>
          <w:p w14:paraId="13E29962" w14:textId="77777777" w:rsidR="00B0357E" w:rsidRPr="006912F6" w:rsidRDefault="00B0357E" w:rsidP="00C94AEA">
            <w:pPr>
              <w:spacing w:before="0" w:line="240" w:lineRule="auto"/>
              <w:jc w:val="both"/>
              <w:rPr>
                <w:rFonts w:cs="Times New Roman"/>
                <w:sz w:val="16"/>
                <w:szCs w:val="18"/>
              </w:rPr>
            </w:pPr>
          </w:p>
        </w:tc>
        <w:tc>
          <w:tcPr>
            <w:tcW w:w="1372" w:type="dxa"/>
            <w:vAlign w:val="center"/>
          </w:tcPr>
          <w:p w14:paraId="77230C3B" w14:textId="3E71B3FD" w:rsidR="00B0357E" w:rsidRPr="006912F6" w:rsidRDefault="00B0357E" w:rsidP="00C94AEA">
            <w:pPr>
              <w:spacing w:before="0" w:line="240" w:lineRule="auto"/>
              <w:jc w:val="center"/>
              <w:rPr>
                <w:rFonts w:cs="Times New Roman"/>
                <w:sz w:val="20"/>
              </w:rPr>
            </w:pPr>
            <w:r w:rsidRPr="006912F6">
              <w:rPr>
                <w:rFonts w:cs="Times New Roman"/>
                <w:sz w:val="20"/>
              </w:rPr>
              <w:t>£ 48.15 M</w:t>
            </w:r>
          </w:p>
        </w:tc>
        <w:tc>
          <w:tcPr>
            <w:tcW w:w="1372" w:type="dxa"/>
            <w:vAlign w:val="center"/>
          </w:tcPr>
          <w:p w14:paraId="16992627" w14:textId="77777777" w:rsidR="00B0357E" w:rsidRPr="006912F6" w:rsidRDefault="00B0357E" w:rsidP="00C94AEA">
            <w:pPr>
              <w:spacing w:before="0" w:line="240" w:lineRule="auto"/>
              <w:jc w:val="center"/>
              <w:rPr>
                <w:rFonts w:cs="Times New Roman"/>
                <w:sz w:val="20"/>
              </w:rPr>
            </w:pPr>
            <w:r w:rsidRPr="006912F6">
              <w:rPr>
                <w:rFonts w:cs="Times New Roman"/>
                <w:sz w:val="20"/>
              </w:rPr>
              <w:t>£ 145.35 M</w:t>
            </w:r>
          </w:p>
        </w:tc>
        <w:tc>
          <w:tcPr>
            <w:tcW w:w="1372" w:type="dxa"/>
            <w:vAlign w:val="center"/>
          </w:tcPr>
          <w:p w14:paraId="0C595D3E" w14:textId="572526A6" w:rsidR="00B0357E" w:rsidRPr="006912F6" w:rsidRDefault="00B0357E" w:rsidP="00C94AEA">
            <w:pPr>
              <w:spacing w:before="0" w:line="240" w:lineRule="auto"/>
              <w:jc w:val="center"/>
              <w:rPr>
                <w:rFonts w:cs="Times New Roman"/>
                <w:sz w:val="20"/>
              </w:rPr>
            </w:pPr>
            <w:r w:rsidRPr="006912F6">
              <w:rPr>
                <w:rFonts w:cs="Times New Roman"/>
                <w:sz w:val="20"/>
              </w:rPr>
              <w:t>£ 80.55 M</w:t>
            </w:r>
          </w:p>
        </w:tc>
        <w:tc>
          <w:tcPr>
            <w:tcW w:w="1372" w:type="dxa"/>
            <w:vAlign w:val="center"/>
          </w:tcPr>
          <w:p w14:paraId="5B5ADA67" w14:textId="7F64DC5A" w:rsidR="00B0357E" w:rsidRPr="006912F6" w:rsidRDefault="00B0357E" w:rsidP="00C94AEA">
            <w:pPr>
              <w:spacing w:before="0" w:line="240" w:lineRule="auto"/>
              <w:jc w:val="center"/>
              <w:rPr>
                <w:rFonts w:cs="Times New Roman"/>
                <w:sz w:val="20"/>
              </w:rPr>
            </w:pPr>
            <w:r w:rsidRPr="006912F6">
              <w:rPr>
                <w:rFonts w:cs="Times New Roman"/>
                <w:sz w:val="20"/>
              </w:rPr>
              <w:t>£ 64.19 M</w:t>
            </w:r>
          </w:p>
        </w:tc>
      </w:tr>
    </w:tbl>
    <w:p w14:paraId="69F97F05" w14:textId="77777777" w:rsidR="004A7589" w:rsidRPr="006912F6" w:rsidRDefault="004A7589" w:rsidP="004A7589">
      <w:pPr>
        <w:rPr>
          <w:rFonts w:cs="Times New Roman"/>
          <w:sz w:val="4"/>
        </w:rPr>
      </w:pPr>
    </w:p>
    <w:p w14:paraId="496775F7" w14:textId="217D7408" w:rsidR="0037226C" w:rsidRPr="006912F6" w:rsidRDefault="004A7589" w:rsidP="00E4082E">
      <w:pPr>
        <w:spacing w:before="0"/>
        <w:contextualSpacing/>
        <w:jc w:val="both"/>
        <w:rPr>
          <w:rFonts w:cs="Times New Roman"/>
          <w:sz w:val="18"/>
          <w:szCs w:val="20"/>
        </w:rPr>
      </w:pPr>
      <w:r w:rsidRPr="006912F6">
        <w:rPr>
          <w:rFonts w:cs="Times New Roman"/>
          <w:sz w:val="18"/>
          <w:szCs w:val="20"/>
          <w:vertAlign w:val="superscript"/>
        </w:rPr>
        <w:t>*</w:t>
      </w:r>
      <w:r w:rsidRPr="006912F6">
        <w:rPr>
          <w:rFonts w:cs="Times New Roman"/>
          <w:sz w:val="18"/>
          <w:szCs w:val="20"/>
        </w:rPr>
        <w:t xml:space="preserve"> </w:t>
      </w:r>
      <w:r w:rsidR="00A95F81" w:rsidRPr="006912F6">
        <w:rPr>
          <w:rFonts w:cs="Times New Roman"/>
          <w:sz w:val="18"/>
          <w:szCs w:val="20"/>
        </w:rPr>
        <w:t>A c</w:t>
      </w:r>
      <w:r w:rsidRPr="006912F6">
        <w:rPr>
          <w:rFonts w:cs="Times New Roman"/>
          <w:sz w:val="18"/>
          <w:szCs w:val="20"/>
        </w:rPr>
        <w:t>ost in column (</w:t>
      </w:r>
      <w:r w:rsidR="00E4082E" w:rsidRPr="006912F6">
        <w:rPr>
          <w:rFonts w:cs="Times New Roman"/>
          <w:sz w:val="18"/>
          <w:szCs w:val="20"/>
        </w:rPr>
        <w:t>5</w:t>
      </w:r>
      <w:r w:rsidRPr="006912F6">
        <w:rPr>
          <w:rFonts w:cs="Times New Roman"/>
          <w:sz w:val="18"/>
          <w:szCs w:val="20"/>
        </w:rPr>
        <w:t xml:space="preserve">) </w:t>
      </w:r>
      <w:r w:rsidR="00E4082E" w:rsidRPr="006912F6">
        <w:rPr>
          <w:rFonts w:cs="Times New Roman"/>
          <w:sz w:val="18"/>
          <w:szCs w:val="20"/>
        </w:rPr>
        <w:t xml:space="preserve">is the average cost of </w:t>
      </w:r>
      <m:oMath>
        <m:sSub>
          <m:sSubPr>
            <m:ctrlPr>
              <w:rPr>
                <w:rFonts w:ascii="Cambria Math" w:hAnsi="Cambria Math" w:cs="Times New Roman"/>
                <w:sz w:val="18"/>
                <w:szCs w:val="20"/>
              </w:rPr>
            </m:ctrlPr>
          </m:sSubPr>
          <m:e>
            <m:r>
              <w:rPr>
                <w:rFonts w:ascii="Cambria Math" w:hAnsi="Cambria Math" w:cs="Times New Roman"/>
                <w:sz w:val="18"/>
                <w:szCs w:val="20"/>
              </w:rPr>
              <m:t>U</m:t>
            </m:r>
          </m:e>
          <m:sub>
            <m:r>
              <w:rPr>
                <w:rFonts w:ascii="Cambria Math" w:hAnsi="Cambria Math" w:cs="Times New Roman"/>
                <w:sz w:val="18"/>
                <w:szCs w:val="20"/>
              </w:rPr>
              <m:t>c</m:t>
            </m:r>
            <m:r>
              <m:rPr>
                <m:sty m:val="p"/>
              </m:rPr>
              <w:rPr>
                <w:rFonts w:ascii="Cambria Math" w:hAnsi="Cambria Math" w:cs="Times New Roman"/>
                <w:sz w:val="18"/>
                <w:szCs w:val="20"/>
              </w:rPr>
              <m:t>→3.0</m:t>
            </m:r>
            <m:r>
              <w:rPr>
                <w:rFonts w:ascii="Cambria Math" w:hAnsi="Cambria Math" w:cs="Times New Roman"/>
                <w:sz w:val="18"/>
                <w:szCs w:val="20"/>
              </w:rPr>
              <m:t>m</m:t>
            </m:r>
          </m:sub>
        </m:sSub>
      </m:oMath>
      <w:r w:rsidR="00E4082E" w:rsidRPr="006912F6">
        <w:rPr>
          <w:rFonts w:cs="Times New Roman"/>
          <w:sz w:val="18"/>
          <w:szCs w:val="20"/>
        </w:rPr>
        <w:t xml:space="preserve"> in  </w:t>
      </w:r>
      <m:oMath>
        <m:sSub>
          <m:sSubPr>
            <m:ctrlPr>
              <w:rPr>
                <w:rFonts w:ascii="Cambria Math" w:hAnsi="Cambria Math" w:cs="Times New Roman"/>
                <w:sz w:val="18"/>
                <w:szCs w:val="20"/>
              </w:rPr>
            </m:ctrlPr>
          </m:sSubPr>
          <m:e>
            <m:r>
              <w:rPr>
                <w:rFonts w:ascii="Cambria Math" w:hAnsi="Cambria Math" w:cs="Times New Roman"/>
                <w:sz w:val="18"/>
                <w:szCs w:val="20"/>
              </w:rPr>
              <m:t>U</m:t>
            </m:r>
          </m:e>
          <m:sub>
            <m:r>
              <w:rPr>
                <w:rFonts w:ascii="Cambria Math" w:hAnsi="Cambria Math" w:cs="Times New Roman"/>
                <w:sz w:val="18"/>
                <w:szCs w:val="20"/>
              </w:rPr>
              <m:t>c</m:t>
            </m:r>
            <m:r>
              <m:rPr>
                <m:sty m:val="p"/>
              </m:rPr>
              <w:rPr>
                <w:rFonts w:ascii="Cambria Math" w:hAnsi="Cambria Math" w:cs="Times New Roman"/>
                <w:sz w:val="18"/>
                <w:szCs w:val="20"/>
              </w:rPr>
              <m:t>→3.0</m:t>
            </m:r>
            <m:r>
              <w:rPr>
                <w:rFonts w:ascii="Cambria Math" w:hAnsi="Cambria Math" w:cs="Times New Roman"/>
                <w:sz w:val="18"/>
                <w:szCs w:val="20"/>
              </w:rPr>
              <m:t>m</m:t>
            </m:r>
          </m:sub>
        </m:sSub>
        <m:r>
          <m:rPr>
            <m:sty m:val="p"/>
          </m:rPr>
          <w:rPr>
            <w:rFonts w:ascii="Cambria Math" w:hAnsi="Cambria Math" w:cs="Times New Roman"/>
            <w:sz w:val="18"/>
            <w:szCs w:val="20"/>
          </w:rPr>
          <m:t>*</m:t>
        </m:r>
        <m:sSub>
          <m:sSubPr>
            <m:ctrlPr>
              <w:rPr>
                <w:rFonts w:ascii="Cambria Math" w:hAnsi="Cambria Math" w:cs="Times New Roman"/>
                <w:sz w:val="18"/>
                <w:szCs w:val="20"/>
              </w:rPr>
            </m:ctrlPr>
          </m:sSubPr>
          <m:e>
            <m:r>
              <w:rPr>
                <w:rFonts w:ascii="Cambria Math" w:hAnsi="Cambria Math" w:cs="Times New Roman"/>
                <w:sz w:val="18"/>
                <w:szCs w:val="20"/>
              </w:rPr>
              <m:t>U</m:t>
            </m:r>
          </m:e>
          <m:sub>
            <m:r>
              <m:rPr>
                <m:sty m:val="p"/>
              </m:rPr>
              <w:rPr>
                <w:rFonts w:ascii="Cambria Math" w:hAnsi="Cambria Math" w:cs="Times New Roman"/>
                <w:sz w:val="18"/>
                <w:szCs w:val="20"/>
              </w:rPr>
              <m:t>3.0</m:t>
            </m:r>
            <m:r>
              <w:rPr>
                <w:rFonts w:ascii="Cambria Math" w:hAnsi="Cambria Math" w:cs="Times New Roman"/>
                <w:sz w:val="18"/>
                <w:szCs w:val="20"/>
              </w:rPr>
              <m:t>m</m:t>
            </m:r>
            <m:r>
              <m:rPr>
                <m:sty m:val="p"/>
              </m:rPr>
              <w:rPr>
                <w:rFonts w:ascii="Cambria Math" w:hAnsi="Cambria Math" w:cs="Times New Roman"/>
                <w:sz w:val="18"/>
                <w:szCs w:val="20"/>
              </w:rPr>
              <m:t>→4.0</m:t>
            </m:r>
            <m:r>
              <w:rPr>
                <w:rFonts w:ascii="Cambria Math" w:hAnsi="Cambria Math" w:cs="Times New Roman"/>
                <w:sz w:val="18"/>
                <w:szCs w:val="20"/>
              </w:rPr>
              <m:t>m</m:t>
            </m:r>
          </m:sub>
        </m:sSub>
      </m:oMath>
      <w:r w:rsidR="00E4082E" w:rsidRPr="006912F6">
        <w:rPr>
          <w:rFonts w:cs="Times New Roman"/>
          <w:sz w:val="18"/>
          <w:szCs w:val="20"/>
        </w:rPr>
        <w:t xml:space="preserve"> and </w:t>
      </w:r>
      <m:oMath>
        <m:sSub>
          <m:sSubPr>
            <m:ctrlPr>
              <w:rPr>
                <w:rFonts w:ascii="Cambria Math" w:hAnsi="Cambria Math" w:cs="Times New Roman"/>
                <w:sz w:val="18"/>
                <w:szCs w:val="20"/>
              </w:rPr>
            </m:ctrlPr>
          </m:sSubPr>
          <m:e>
            <m:r>
              <w:rPr>
                <w:rFonts w:ascii="Cambria Math" w:hAnsi="Cambria Math" w:cs="Times New Roman"/>
                <w:sz w:val="18"/>
                <w:szCs w:val="20"/>
              </w:rPr>
              <m:t>U</m:t>
            </m:r>
          </m:e>
          <m:sub>
            <m:r>
              <w:rPr>
                <w:rFonts w:ascii="Cambria Math" w:hAnsi="Cambria Math" w:cs="Times New Roman"/>
                <w:sz w:val="18"/>
                <w:szCs w:val="20"/>
              </w:rPr>
              <m:t>c</m:t>
            </m:r>
            <m:r>
              <m:rPr>
                <m:sty m:val="p"/>
              </m:rPr>
              <w:rPr>
                <w:rFonts w:ascii="Cambria Math" w:hAnsi="Cambria Math" w:cs="Times New Roman"/>
                <w:sz w:val="18"/>
                <w:szCs w:val="20"/>
              </w:rPr>
              <m:t>→3.5</m:t>
            </m:r>
            <m:r>
              <w:rPr>
                <w:rFonts w:ascii="Cambria Math" w:hAnsi="Cambria Math" w:cs="Times New Roman"/>
                <w:sz w:val="18"/>
                <w:szCs w:val="20"/>
              </w:rPr>
              <m:t>m</m:t>
            </m:r>
          </m:sub>
        </m:sSub>
      </m:oMath>
      <w:r w:rsidR="00E4082E" w:rsidRPr="006912F6">
        <w:rPr>
          <w:rFonts w:cs="Times New Roman"/>
          <w:sz w:val="18"/>
          <w:szCs w:val="20"/>
        </w:rPr>
        <w:t xml:space="preserve"> in </w:t>
      </w:r>
      <m:oMath>
        <m:sSub>
          <m:sSubPr>
            <m:ctrlPr>
              <w:rPr>
                <w:rFonts w:ascii="Cambria Math" w:hAnsi="Cambria Math" w:cs="Times New Roman"/>
                <w:sz w:val="18"/>
                <w:szCs w:val="20"/>
              </w:rPr>
            </m:ctrlPr>
          </m:sSubPr>
          <m:e>
            <m:r>
              <w:rPr>
                <w:rFonts w:ascii="Cambria Math" w:hAnsi="Cambria Math" w:cs="Times New Roman"/>
                <w:sz w:val="18"/>
                <w:szCs w:val="20"/>
              </w:rPr>
              <m:t>U</m:t>
            </m:r>
          </m:e>
          <m:sub>
            <m:r>
              <w:rPr>
                <w:rFonts w:ascii="Cambria Math" w:hAnsi="Cambria Math" w:cs="Times New Roman"/>
                <w:sz w:val="18"/>
                <w:szCs w:val="20"/>
              </w:rPr>
              <m:t>c</m:t>
            </m:r>
            <m:r>
              <m:rPr>
                <m:sty m:val="p"/>
              </m:rPr>
              <w:rPr>
                <w:rFonts w:ascii="Cambria Math" w:hAnsi="Cambria Math" w:cs="Times New Roman"/>
                <w:sz w:val="18"/>
                <w:szCs w:val="20"/>
              </w:rPr>
              <m:t>→3.5</m:t>
            </m:r>
            <m:r>
              <w:rPr>
                <w:rFonts w:ascii="Cambria Math" w:hAnsi="Cambria Math" w:cs="Times New Roman"/>
                <w:sz w:val="18"/>
                <w:szCs w:val="20"/>
              </w:rPr>
              <m:t>m</m:t>
            </m:r>
          </m:sub>
        </m:sSub>
        <m:r>
          <m:rPr>
            <m:sty m:val="p"/>
          </m:rPr>
          <w:rPr>
            <w:rFonts w:ascii="Cambria Math" w:hAnsi="Cambria Math" w:cs="Times New Roman"/>
            <w:sz w:val="18"/>
            <w:szCs w:val="20"/>
          </w:rPr>
          <m:t>*</m:t>
        </m:r>
        <m:sSub>
          <m:sSubPr>
            <m:ctrlPr>
              <w:rPr>
                <w:rFonts w:ascii="Cambria Math" w:hAnsi="Cambria Math" w:cs="Times New Roman"/>
                <w:sz w:val="18"/>
                <w:szCs w:val="20"/>
              </w:rPr>
            </m:ctrlPr>
          </m:sSubPr>
          <m:e>
            <m:r>
              <w:rPr>
                <w:rFonts w:ascii="Cambria Math" w:hAnsi="Cambria Math" w:cs="Times New Roman"/>
                <w:sz w:val="18"/>
                <w:szCs w:val="20"/>
              </w:rPr>
              <m:t>U</m:t>
            </m:r>
          </m:e>
          <m:sub>
            <m:r>
              <m:rPr>
                <m:sty m:val="p"/>
              </m:rPr>
              <w:rPr>
                <w:rFonts w:ascii="Cambria Math" w:hAnsi="Cambria Math" w:cs="Times New Roman"/>
                <w:sz w:val="18"/>
                <w:szCs w:val="20"/>
              </w:rPr>
              <m:t>3.5</m:t>
            </m:r>
            <m:r>
              <w:rPr>
                <w:rFonts w:ascii="Cambria Math" w:hAnsi="Cambria Math" w:cs="Times New Roman"/>
                <w:sz w:val="18"/>
                <w:szCs w:val="20"/>
              </w:rPr>
              <m:t>m</m:t>
            </m:r>
            <m:r>
              <m:rPr>
                <m:sty m:val="p"/>
              </m:rPr>
              <w:rPr>
                <w:rFonts w:ascii="Cambria Math" w:hAnsi="Cambria Math" w:cs="Times New Roman"/>
                <w:sz w:val="18"/>
                <w:szCs w:val="20"/>
              </w:rPr>
              <m:t>→4.0</m:t>
            </m:r>
            <m:r>
              <w:rPr>
                <w:rFonts w:ascii="Cambria Math" w:hAnsi="Cambria Math" w:cs="Times New Roman"/>
                <w:sz w:val="18"/>
                <w:szCs w:val="20"/>
              </w:rPr>
              <m:t>m</m:t>
            </m:r>
          </m:sub>
        </m:sSub>
      </m:oMath>
    </w:p>
    <w:p w14:paraId="049EE233" w14:textId="77777777" w:rsidR="0037226C" w:rsidRPr="006912F6" w:rsidRDefault="0037226C">
      <w:pPr>
        <w:spacing w:before="0" w:after="160" w:line="259" w:lineRule="auto"/>
        <w:rPr>
          <w:rFonts w:cs="Times New Roman"/>
          <w:b/>
          <w:bCs/>
          <w:sz w:val="18"/>
          <w:szCs w:val="20"/>
        </w:rPr>
      </w:pPr>
      <w:r w:rsidRPr="006912F6">
        <w:rPr>
          <w:rFonts w:cs="Times New Roman"/>
          <w:b/>
          <w:bCs/>
          <w:sz w:val="18"/>
          <w:szCs w:val="20"/>
        </w:rPr>
        <w:lastRenderedPageBreak/>
        <w:t xml:space="preserve">References </w:t>
      </w:r>
    </w:p>
    <w:p w14:paraId="03132892" w14:textId="77777777" w:rsidR="0037226C" w:rsidRPr="006912F6" w:rsidRDefault="0037226C" w:rsidP="0037226C">
      <w:pPr>
        <w:pStyle w:val="EndNoteBibliography"/>
        <w:ind w:left="720" w:hanging="720"/>
        <w:rPr>
          <w:rFonts w:ascii="Times New Roman" w:hAnsi="Times New Roman" w:cs="Times New Roman"/>
          <w:sz w:val="20"/>
          <w:szCs w:val="20"/>
        </w:rPr>
      </w:pPr>
      <w:bookmarkStart w:id="703" w:name="_ENREF_39"/>
      <w:r w:rsidRPr="006912F6">
        <w:rPr>
          <w:rFonts w:ascii="Times New Roman" w:hAnsi="Times New Roman" w:cs="Times New Roman"/>
          <w:sz w:val="20"/>
          <w:szCs w:val="20"/>
        </w:rPr>
        <w:t xml:space="preserve">DIXIT, A. K. and PINDYCK, R. S. 1994. </w:t>
      </w:r>
      <w:r w:rsidRPr="006912F6">
        <w:rPr>
          <w:rFonts w:ascii="Times New Roman" w:hAnsi="Times New Roman" w:cs="Times New Roman"/>
          <w:i/>
          <w:sz w:val="20"/>
          <w:szCs w:val="20"/>
        </w:rPr>
        <w:t xml:space="preserve">Investment under uncertainty, </w:t>
      </w:r>
      <w:r w:rsidRPr="006912F6">
        <w:rPr>
          <w:rFonts w:ascii="Times New Roman" w:hAnsi="Times New Roman" w:cs="Times New Roman"/>
          <w:sz w:val="20"/>
          <w:szCs w:val="20"/>
        </w:rPr>
        <w:t>Princeton, Princeton university press.</w:t>
      </w:r>
      <w:bookmarkEnd w:id="703"/>
    </w:p>
    <w:p w14:paraId="110812C7" w14:textId="77777777" w:rsidR="0037226C" w:rsidRPr="006912F6" w:rsidRDefault="0037226C" w:rsidP="0037226C">
      <w:pPr>
        <w:pStyle w:val="EndNoteBibliography"/>
        <w:ind w:left="720" w:hanging="720"/>
        <w:rPr>
          <w:rFonts w:ascii="Times New Roman" w:hAnsi="Times New Roman" w:cs="Times New Roman"/>
          <w:sz w:val="20"/>
          <w:szCs w:val="20"/>
        </w:rPr>
      </w:pPr>
      <w:bookmarkStart w:id="704" w:name="_ENREF_43"/>
      <w:r w:rsidRPr="006912F6">
        <w:rPr>
          <w:rFonts w:ascii="Times New Roman" w:hAnsi="Times New Roman" w:cs="Times New Roman"/>
          <w:sz w:val="20"/>
          <w:szCs w:val="20"/>
        </w:rPr>
        <w:t>EA. 2015. Cost estimation for coastal protection –summary of evidence, Environment Agency Report –SC080039/R7</w:t>
      </w:r>
      <w:bookmarkEnd w:id="704"/>
    </w:p>
    <w:p w14:paraId="7DC51670" w14:textId="77777777" w:rsidR="0037226C" w:rsidRPr="006912F6" w:rsidRDefault="0037226C" w:rsidP="0037226C">
      <w:pPr>
        <w:rPr>
          <w:rFonts w:cs="Times New Roman"/>
          <w:sz w:val="20"/>
          <w:szCs w:val="20"/>
        </w:rPr>
      </w:pPr>
      <w:r w:rsidRPr="006912F6">
        <w:rPr>
          <w:rFonts w:cs="Times New Roman"/>
          <w:sz w:val="20"/>
          <w:szCs w:val="20"/>
        </w:rPr>
        <w:t xml:space="preserve">NFDC. 2010. North Solent shoreline management plan. Appendix H Economic Appraisal and Sensitivity Testing. Published by New Forest District Council (UK). Available: </w:t>
      </w:r>
      <w:hyperlink r:id="rId18" w:history="1">
        <w:r w:rsidRPr="006912F6">
          <w:rPr>
            <w:sz w:val="20"/>
            <w:szCs w:val="20"/>
          </w:rPr>
          <w:t>http://www.northsolentsmp.co.uk/</w:t>
        </w:r>
      </w:hyperlink>
      <w:r w:rsidRPr="006912F6">
        <w:rPr>
          <w:rFonts w:cs="Times New Roman"/>
          <w:sz w:val="20"/>
          <w:szCs w:val="20"/>
        </w:rPr>
        <w:t xml:space="preserve"> [Accessed June 1,  2016]</w:t>
      </w:r>
    </w:p>
    <w:p w14:paraId="0CFAB5BC" w14:textId="77777777" w:rsidR="0037226C" w:rsidRPr="006912F6" w:rsidRDefault="0037226C" w:rsidP="0037226C">
      <w:pPr>
        <w:pStyle w:val="EndNoteBibliography"/>
        <w:ind w:left="720" w:hanging="720"/>
        <w:rPr>
          <w:rFonts w:ascii="Times New Roman" w:hAnsi="Times New Roman" w:cs="Times New Roman"/>
          <w:sz w:val="20"/>
          <w:szCs w:val="20"/>
        </w:rPr>
      </w:pPr>
      <w:bookmarkStart w:id="705" w:name="_ENREF_130"/>
      <w:r w:rsidRPr="006912F6">
        <w:rPr>
          <w:rFonts w:ascii="Times New Roman" w:hAnsi="Times New Roman" w:cs="Times New Roman"/>
          <w:sz w:val="20"/>
          <w:szCs w:val="20"/>
        </w:rPr>
        <w:t xml:space="preserve">PARK, C. S. 2002. </w:t>
      </w:r>
      <w:r w:rsidRPr="006912F6">
        <w:rPr>
          <w:rFonts w:ascii="Times New Roman" w:hAnsi="Times New Roman" w:cs="Times New Roman"/>
          <w:i/>
          <w:sz w:val="20"/>
          <w:szCs w:val="20"/>
        </w:rPr>
        <w:t>Contemporary engineering economics</w:t>
      </w:r>
      <w:r w:rsidRPr="006912F6">
        <w:rPr>
          <w:rFonts w:ascii="Times New Roman" w:hAnsi="Times New Roman" w:cs="Times New Roman"/>
          <w:sz w:val="20"/>
          <w:szCs w:val="20"/>
        </w:rPr>
        <w:t>, Prentice Hall Upper Saddle River, NJ.</w:t>
      </w:r>
      <w:bookmarkEnd w:id="705"/>
    </w:p>
    <w:p w14:paraId="091AA845" w14:textId="77777777" w:rsidR="0037226C" w:rsidRPr="006912F6" w:rsidRDefault="0037226C" w:rsidP="0037226C">
      <w:pPr>
        <w:pStyle w:val="EndNoteBibliography"/>
        <w:ind w:left="720" w:hanging="720"/>
        <w:rPr>
          <w:rFonts w:ascii="Times New Roman" w:hAnsi="Times New Roman" w:cs="Times New Roman"/>
          <w:sz w:val="20"/>
          <w:szCs w:val="20"/>
        </w:rPr>
      </w:pPr>
      <w:bookmarkStart w:id="706" w:name="_ENREF_148"/>
      <w:r w:rsidRPr="006912F6">
        <w:rPr>
          <w:rFonts w:ascii="Times New Roman" w:hAnsi="Times New Roman" w:cs="Times New Roman"/>
          <w:sz w:val="20"/>
          <w:szCs w:val="20"/>
        </w:rPr>
        <w:t xml:space="preserve">SLIJKHUIS, K., VAN GELDER, P. and VRIJLING, J. 1997. Optimal dike height under statistical-construction-and damage uncertainty. </w:t>
      </w:r>
      <w:r w:rsidRPr="006912F6">
        <w:rPr>
          <w:rFonts w:ascii="Times New Roman" w:hAnsi="Times New Roman" w:cs="Times New Roman"/>
          <w:i/>
          <w:sz w:val="20"/>
          <w:szCs w:val="20"/>
        </w:rPr>
        <w:t>Structural Safety and Reliability,</w:t>
      </w:r>
      <w:r w:rsidRPr="006912F6">
        <w:rPr>
          <w:rFonts w:ascii="Times New Roman" w:hAnsi="Times New Roman" w:cs="Times New Roman"/>
          <w:sz w:val="20"/>
          <w:szCs w:val="20"/>
        </w:rPr>
        <w:t xml:space="preserve"> 7</w:t>
      </w:r>
      <w:r w:rsidRPr="006912F6">
        <w:rPr>
          <w:rFonts w:ascii="Times New Roman" w:hAnsi="Times New Roman" w:cs="Times New Roman"/>
          <w:b/>
          <w:sz w:val="20"/>
          <w:szCs w:val="20"/>
        </w:rPr>
        <w:t>,</w:t>
      </w:r>
      <w:r w:rsidRPr="006912F6">
        <w:rPr>
          <w:rFonts w:ascii="Times New Roman" w:hAnsi="Times New Roman" w:cs="Times New Roman"/>
          <w:sz w:val="20"/>
          <w:szCs w:val="20"/>
        </w:rPr>
        <w:t xml:space="preserve"> 1137-1140.</w:t>
      </w:r>
      <w:bookmarkEnd w:id="706"/>
    </w:p>
    <w:p w14:paraId="5EB610AB" w14:textId="77777777" w:rsidR="0037226C" w:rsidRPr="006912F6" w:rsidRDefault="0037226C" w:rsidP="0037226C">
      <w:pPr>
        <w:rPr>
          <w:sz w:val="20"/>
          <w:szCs w:val="20"/>
        </w:rPr>
      </w:pPr>
      <w:r w:rsidRPr="006912F6">
        <w:rPr>
          <w:sz w:val="20"/>
          <w:szCs w:val="20"/>
        </w:rPr>
        <w:br w:type="page"/>
      </w:r>
    </w:p>
    <w:p w14:paraId="62436C43" w14:textId="386774C7" w:rsidR="00945F75" w:rsidRPr="006912F6" w:rsidRDefault="00945F75" w:rsidP="00945F75">
      <w:pPr>
        <w:rPr>
          <w:b/>
          <w:bCs/>
          <w:sz w:val="22"/>
          <w:szCs w:val="20"/>
        </w:rPr>
      </w:pPr>
      <w:r w:rsidRPr="006912F6">
        <w:rPr>
          <w:b/>
          <w:bCs/>
          <w:sz w:val="22"/>
          <w:szCs w:val="20"/>
        </w:rPr>
        <w:lastRenderedPageBreak/>
        <w:t xml:space="preserve">Supplement </w:t>
      </w:r>
      <w:r w:rsidR="00AD3E8A" w:rsidRPr="006912F6">
        <w:rPr>
          <w:b/>
          <w:bCs/>
          <w:sz w:val="22"/>
          <w:szCs w:val="20"/>
        </w:rPr>
        <w:t>3</w:t>
      </w:r>
      <w:r w:rsidRPr="006912F6">
        <w:rPr>
          <w:b/>
          <w:bCs/>
          <w:sz w:val="22"/>
          <w:szCs w:val="20"/>
        </w:rPr>
        <w:t xml:space="preserve">. </w:t>
      </w:r>
      <w:r w:rsidR="004E3DD1" w:rsidRPr="006912F6">
        <w:rPr>
          <w:b/>
          <w:bCs/>
          <w:sz w:val="22"/>
          <w:szCs w:val="20"/>
        </w:rPr>
        <w:t>Option evaluations</w:t>
      </w:r>
      <w:r w:rsidRPr="006912F6">
        <w:rPr>
          <w:b/>
          <w:bCs/>
          <w:sz w:val="22"/>
          <w:szCs w:val="20"/>
        </w:rPr>
        <w:t xml:space="preserve"> </w:t>
      </w:r>
      <w:bookmarkEnd w:id="700"/>
      <w:bookmarkEnd w:id="701"/>
      <w:r w:rsidR="00C97F6D" w:rsidRPr="006912F6">
        <w:rPr>
          <w:b/>
          <w:bCs/>
          <w:sz w:val="22"/>
          <w:szCs w:val="20"/>
        </w:rPr>
        <w:t>for adaptation</w:t>
      </w:r>
      <w:r w:rsidR="004340B1" w:rsidRPr="006912F6">
        <w:rPr>
          <w:b/>
          <w:bCs/>
          <w:sz w:val="22"/>
          <w:szCs w:val="20"/>
        </w:rPr>
        <w:t>s</w:t>
      </w:r>
      <w:r w:rsidR="00C97F6D" w:rsidRPr="006912F6">
        <w:rPr>
          <w:b/>
          <w:bCs/>
          <w:sz w:val="22"/>
          <w:szCs w:val="20"/>
        </w:rPr>
        <w:t xml:space="preserve"> with flexibility</w:t>
      </w:r>
    </w:p>
    <w:p w14:paraId="0525D3AD" w14:textId="5100FC2D" w:rsidR="00550B73" w:rsidRPr="006912F6" w:rsidRDefault="00045770" w:rsidP="00AD3E8A">
      <w:pPr>
        <w:pStyle w:val="a7"/>
        <w:numPr>
          <w:ilvl w:val="1"/>
          <w:numId w:val="33"/>
        </w:numPr>
        <w:tabs>
          <w:tab w:val="left" w:pos="6128"/>
        </w:tabs>
        <w:jc w:val="both"/>
        <w:rPr>
          <w:rFonts w:cs="Times New Roman"/>
          <w:b/>
          <w:bCs/>
          <w:sz w:val="20"/>
          <w:szCs w:val="18"/>
        </w:rPr>
      </w:pPr>
      <w:r w:rsidRPr="006912F6">
        <w:rPr>
          <w:rFonts w:cs="Times New Roman"/>
          <w:b/>
          <w:bCs/>
          <w:sz w:val="20"/>
          <w:szCs w:val="18"/>
        </w:rPr>
        <w:t>Option evaluation for s</w:t>
      </w:r>
      <w:r w:rsidR="00550B73" w:rsidRPr="006912F6">
        <w:rPr>
          <w:rFonts w:cs="Times New Roman"/>
          <w:b/>
          <w:bCs/>
          <w:sz w:val="20"/>
          <w:szCs w:val="18"/>
        </w:rPr>
        <w:t>ingle-stage adaptation</w:t>
      </w:r>
    </w:p>
    <w:p w14:paraId="22F8D986" w14:textId="60C8092A" w:rsidR="00DD4C3B" w:rsidRPr="006912F6" w:rsidRDefault="004340B1" w:rsidP="00DD4C3B">
      <w:pPr>
        <w:tabs>
          <w:tab w:val="left" w:pos="6128"/>
        </w:tabs>
        <w:jc w:val="both"/>
        <w:rPr>
          <w:rFonts w:cs="Times New Roman"/>
          <w:sz w:val="20"/>
          <w:szCs w:val="18"/>
        </w:rPr>
      </w:pPr>
      <w:r w:rsidRPr="006912F6">
        <w:rPr>
          <w:rFonts w:cs="Times New Roman"/>
          <w:sz w:val="20"/>
          <w:szCs w:val="18"/>
        </w:rPr>
        <w:t>T</w:t>
      </w:r>
      <w:r w:rsidR="00945F75" w:rsidRPr="006912F6">
        <w:rPr>
          <w:rFonts w:cs="Times New Roman"/>
          <w:sz w:val="20"/>
          <w:szCs w:val="18"/>
        </w:rPr>
        <w:t xml:space="preserve">his paper first considers the </w:t>
      </w:r>
      <w:r w:rsidRPr="006912F6">
        <w:rPr>
          <w:rFonts w:cs="Times New Roman"/>
          <w:sz w:val="20"/>
          <w:szCs w:val="18"/>
        </w:rPr>
        <w:t xml:space="preserve">single-stage </w:t>
      </w:r>
      <w:r w:rsidR="00945F75" w:rsidRPr="006912F6">
        <w:rPr>
          <w:rFonts w:cs="Times New Roman"/>
          <w:sz w:val="20"/>
          <w:szCs w:val="18"/>
        </w:rPr>
        <w:t xml:space="preserve">upgrade of raising the crest level from </w:t>
      </w:r>
      <w:r w:rsidRPr="006912F6">
        <w:rPr>
          <w:rFonts w:cs="Times New Roman"/>
          <w:sz w:val="20"/>
          <w:szCs w:val="18"/>
        </w:rPr>
        <w:t xml:space="preserve">the current level (i.e. approximately </w:t>
      </w:r>
      <w:r w:rsidR="00945F75" w:rsidRPr="006912F6">
        <w:rPr>
          <w:rFonts w:cs="Times New Roman"/>
          <w:sz w:val="20"/>
          <w:szCs w:val="18"/>
        </w:rPr>
        <w:t>2.5 mAOD</w:t>
      </w:r>
      <w:r w:rsidRPr="006912F6">
        <w:rPr>
          <w:rFonts w:cs="Times New Roman"/>
          <w:sz w:val="20"/>
          <w:szCs w:val="18"/>
        </w:rPr>
        <w:t>)</w:t>
      </w:r>
      <w:r w:rsidR="00945F75" w:rsidRPr="006912F6">
        <w:rPr>
          <w:rFonts w:cs="Times New Roman"/>
          <w:sz w:val="20"/>
          <w:szCs w:val="18"/>
        </w:rPr>
        <w:t xml:space="preserve"> to </w:t>
      </w:r>
      <w:r w:rsidR="00C97F6D" w:rsidRPr="006912F6">
        <w:rPr>
          <w:rFonts w:cs="Times New Roman"/>
          <w:sz w:val="20"/>
          <w:szCs w:val="18"/>
        </w:rPr>
        <w:t xml:space="preserve">3.0 mAOD, </w:t>
      </w:r>
      <w:r w:rsidR="00945F75" w:rsidRPr="006912F6">
        <w:rPr>
          <w:rFonts w:cs="Times New Roman"/>
          <w:sz w:val="20"/>
          <w:szCs w:val="18"/>
        </w:rPr>
        <w:t xml:space="preserve">3.5 mAOD </w:t>
      </w:r>
      <w:r w:rsidR="00C97F6D" w:rsidRPr="006912F6">
        <w:rPr>
          <w:rFonts w:cs="Times New Roman"/>
          <w:sz w:val="20"/>
          <w:szCs w:val="18"/>
        </w:rPr>
        <w:t xml:space="preserve">or 4.0 mAOD </w:t>
      </w:r>
      <w:r w:rsidR="00945F75" w:rsidRPr="006912F6">
        <w:rPr>
          <w:rFonts w:cs="Times New Roman"/>
          <w:sz w:val="20"/>
          <w:szCs w:val="18"/>
        </w:rPr>
        <w:t>under the uncertainty of future sea-level rise</w:t>
      </w:r>
      <w:r w:rsidRPr="006912F6">
        <w:rPr>
          <w:rFonts w:cs="Times New Roman"/>
          <w:sz w:val="20"/>
          <w:szCs w:val="18"/>
        </w:rPr>
        <w:t>, respectively</w:t>
      </w:r>
      <w:r w:rsidR="00945F75" w:rsidRPr="006912F6">
        <w:rPr>
          <w:rFonts w:cs="Times New Roman"/>
          <w:sz w:val="20"/>
          <w:szCs w:val="18"/>
        </w:rPr>
        <w:t xml:space="preserve">. The height of 1-in-200 year storm surge event is 2.41 mAOD in Lymington. Thus, the current coastal defence system is </w:t>
      </w:r>
      <w:r w:rsidRPr="006912F6">
        <w:rPr>
          <w:rFonts w:cs="Times New Roman"/>
          <w:sz w:val="20"/>
          <w:szCs w:val="18"/>
        </w:rPr>
        <w:t xml:space="preserve">marginally </w:t>
      </w:r>
      <w:r w:rsidR="00945F75" w:rsidRPr="006912F6">
        <w:rPr>
          <w:rFonts w:cs="Times New Roman"/>
          <w:sz w:val="20"/>
          <w:szCs w:val="18"/>
        </w:rPr>
        <w:t>capable of protecting Lymington from possible flood events. However, its capacity will not be sufficient due to sea-level rise</w:t>
      </w:r>
      <w:r w:rsidR="00C97F6D" w:rsidRPr="006912F6">
        <w:rPr>
          <w:rFonts w:cs="Times New Roman"/>
          <w:sz w:val="20"/>
          <w:szCs w:val="18"/>
        </w:rPr>
        <w:t xml:space="preserve"> in the future</w:t>
      </w:r>
      <w:r w:rsidR="00945F75" w:rsidRPr="006912F6">
        <w:rPr>
          <w:rFonts w:cs="Times New Roman"/>
          <w:sz w:val="20"/>
          <w:szCs w:val="18"/>
        </w:rPr>
        <w:t xml:space="preserve">. Thus, </w:t>
      </w:r>
      <w:r w:rsidRPr="006912F6">
        <w:rPr>
          <w:rFonts w:cs="Times New Roman"/>
          <w:sz w:val="20"/>
          <w:szCs w:val="18"/>
        </w:rPr>
        <w:t xml:space="preserve">there is a concern of </w:t>
      </w:r>
      <w:r w:rsidR="00945F75" w:rsidRPr="006912F6">
        <w:rPr>
          <w:rFonts w:cs="Times New Roman"/>
          <w:sz w:val="20"/>
          <w:szCs w:val="18"/>
        </w:rPr>
        <w:t xml:space="preserve">whether the upgrade of coastal defence is necessary for Lymington and when it is implemented in the future. The calculation of a continuation and termination value for each year is conducted under each MSLR scenario. </w:t>
      </w:r>
      <w:r w:rsidR="00AD3E8A" w:rsidRPr="006912F6">
        <w:rPr>
          <w:rFonts w:cs="Times New Roman"/>
          <w:sz w:val="20"/>
          <w:szCs w:val="18"/>
        </w:rPr>
        <w:t xml:space="preserve">Figure </w:t>
      </w:r>
      <w:r w:rsidR="00667743" w:rsidRPr="006912F6">
        <w:rPr>
          <w:rFonts w:cs="Times New Roman"/>
          <w:sz w:val="20"/>
          <w:szCs w:val="18"/>
        </w:rPr>
        <w:t>3.1</w:t>
      </w:r>
      <w:r w:rsidR="00AD3E8A" w:rsidRPr="006912F6">
        <w:rPr>
          <w:rFonts w:cs="Times New Roman"/>
          <w:sz w:val="20"/>
          <w:szCs w:val="18"/>
        </w:rPr>
        <w:t xml:space="preserve"> illustrates an option evaluation process by the backward induction method. </w:t>
      </w:r>
    </w:p>
    <w:p w14:paraId="2ED832D3" w14:textId="77777777" w:rsidR="00DD4C3B" w:rsidRPr="006912F6" w:rsidRDefault="00DD4C3B" w:rsidP="00DD4C3B">
      <w:pPr>
        <w:jc w:val="center"/>
        <w:rPr>
          <w:rFonts w:cs="Times New Roman"/>
        </w:rPr>
      </w:pPr>
      <w:r w:rsidRPr="006912F6">
        <w:rPr>
          <w:rFonts w:cs="Times New Roman"/>
          <w:noProof/>
          <w:sz w:val="20"/>
        </w:rPr>
        <w:drawing>
          <wp:inline distT="0" distB="0" distL="0" distR="0" wp14:anchorId="478CA443" wp14:editId="54B7C387">
            <wp:extent cx="5490757" cy="2251276"/>
            <wp:effectExtent l="0" t="0" r="0" b="0"/>
            <wp:docPr id="256"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521941" cy="2264062"/>
                    </a:xfrm>
                    <a:prstGeom prst="rect">
                      <a:avLst/>
                    </a:prstGeom>
                    <a:noFill/>
                  </pic:spPr>
                </pic:pic>
              </a:graphicData>
            </a:graphic>
          </wp:inline>
        </w:drawing>
      </w:r>
    </w:p>
    <w:p w14:paraId="3722A7D0" w14:textId="23B55C9E" w:rsidR="00DD4C3B" w:rsidRPr="006912F6" w:rsidRDefault="00DD4C3B" w:rsidP="00DD4C3B">
      <w:pPr>
        <w:pStyle w:val="a4"/>
        <w:jc w:val="both"/>
        <w:rPr>
          <w:rFonts w:cs="Times New Roman"/>
          <w:i w:val="0"/>
          <w:color w:val="auto"/>
          <w:sz w:val="20"/>
          <w:szCs w:val="14"/>
        </w:rPr>
      </w:pPr>
      <w:bookmarkStart w:id="707" w:name="_Toc18071673"/>
      <w:r w:rsidRPr="006912F6">
        <w:rPr>
          <w:b/>
          <w:i w:val="0"/>
          <w:color w:val="auto"/>
          <w:sz w:val="20"/>
          <w:szCs w:val="14"/>
        </w:rPr>
        <w:t xml:space="preserve">Figure </w:t>
      </w:r>
      <w:r w:rsidR="00667743" w:rsidRPr="006912F6">
        <w:rPr>
          <w:b/>
          <w:i w:val="0"/>
          <w:color w:val="auto"/>
          <w:sz w:val="20"/>
          <w:szCs w:val="14"/>
        </w:rPr>
        <w:t>3.1</w:t>
      </w:r>
      <w:r w:rsidRPr="006912F6">
        <w:rPr>
          <w:color w:val="auto"/>
          <w:sz w:val="20"/>
          <w:szCs w:val="14"/>
        </w:rPr>
        <w:t xml:space="preserve"> </w:t>
      </w:r>
      <w:r w:rsidRPr="006912F6">
        <w:rPr>
          <w:rFonts w:cs="Times New Roman"/>
          <w:i w:val="0"/>
          <w:color w:val="auto"/>
          <w:sz w:val="20"/>
          <w:szCs w:val="14"/>
        </w:rPr>
        <w:t xml:space="preserve">The concept and process of real </w:t>
      </w:r>
      <w:r w:rsidRPr="006912F6">
        <w:rPr>
          <w:rFonts w:cs="Times New Roman"/>
          <w:i w:val="0"/>
          <w:noProof/>
          <w:color w:val="auto"/>
          <w:sz w:val="20"/>
          <w:szCs w:val="14"/>
        </w:rPr>
        <w:t>options</w:t>
      </w:r>
      <w:r w:rsidRPr="006912F6">
        <w:rPr>
          <w:rFonts w:cs="Times New Roman"/>
          <w:i w:val="0"/>
          <w:color w:val="auto"/>
          <w:sz w:val="20"/>
          <w:szCs w:val="14"/>
        </w:rPr>
        <w:t xml:space="preserve"> valuation based on dynamic programming (Bellman, 1952)</w:t>
      </w:r>
      <w:bookmarkEnd w:id="707"/>
    </w:p>
    <w:p w14:paraId="6A3A1842" w14:textId="77777777" w:rsidR="00AD3E8A" w:rsidRPr="006912F6" w:rsidRDefault="00AD3E8A" w:rsidP="00AD3E8A">
      <w:pPr>
        <w:rPr>
          <w:rFonts w:cs="Times New Roman"/>
          <w:sz w:val="4"/>
          <w:szCs w:val="2"/>
        </w:rPr>
      </w:pPr>
      <w:bookmarkStart w:id="708" w:name="_Toc18071460"/>
    </w:p>
    <w:p w14:paraId="3E31BC27" w14:textId="3650271A" w:rsidR="00AD3E8A" w:rsidRPr="006912F6" w:rsidRDefault="00AD3E8A" w:rsidP="00AD3E8A">
      <w:r w:rsidRPr="006912F6">
        <w:rPr>
          <w:rFonts w:cs="Times New Roman"/>
          <w:sz w:val="20"/>
          <w:szCs w:val="18"/>
        </w:rPr>
        <w:t xml:space="preserve">The calculation of the continuation and termination values starts from the end of the period of wait (denoted by T) using a backward induction method (Bellman, 1952; Dixit and Pindyck, 1994; Yang and Blyth, 2007). Table </w:t>
      </w:r>
      <w:r w:rsidR="00667743" w:rsidRPr="006912F6">
        <w:rPr>
          <w:rFonts w:cs="Times New Roman"/>
          <w:sz w:val="20"/>
          <w:szCs w:val="18"/>
        </w:rPr>
        <w:t>3.1</w:t>
      </w:r>
      <w:r w:rsidRPr="006912F6">
        <w:rPr>
          <w:rFonts w:cs="Times New Roman"/>
          <w:sz w:val="20"/>
          <w:szCs w:val="18"/>
        </w:rPr>
        <w:t xml:space="preserve"> summarises investment conditions for option evaluation.</w:t>
      </w:r>
    </w:p>
    <w:p w14:paraId="56ED4255" w14:textId="7110325F" w:rsidR="00945F75" w:rsidRPr="006912F6" w:rsidRDefault="00945F75" w:rsidP="00945F75">
      <w:pPr>
        <w:pStyle w:val="a4"/>
        <w:rPr>
          <w:rFonts w:cs="Times New Roman"/>
          <w:color w:val="auto"/>
          <w:sz w:val="20"/>
          <w:szCs w:val="14"/>
        </w:rPr>
      </w:pPr>
      <w:r w:rsidRPr="006912F6">
        <w:rPr>
          <w:b/>
          <w:i w:val="0"/>
          <w:color w:val="auto"/>
          <w:sz w:val="20"/>
          <w:szCs w:val="14"/>
        </w:rPr>
        <w:t xml:space="preserve">Table </w:t>
      </w:r>
      <w:r w:rsidR="00667743" w:rsidRPr="006912F6">
        <w:rPr>
          <w:b/>
          <w:i w:val="0"/>
          <w:color w:val="auto"/>
          <w:sz w:val="20"/>
          <w:szCs w:val="14"/>
        </w:rPr>
        <w:t>3.</w:t>
      </w:r>
      <w:r w:rsidR="00AC3AA0" w:rsidRPr="006912F6">
        <w:rPr>
          <w:b/>
          <w:i w:val="0"/>
          <w:color w:val="auto"/>
          <w:sz w:val="20"/>
          <w:szCs w:val="14"/>
        </w:rPr>
        <w:t>1</w:t>
      </w:r>
      <w:r w:rsidR="00C97F6D" w:rsidRPr="006912F6">
        <w:rPr>
          <w:b/>
          <w:i w:val="0"/>
          <w:color w:val="auto"/>
          <w:sz w:val="20"/>
          <w:szCs w:val="14"/>
        </w:rPr>
        <w:t>.</w:t>
      </w:r>
      <w:r w:rsidRPr="006912F6">
        <w:rPr>
          <w:i w:val="0"/>
          <w:color w:val="auto"/>
          <w:sz w:val="20"/>
          <w:szCs w:val="14"/>
        </w:rPr>
        <w:t xml:space="preserve"> </w:t>
      </w:r>
      <w:r w:rsidRPr="006912F6">
        <w:rPr>
          <w:rFonts w:cs="Times New Roman"/>
          <w:i w:val="0"/>
          <w:color w:val="auto"/>
          <w:sz w:val="20"/>
          <w:szCs w:val="14"/>
        </w:rPr>
        <w:t>Conditions for real options analysis in Lymington</w:t>
      </w:r>
      <w:bookmarkEnd w:id="708"/>
    </w:p>
    <w:tbl>
      <w:tblPr>
        <w:tblStyle w:val="a3"/>
        <w:tblpPr w:leftFromText="180" w:rightFromText="180" w:vertAnchor="text" w:horzAnchor="margin" w:tblpXSpec="center" w:tblpY="166"/>
        <w:tblW w:w="822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8"/>
        <w:gridCol w:w="4434"/>
      </w:tblGrid>
      <w:tr w:rsidR="006912F6" w:rsidRPr="006912F6" w14:paraId="351E1908" w14:textId="77777777" w:rsidTr="00DD4C3B">
        <w:trPr>
          <w:cantSplit/>
          <w:trHeight w:val="274"/>
        </w:trPr>
        <w:tc>
          <w:tcPr>
            <w:tcW w:w="3788" w:type="dxa"/>
            <w:tcBorders>
              <w:top w:val="single" w:sz="4" w:space="0" w:color="auto"/>
              <w:bottom w:val="single" w:sz="4" w:space="0" w:color="auto"/>
            </w:tcBorders>
            <w:vAlign w:val="center"/>
          </w:tcPr>
          <w:p w14:paraId="6716ADB7" w14:textId="77777777" w:rsidR="00945F75" w:rsidRPr="006912F6" w:rsidRDefault="00945F75" w:rsidP="00DD4C3B">
            <w:pPr>
              <w:spacing w:before="0" w:line="240" w:lineRule="auto"/>
              <w:jc w:val="center"/>
              <w:rPr>
                <w:rFonts w:cs="Times New Roman"/>
                <w:sz w:val="20"/>
                <w:szCs w:val="18"/>
              </w:rPr>
            </w:pPr>
            <w:r w:rsidRPr="006912F6">
              <w:rPr>
                <w:rFonts w:cs="Times New Roman"/>
                <w:sz w:val="20"/>
                <w:szCs w:val="18"/>
              </w:rPr>
              <w:t>Investment conditions</w:t>
            </w:r>
          </w:p>
        </w:tc>
        <w:tc>
          <w:tcPr>
            <w:tcW w:w="4434" w:type="dxa"/>
            <w:tcBorders>
              <w:top w:val="single" w:sz="4" w:space="0" w:color="auto"/>
              <w:bottom w:val="single" w:sz="4" w:space="0" w:color="auto"/>
            </w:tcBorders>
            <w:vAlign w:val="center"/>
          </w:tcPr>
          <w:p w14:paraId="6C132277" w14:textId="77777777" w:rsidR="00945F75" w:rsidRPr="006912F6" w:rsidRDefault="00945F75" w:rsidP="00DD4C3B">
            <w:pPr>
              <w:spacing w:before="0" w:line="240" w:lineRule="auto"/>
              <w:jc w:val="center"/>
              <w:rPr>
                <w:rFonts w:cs="Times New Roman"/>
                <w:sz w:val="20"/>
                <w:szCs w:val="18"/>
              </w:rPr>
            </w:pPr>
            <w:r w:rsidRPr="006912F6">
              <w:rPr>
                <w:rFonts w:cs="Times New Roman"/>
                <w:sz w:val="20"/>
                <w:szCs w:val="18"/>
              </w:rPr>
              <w:t>Details</w:t>
            </w:r>
          </w:p>
        </w:tc>
      </w:tr>
      <w:tr w:rsidR="006912F6" w:rsidRPr="006912F6" w14:paraId="7F9EE3ED" w14:textId="77777777" w:rsidTr="00EE181C">
        <w:trPr>
          <w:cantSplit/>
          <w:trHeight w:val="791"/>
        </w:trPr>
        <w:tc>
          <w:tcPr>
            <w:tcW w:w="3788" w:type="dxa"/>
            <w:tcBorders>
              <w:top w:val="single" w:sz="4" w:space="0" w:color="auto"/>
              <w:bottom w:val="single" w:sz="4" w:space="0" w:color="auto"/>
            </w:tcBorders>
            <w:vAlign w:val="center"/>
          </w:tcPr>
          <w:p w14:paraId="729325FD" w14:textId="77777777" w:rsidR="00945F75" w:rsidRPr="006912F6" w:rsidRDefault="00945F75" w:rsidP="004340B1">
            <w:pPr>
              <w:spacing w:before="0" w:line="276" w:lineRule="auto"/>
              <w:jc w:val="center"/>
              <w:rPr>
                <w:rFonts w:cs="Times New Roman"/>
                <w:sz w:val="18"/>
                <w:szCs w:val="16"/>
              </w:rPr>
            </w:pPr>
            <w:r w:rsidRPr="006912F6">
              <w:rPr>
                <w:rFonts w:cs="Times New Roman"/>
                <w:sz w:val="18"/>
                <w:szCs w:val="16"/>
              </w:rPr>
              <w:t>Discount Rate</w:t>
            </w:r>
          </w:p>
          <w:p w14:paraId="12253DBE" w14:textId="77777777" w:rsidR="00945F75" w:rsidRPr="006912F6" w:rsidRDefault="00945F75" w:rsidP="004340B1">
            <w:pPr>
              <w:spacing w:before="0" w:line="276" w:lineRule="auto"/>
              <w:jc w:val="center"/>
              <w:rPr>
                <w:rFonts w:cs="Times New Roman"/>
                <w:sz w:val="18"/>
                <w:szCs w:val="16"/>
              </w:rPr>
            </w:pPr>
            <w:r w:rsidRPr="006912F6">
              <w:rPr>
                <w:rFonts w:cs="Times New Roman"/>
                <w:sz w:val="18"/>
                <w:szCs w:val="16"/>
              </w:rPr>
              <w:t>(HM Treasury)</w:t>
            </w:r>
          </w:p>
        </w:tc>
        <w:tc>
          <w:tcPr>
            <w:tcW w:w="4434" w:type="dxa"/>
            <w:tcBorders>
              <w:top w:val="single" w:sz="4" w:space="0" w:color="auto"/>
              <w:bottom w:val="single" w:sz="4" w:space="0" w:color="auto"/>
            </w:tcBorders>
            <w:vAlign w:val="center"/>
          </w:tcPr>
          <w:p w14:paraId="39BE6BFA" w14:textId="77777777" w:rsidR="00945F75" w:rsidRPr="006912F6" w:rsidRDefault="00945F75" w:rsidP="004340B1">
            <w:pPr>
              <w:spacing w:before="0" w:line="276" w:lineRule="auto"/>
              <w:rPr>
                <w:rFonts w:cs="Times New Roman"/>
                <w:sz w:val="18"/>
                <w:szCs w:val="16"/>
              </w:rPr>
            </w:pPr>
            <w:r w:rsidRPr="006912F6">
              <w:rPr>
                <w:rFonts w:cs="Times New Roman"/>
                <w:sz w:val="18"/>
                <w:szCs w:val="16"/>
              </w:rPr>
              <w:t xml:space="preserve">3.5% (0 – 30 years) </w:t>
            </w:r>
          </w:p>
          <w:p w14:paraId="59413A5F" w14:textId="77777777" w:rsidR="00945F75" w:rsidRPr="006912F6" w:rsidRDefault="00945F75" w:rsidP="004340B1">
            <w:pPr>
              <w:spacing w:before="0" w:line="276" w:lineRule="auto"/>
              <w:rPr>
                <w:rFonts w:cs="Times New Roman"/>
                <w:sz w:val="18"/>
                <w:szCs w:val="16"/>
              </w:rPr>
            </w:pPr>
            <w:r w:rsidRPr="006912F6">
              <w:rPr>
                <w:rFonts w:cs="Times New Roman"/>
                <w:sz w:val="18"/>
                <w:szCs w:val="16"/>
              </w:rPr>
              <w:t xml:space="preserve">3.0% (31 to 75 years)  </w:t>
            </w:r>
          </w:p>
          <w:p w14:paraId="36694593" w14:textId="77777777" w:rsidR="00945F75" w:rsidRPr="006912F6" w:rsidRDefault="00945F75" w:rsidP="004340B1">
            <w:pPr>
              <w:spacing w:before="0" w:line="276" w:lineRule="auto"/>
              <w:rPr>
                <w:rFonts w:cs="Times New Roman"/>
                <w:sz w:val="18"/>
                <w:szCs w:val="16"/>
              </w:rPr>
            </w:pPr>
            <w:r w:rsidRPr="006912F6">
              <w:rPr>
                <w:rFonts w:cs="Times New Roman"/>
                <w:sz w:val="18"/>
                <w:szCs w:val="16"/>
              </w:rPr>
              <w:t>2.5% (after 75 years)</w:t>
            </w:r>
          </w:p>
        </w:tc>
      </w:tr>
      <w:tr w:rsidR="006912F6" w:rsidRPr="006912F6" w14:paraId="1CB56FF5" w14:textId="77777777" w:rsidTr="00EE181C">
        <w:trPr>
          <w:cantSplit/>
          <w:trHeight w:val="323"/>
        </w:trPr>
        <w:tc>
          <w:tcPr>
            <w:tcW w:w="3788" w:type="dxa"/>
            <w:tcBorders>
              <w:top w:val="single" w:sz="4" w:space="0" w:color="auto"/>
              <w:bottom w:val="single" w:sz="4" w:space="0" w:color="auto"/>
            </w:tcBorders>
            <w:vAlign w:val="center"/>
          </w:tcPr>
          <w:p w14:paraId="0D9AFEE6" w14:textId="77777777" w:rsidR="00945F75" w:rsidRPr="006912F6" w:rsidRDefault="00945F75" w:rsidP="004340B1">
            <w:pPr>
              <w:spacing w:before="0" w:line="276" w:lineRule="auto"/>
              <w:jc w:val="center"/>
              <w:rPr>
                <w:rFonts w:cs="Times New Roman"/>
                <w:sz w:val="18"/>
                <w:szCs w:val="16"/>
              </w:rPr>
            </w:pPr>
            <w:r w:rsidRPr="006912F6">
              <w:rPr>
                <w:rFonts w:cs="Times New Roman"/>
                <w:sz w:val="18"/>
                <w:szCs w:val="16"/>
              </w:rPr>
              <w:t>Project Life (L)</w:t>
            </w:r>
          </w:p>
        </w:tc>
        <w:tc>
          <w:tcPr>
            <w:tcW w:w="4434" w:type="dxa"/>
            <w:tcBorders>
              <w:top w:val="single" w:sz="4" w:space="0" w:color="auto"/>
              <w:bottom w:val="single" w:sz="4" w:space="0" w:color="auto"/>
            </w:tcBorders>
            <w:vAlign w:val="center"/>
          </w:tcPr>
          <w:p w14:paraId="0E318484" w14:textId="77777777" w:rsidR="00945F75" w:rsidRPr="006912F6" w:rsidRDefault="00945F75" w:rsidP="004340B1">
            <w:pPr>
              <w:spacing w:before="0" w:line="276" w:lineRule="auto"/>
              <w:rPr>
                <w:rFonts w:cs="Times New Roman"/>
                <w:sz w:val="18"/>
                <w:szCs w:val="16"/>
              </w:rPr>
            </w:pPr>
            <w:r w:rsidRPr="006912F6">
              <w:rPr>
                <w:rFonts w:cs="Times New Roman"/>
                <w:sz w:val="18"/>
                <w:szCs w:val="16"/>
              </w:rPr>
              <w:t>100 years</w:t>
            </w:r>
          </w:p>
        </w:tc>
      </w:tr>
      <w:tr w:rsidR="006912F6" w:rsidRPr="006912F6" w14:paraId="421BA4B7" w14:textId="77777777" w:rsidTr="00EE181C">
        <w:trPr>
          <w:cantSplit/>
          <w:trHeight w:val="833"/>
        </w:trPr>
        <w:tc>
          <w:tcPr>
            <w:tcW w:w="3788" w:type="dxa"/>
            <w:tcBorders>
              <w:top w:val="single" w:sz="4" w:space="0" w:color="auto"/>
              <w:bottom w:val="single" w:sz="4" w:space="0" w:color="auto"/>
            </w:tcBorders>
            <w:vAlign w:val="center"/>
          </w:tcPr>
          <w:p w14:paraId="7794BFB9" w14:textId="77777777" w:rsidR="00945F75" w:rsidRPr="006912F6" w:rsidRDefault="00945F75" w:rsidP="004340B1">
            <w:pPr>
              <w:spacing w:before="0" w:line="276" w:lineRule="auto"/>
              <w:jc w:val="center"/>
              <w:rPr>
                <w:rFonts w:cs="Times New Roman"/>
                <w:sz w:val="18"/>
                <w:szCs w:val="16"/>
              </w:rPr>
            </w:pPr>
            <w:r w:rsidRPr="006912F6">
              <w:rPr>
                <w:rFonts w:cs="Times New Roman"/>
                <w:sz w:val="18"/>
                <w:szCs w:val="16"/>
              </w:rPr>
              <w:t xml:space="preserve">Post 2100 Sea Level Rise </w:t>
            </w:r>
          </w:p>
          <w:p w14:paraId="208C257A" w14:textId="77777777" w:rsidR="00945F75" w:rsidRPr="006912F6" w:rsidRDefault="00945F75" w:rsidP="004340B1">
            <w:pPr>
              <w:spacing w:before="0" w:line="276" w:lineRule="auto"/>
              <w:jc w:val="center"/>
              <w:rPr>
                <w:rFonts w:cs="Times New Roman"/>
                <w:sz w:val="18"/>
                <w:szCs w:val="16"/>
              </w:rPr>
            </w:pPr>
            <w:r w:rsidRPr="006912F6">
              <w:rPr>
                <w:rFonts w:cs="Times New Roman"/>
                <w:sz w:val="18"/>
                <w:szCs w:val="16"/>
              </w:rPr>
              <w:t>(average rates from 2090 to 2100)</w:t>
            </w:r>
          </w:p>
          <w:p w14:paraId="3B868A2B" w14:textId="77777777" w:rsidR="00945F75" w:rsidRPr="006912F6" w:rsidRDefault="00945F75" w:rsidP="004340B1">
            <w:pPr>
              <w:spacing w:before="0" w:line="276" w:lineRule="auto"/>
              <w:jc w:val="center"/>
              <w:rPr>
                <w:rFonts w:cs="Times New Roman"/>
                <w:sz w:val="18"/>
                <w:szCs w:val="16"/>
              </w:rPr>
            </w:pPr>
            <w:r w:rsidRPr="006912F6">
              <w:rPr>
                <w:rFonts w:cs="Times New Roman"/>
                <w:sz w:val="18"/>
                <w:szCs w:val="16"/>
              </w:rPr>
              <w:t>The rates are assumed constant after 2100</w:t>
            </w:r>
          </w:p>
        </w:tc>
        <w:tc>
          <w:tcPr>
            <w:tcW w:w="4434" w:type="dxa"/>
            <w:tcBorders>
              <w:top w:val="single" w:sz="4" w:space="0" w:color="auto"/>
              <w:bottom w:val="single" w:sz="4" w:space="0" w:color="auto"/>
            </w:tcBorders>
            <w:vAlign w:val="center"/>
          </w:tcPr>
          <w:p w14:paraId="336F6D16" w14:textId="77777777" w:rsidR="00945F75" w:rsidRPr="006912F6" w:rsidRDefault="00945F75" w:rsidP="004340B1">
            <w:pPr>
              <w:spacing w:before="0" w:line="276" w:lineRule="auto"/>
              <w:rPr>
                <w:rFonts w:cs="Times New Roman"/>
                <w:sz w:val="18"/>
                <w:szCs w:val="16"/>
              </w:rPr>
            </w:pPr>
            <w:r w:rsidRPr="006912F6">
              <w:rPr>
                <w:rFonts w:cs="Times New Roman"/>
                <w:sz w:val="18"/>
                <w:szCs w:val="16"/>
              </w:rPr>
              <w:t>H++ MSLR: 24.1 mm/year</w:t>
            </w:r>
          </w:p>
          <w:p w14:paraId="54B8BA2F" w14:textId="77777777" w:rsidR="00945F75" w:rsidRPr="006912F6" w:rsidRDefault="00945F75" w:rsidP="004340B1">
            <w:pPr>
              <w:spacing w:before="0" w:line="276" w:lineRule="auto"/>
              <w:rPr>
                <w:rFonts w:cs="Times New Roman"/>
                <w:sz w:val="18"/>
                <w:szCs w:val="16"/>
              </w:rPr>
            </w:pPr>
            <w:r w:rsidRPr="006912F6">
              <w:rPr>
                <w:rFonts w:cs="Times New Roman"/>
                <w:sz w:val="18"/>
                <w:szCs w:val="16"/>
              </w:rPr>
              <w:t>High MSLR: 6.8 mm/year</w:t>
            </w:r>
          </w:p>
          <w:p w14:paraId="4DCB8B12" w14:textId="77777777" w:rsidR="00945F75" w:rsidRPr="006912F6" w:rsidRDefault="00945F75" w:rsidP="004340B1">
            <w:pPr>
              <w:spacing w:before="0" w:line="276" w:lineRule="auto"/>
              <w:rPr>
                <w:rFonts w:cs="Times New Roman"/>
                <w:sz w:val="18"/>
                <w:szCs w:val="16"/>
              </w:rPr>
            </w:pPr>
            <w:r w:rsidRPr="006912F6">
              <w:rPr>
                <w:rFonts w:cs="Times New Roman"/>
                <w:sz w:val="18"/>
                <w:szCs w:val="16"/>
              </w:rPr>
              <w:t xml:space="preserve">Medium MSLR: 5.7 mm/year </w:t>
            </w:r>
          </w:p>
          <w:p w14:paraId="14A2FDE5" w14:textId="77777777" w:rsidR="00945F75" w:rsidRPr="006912F6" w:rsidRDefault="00945F75" w:rsidP="004340B1">
            <w:pPr>
              <w:spacing w:before="0" w:line="276" w:lineRule="auto"/>
              <w:rPr>
                <w:rFonts w:cs="Times New Roman"/>
                <w:sz w:val="18"/>
                <w:szCs w:val="16"/>
              </w:rPr>
            </w:pPr>
            <w:r w:rsidRPr="006912F6">
              <w:rPr>
                <w:rFonts w:cs="Times New Roman"/>
                <w:sz w:val="18"/>
                <w:szCs w:val="16"/>
              </w:rPr>
              <w:t>Low MSLR: 4.7 mm/year</w:t>
            </w:r>
          </w:p>
          <w:p w14:paraId="4BF2F130" w14:textId="77777777" w:rsidR="00945F75" w:rsidRPr="006912F6" w:rsidRDefault="00945F75" w:rsidP="004340B1">
            <w:pPr>
              <w:spacing w:before="0" w:line="276" w:lineRule="auto"/>
              <w:rPr>
                <w:rFonts w:cs="Times New Roman"/>
                <w:sz w:val="18"/>
                <w:szCs w:val="16"/>
              </w:rPr>
            </w:pPr>
            <w:r w:rsidRPr="006912F6">
              <w:rPr>
                <w:rFonts w:cs="Times New Roman"/>
                <w:sz w:val="18"/>
                <w:szCs w:val="16"/>
              </w:rPr>
              <w:t>Historical MSLR: 1.4mm/year</w:t>
            </w:r>
          </w:p>
        </w:tc>
      </w:tr>
    </w:tbl>
    <w:p w14:paraId="398AD7FF" w14:textId="77777777" w:rsidR="00945F75" w:rsidRPr="006912F6" w:rsidRDefault="00945F75" w:rsidP="00945F75">
      <w:pPr>
        <w:pStyle w:val="a7"/>
        <w:ind w:left="360"/>
        <w:jc w:val="both"/>
        <w:rPr>
          <w:rFonts w:eastAsia="맑은 고딕" w:cs="Times New Roman"/>
          <w:b/>
        </w:rPr>
      </w:pPr>
    </w:p>
    <w:p w14:paraId="1E8D3179" w14:textId="000D9988" w:rsidR="00945F75" w:rsidRPr="006912F6" w:rsidRDefault="00945F75" w:rsidP="00945F75">
      <w:pPr>
        <w:jc w:val="center"/>
        <w:rPr>
          <w:rFonts w:cs="Times New Roman"/>
        </w:rPr>
      </w:pPr>
    </w:p>
    <w:p w14:paraId="6F275A06" w14:textId="1CC9DDE3" w:rsidR="00C97F6D" w:rsidRPr="006912F6" w:rsidRDefault="00C97F6D" w:rsidP="00C97F6D">
      <w:pPr>
        <w:spacing w:before="0" w:line="240" w:lineRule="auto"/>
        <w:ind w:firstLine="120"/>
        <w:jc w:val="center"/>
        <w:rPr>
          <w:noProof/>
        </w:rPr>
      </w:pPr>
      <w:r w:rsidRPr="006912F6">
        <w:rPr>
          <w:noProof/>
        </w:rPr>
        <w:t xml:space="preserve"> </w:t>
      </w:r>
      <w:bookmarkStart w:id="709" w:name="_Toc18071677"/>
    </w:p>
    <w:p w14:paraId="6E0F76EA" w14:textId="77777777" w:rsidR="00DD4C3B" w:rsidRPr="006912F6" w:rsidRDefault="00DD4C3B" w:rsidP="00C97F6D">
      <w:pPr>
        <w:spacing w:before="0"/>
        <w:jc w:val="both"/>
        <w:rPr>
          <w:rFonts w:cs="Times New Roman"/>
          <w:b/>
          <w:bCs/>
          <w:iCs/>
          <w:sz w:val="20"/>
        </w:rPr>
      </w:pPr>
    </w:p>
    <w:p w14:paraId="7C165F27" w14:textId="77777777" w:rsidR="00DD4C3B" w:rsidRPr="006912F6" w:rsidRDefault="00DD4C3B" w:rsidP="00C97F6D">
      <w:pPr>
        <w:spacing w:before="0"/>
        <w:jc w:val="both"/>
        <w:rPr>
          <w:rFonts w:cs="Times New Roman"/>
          <w:b/>
          <w:bCs/>
          <w:iCs/>
          <w:sz w:val="20"/>
        </w:rPr>
      </w:pPr>
    </w:p>
    <w:p w14:paraId="0D755755" w14:textId="77777777" w:rsidR="00DD4C3B" w:rsidRPr="006912F6" w:rsidRDefault="00DD4C3B" w:rsidP="00C97F6D">
      <w:pPr>
        <w:spacing w:before="0"/>
        <w:jc w:val="both"/>
        <w:rPr>
          <w:rFonts w:cs="Times New Roman"/>
          <w:b/>
          <w:bCs/>
          <w:iCs/>
          <w:sz w:val="20"/>
        </w:rPr>
      </w:pPr>
    </w:p>
    <w:p w14:paraId="550122FB" w14:textId="77777777" w:rsidR="00DD4C3B" w:rsidRPr="006912F6" w:rsidRDefault="00DD4C3B" w:rsidP="00C97F6D">
      <w:pPr>
        <w:spacing w:before="0"/>
        <w:jc w:val="both"/>
        <w:rPr>
          <w:rFonts w:cs="Times New Roman"/>
          <w:b/>
          <w:bCs/>
          <w:iCs/>
          <w:sz w:val="20"/>
        </w:rPr>
      </w:pPr>
    </w:p>
    <w:p w14:paraId="634CA3B8" w14:textId="317B7E3E" w:rsidR="00550B73" w:rsidRPr="006912F6" w:rsidRDefault="00550B73" w:rsidP="00550B73">
      <w:pPr>
        <w:jc w:val="both"/>
        <w:rPr>
          <w:rFonts w:cs="Times New Roman"/>
          <w:szCs w:val="18"/>
        </w:rPr>
      </w:pPr>
      <w:r w:rsidRPr="006912F6">
        <w:rPr>
          <w:rFonts w:eastAsia="맑은 고딕" w:cs="Times New Roman"/>
          <w:sz w:val="20"/>
          <w:szCs w:val="18"/>
        </w:rPr>
        <w:lastRenderedPageBreak/>
        <w:t xml:space="preserve">Figure </w:t>
      </w:r>
      <w:r w:rsidR="00667743" w:rsidRPr="006912F6">
        <w:rPr>
          <w:rFonts w:eastAsia="맑은 고딕" w:cs="Times New Roman"/>
          <w:sz w:val="20"/>
          <w:szCs w:val="18"/>
        </w:rPr>
        <w:t>3</w:t>
      </w:r>
      <w:r w:rsidRPr="006912F6">
        <w:rPr>
          <w:rFonts w:eastAsia="맑은 고딕" w:cs="Times New Roman"/>
          <w:sz w:val="20"/>
          <w:szCs w:val="18"/>
        </w:rPr>
        <w:t xml:space="preserve">.2 shows how the option value for the upgrade of coastal defence changes according to investment time in each MSLR scenario. As shown in Figure </w:t>
      </w:r>
      <w:r w:rsidR="00667743" w:rsidRPr="006912F6">
        <w:rPr>
          <w:rFonts w:eastAsia="맑은 고딕" w:cs="Times New Roman"/>
          <w:sz w:val="20"/>
          <w:szCs w:val="18"/>
        </w:rPr>
        <w:t>3</w:t>
      </w:r>
      <w:r w:rsidRPr="006912F6">
        <w:rPr>
          <w:rFonts w:eastAsia="맑은 고딕" w:cs="Times New Roman"/>
          <w:sz w:val="20"/>
          <w:szCs w:val="18"/>
        </w:rPr>
        <w:t>.</w:t>
      </w:r>
      <w:r w:rsidR="00667743" w:rsidRPr="006912F6">
        <w:rPr>
          <w:rFonts w:eastAsia="맑은 고딕" w:cs="Times New Roman"/>
          <w:sz w:val="20"/>
          <w:szCs w:val="18"/>
        </w:rPr>
        <w:t>2</w:t>
      </w:r>
      <w:r w:rsidRPr="006912F6">
        <w:rPr>
          <w:rFonts w:eastAsia="맑은 고딕" w:cs="Times New Roman"/>
          <w:sz w:val="20"/>
          <w:szCs w:val="18"/>
        </w:rPr>
        <w:t>, the termination value (black line) is little smaller than the continuation value (red line) at 2016 for all the MSLR scenarios, except the fastest rise in sea level (the H++ SLR scenario). As we move forwards in time, the termination value exceeds the continuation value at a certain time, indicating the optimum time to invest. By this information, we can determine when the investment should be implemented in order to produce the largest net profit (i.e. the overall benefits minus the overall costs) given a sea-level rise scenario. After the optimum investment time, the option value keeps declining with time so that the deferrable adaptation option becomes less and less efficient in economic term.</w:t>
      </w:r>
      <w:r w:rsidRPr="006912F6">
        <w:rPr>
          <w:rFonts w:cs="Times New Roman"/>
          <w:szCs w:val="18"/>
        </w:rPr>
        <w:t xml:space="preserve"> </w:t>
      </w:r>
    </w:p>
    <w:p w14:paraId="6C11329B" w14:textId="77777777" w:rsidR="00550B73" w:rsidRPr="006912F6" w:rsidRDefault="00550B73" w:rsidP="00C97F6D">
      <w:pPr>
        <w:spacing w:before="0"/>
        <w:jc w:val="both"/>
        <w:rPr>
          <w:rFonts w:cs="Times New Roman"/>
          <w:b/>
          <w:bCs/>
          <w:iCs/>
          <w:sz w:val="20"/>
        </w:rPr>
      </w:pPr>
    </w:p>
    <w:bookmarkEnd w:id="709"/>
    <w:p w14:paraId="041A29E1" w14:textId="77777777" w:rsidR="00550B73" w:rsidRPr="006912F6" w:rsidRDefault="00550B73" w:rsidP="00550B73">
      <w:pPr>
        <w:jc w:val="center"/>
        <w:rPr>
          <w:rFonts w:cs="Times New Roman"/>
        </w:rPr>
      </w:pPr>
      <w:r w:rsidRPr="006912F6">
        <w:rPr>
          <w:noProof/>
        </w:rPr>
        <w:drawing>
          <wp:inline distT="0" distB="0" distL="0" distR="0" wp14:anchorId="50906494" wp14:editId="0D9B47DC">
            <wp:extent cx="3622876" cy="2407285"/>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637492" cy="2416997"/>
                    </a:xfrm>
                    <a:prstGeom prst="rect">
                      <a:avLst/>
                    </a:prstGeom>
                    <a:noFill/>
                    <a:ln>
                      <a:noFill/>
                    </a:ln>
                  </pic:spPr>
                </pic:pic>
              </a:graphicData>
            </a:graphic>
          </wp:inline>
        </w:drawing>
      </w:r>
    </w:p>
    <w:p w14:paraId="7AC55E4C" w14:textId="77777777" w:rsidR="00550B73" w:rsidRPr="006912F6" w:rsidRDefault="00550B73" w:rsidP="00AD3E8A">
      <w:pPr>
        <w:spacing w:before="0" w:line="240" w:lineRule="auto"/>
        <w:ind w:firstLine="120"/>
        <w:jc w:val="center"/>
        <w:rPr>
          <w:rFonts w:cs="Times New Roman"/>
        </w:rPr>
      </w:pPr>
      <w:r w:rsidRPr="006912F6">
        <w:rPr>
          <w:noProof/>
        </w:rPr>
        <w:drawing>
          <wp:inline distT="0" distB="0" distL="0" distR="0" wp14:anchorId="2441D6A4" wp14:editId="0633280D">
            <wp:extent cx="3816000" cy="2459921"/>
            <wp:effectExtent l="0" t="0" r="0" b="0"/>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816000" cy="2459921"/>
                    </a:xfrm>
                    <a:prstGeom prst="rect">
                      <a:avLst/>
                    </a:prstGeom>
                    <a:noFill/>
                    <a:ln>
                      <a:noFill/>
                    </a:ln>
                  </pic:spPr>
                </pic:pic>
              </a:graphicData>
            </a:graphic>
          </wp:inline>
        </w:drawing>
      </w:r>
    </w:p>
    <w:p w14:paraId="00BF8758" w14:textId="77777777" w:rsidR="00550B73" w:rsidRPr="006912F6" w:rsidRDefault="00550B73" w:rsidP="00550B73">
      <w:pPr>
        <w:spacing w:before="0" w:line="240" w:lineRule="auto"/>
        <w:ind w:firstLine="120"/>
        <w:jc w:val="center"/>
        <w:rPr>
          <w:rFonts w:cs="Times New Roman"/>
        </w:rPr>
      </w:pPr>
      <w:r w:rsidRPr="006912F6">
        <w:rPr>
          <w:rFonts w:cs="Times New Roman"/>
        </w:rPr>
        <w:t>(Continue)</w:t>
      </w:r>
    </w:p>
    <w:p w14:paraId="4EB7E6A7" w14:textId="77777777" w:rsidR="00550B73" w:rsidRPr="006912F6" w:rsidRDefault="00550B73" w:rsidP="00550B73">
      <w:pPr>
        <w:spacing w:before="0" w:line="240" w:lineRule="auto"/>
        <w:ind w:firstLine="120"/>
        <w:jc w:val="center"/>
        <w:rPr>
          <w:rFonts w:cs="Times New Roman"/>
        </w:rPr>
      </w:pPr>
      <w:r w:rsidRPr="006912F6">
        <w:rPr>
          <w:noProof/>
        </w:rPr>
        <w:lastRenderedPageBreak/>
        <w:drawing>
          <wp:inline distT="0" distB="0" distL="0" distR="0" wp14:anchorId="4170269B" wp14:editId="155B9C1C">
            <wp:extent cx="3570817" cy="2412000"/>
            <wp:effectExtent l="0" t="0" r="0" b="0"/>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t="6777" b="4595"/>
                    <a:stretch/>
                  </pic:blipFill>
                  <pic:spPr bwMode="auto">
                    <a:xfrm>
                      <a:off x="0" y="0"/>
                      <a:ext cx="3570817" cy="2412000"/>
                    </a:xfrm>
                    <a:prstGeom prst="rect">
                      <a:avLst/>
                    </a:prstGeom>
                    <a:noFill/>
                    <a:ln>
                      <a:noFill/>
                    </a:ln>
                    <a:extLst>
                      <a:ext uri="{53640926-AAD7-44D8-BBD7-CCE9431645EC}">
                        <a14:shadowObscured xmlns:a14="http://schemas.microsoft.com/office/drawing/2010/main"/>
                      </a:ext>
                    </a:extLst>
                  </pic:spPr>
                </pic:pic>
              </a:graphicData>
            </a:graphic>
          </wp:inline>
        </w:drawing>
      </w:r>
    </w:p>
    <w:p w14:paraId="00186A8B" w14:textId="5AF664CB" w:rsidR="00550B73" w:rsidRPr="006912F6" w:rsidRDefault="00550B73" w:rsidP="00550B73">
      <w:pPr>
        <w:pStyle w:val="a4"/>
        <w:jc w:val="left"/>
        <w:rPr>
          <w:i w:val="0"/>
          <w:iCs w:val="0"/>
          <w:color w:val="auto"/>
          <w:sz w:val="20"/>
          <w:szCs w:val="14"/>
        </w:rPr>
      </w:pPr>
      <w:r w:rsidRPr="006912F6">
        <w:rPr>
          <w:b/>
          <w:bCs/>
          <w:i w:val="0"/>
          <w:iCs w:val="0"/>
          <w:color w:val="auto"/>
          <w:sz w:val="20"/>
          <w:szCs w:val="14"/>
        </w:rPr>
        <w:t xml:space="preserve">Figure </w:t>
      </w:r>
      <w:r w:rsidR="00667743" w:rsidRPr="006912F6">
        <w:rPr>
          <w:b/>
          <w:bCs/>
          <w:i w:val="0"/>
          <w:iCs w:val="0"/>
          <w:color w:val="auto"/>
          <w:sz w:val="20"/>
          <w:szCs w:val="14"/>
        </w:rPr>
        <w:t>3</w:t>
      </w:r>
      <w:r w:rsidRPr="006912F6">
        <w:rPr>
          <w:b/>
          <w:bCs/>
          <w:i w:val="0"/>
          <w:iCs w:val="0"/>
          <w:color w:val="auto"/>
          <w:sz w:val="20"/>
          <w:szCs w:val="14"/>
        </w:rPr>
        <w:t>.2</w:t>
      </w:r>
      <w:r w:rsidRPr="006912F6">
        <w:rPr>
          <w:i w:val="0"/>
          <w:iCs w:val="0"/>
          <w:color w:val="auto"/>
          <w:sz w:val="20"/>
          <w:szCs w:val="14"/>
        </w:rPr>
        <w:t xml:space="preserve"> </w:t>
      </w:r>
      <w:r w:rsidRPr="006912F6">
        <w:rPr>
          <w:rFonts w:cs="Times New Roman"/>
          <w:i w:val="0"/>
          <w:iCs w:val="0"/>
          <w:color w:val="auto"/>
          <w:sz w:val="20"/>
          <w:szCs w:val="14"/>
        </w:rPr>
        <w:t xml:space="preserve">Option values by termination value (black line) and continuation value (orange line) for different sea-level rise scenarios – all the option values </w:t>
      </w:r>
      <w:r w:rsidRPr="006912F6">
        <w:rPr>
          <w:rFonts w:cs="Times New Roman"/>
          <w:i w:val="0"/>
          <w:iCs w:val="0"/>
          <w:noProof/>
          <w:color w:val="auto"/>
          <w:sz w:val="20"/>
          <w:szCs w:val="14"/>
        </w:rPr>
        <w:t>are present value</w:t>
      </w:r>
      <w:r w:rsidRPr="006912F6">
        <w:rPr>
          <w:rFonts w:cs="Times New Roman"/>
          <w:i w:val="0"/>
          <w:iCs w:val="0"/>
          <w:color w:val="auto"/>
          <w:sz w:val="20"/>
          <w:szCs w:val="14"/>
        </w:rPr>
        <w:t xml:space="preserve"> in 2016. Note the very different scales on the </w:t>
      </w:r>
      <w:r w:rsidRPr="006912F6">
        <w:rPr>
          <w:rFonts w:cs="Times New Roman"/>
          <w:i w:val="0"/>
          <w:iCs w:val="0"/>
          <w:noProof/>
          <w:color w:val="auto"/>
          <w:sz w:val="20"/>
          <w:szCs w:val="14"/>
        </w:rPr>
        <w:t>y-axis</w:t>
      </w:r>
      <w:r w:rsidRPr="006912F6">
        <w:rPr>
          <w:rFonts w:cs="Times New Roman"/>
          <w:i w:val="0"/>
          <w:iCs w:val="0"/>
          <w:color w:val="auto"/>
          <w:sz w:val="20"/>
          <w:szCs w:val="14"/>
        </w:rPr>
        <w:t>.</w:t>
      </w:r>
    </w:p>
    <w:p w14:paraId="1CBB2AF5" w14:textId="7CEB775A" w:rsidR="00550B73" w:rsidRPr="006912F6" w:rsidRDefault="00550B73" w:rsidP="001B757C">
      <w:pPr>
        <w:jc w:val="both"/>
        <w:rPr>
          <w:rFonts w:eastAsia="맑은 고딕" w:cs="Times New Roman"/>
          <w:sz w:val="20"/>
          <w:szCs w:val="18"/>
        </w:rPr>
      </w:pPr>
      <w:r w:rsidRPr="006912F6">
        <w:rPr>
          <w:rFonts w:eastAsia="맑은 고딕" w:cs="Times New Roman"/>
          <w:sz w:val="20"/>
          <w:szCs w:val="18"/>
        </w:rPr>
        <w:t>Importantly, the more extreme the MSLR scenario is, the earlier the optimum investment time occurs. For rapid sea-level rise, we need to react quickly, while</w:t>
      </w:r>
      <w:r w:rsidR="00AD3E8A" w:rsidRPr="006912F6">
        <w:rPr>
          <w:rFonts w:eastAsia="맑은 고딕" w:cs="Times New Roman"/>
          <w:sz w:val="20"/>
          <w:szCs w:val="18"/>
        </w:rPr>
        <w:t>.</w:t>
      </w:r>
      <w:r w:rsidRPr="006912F6">
        <w:rPr>
          <w:rFonts w:eastAsia="맑은 고딕" w:cs="Times New Roman"/>
          <w:sz w:val="20"/>
          <w:szCs w:val="18"/>
        </w:rPr>
        <w:t xml:space="preserve"> for slow sea-level rise</w:t>
      </w:r>
      <w:r w:rsidR="00AD3E8A" w:rsidRPr="006912F6">
        <w:rPr>
          <w:rFonts w:eastAsia="맑은 고딕" w:cs="Times New Roman"/>
          <w:sz w:val="20"/>
          <w:szCs w:val="18"/>
        </w:rPr>
        <w:t>,</w:t>
      </w:r>
      <w:r w:rsidRPr="006912F6">
        <w:rPr>
          <w:rFonts w:eastAsia="맑은 고딕" w:cs="Times New Roman"/>
          <w:sz w:val="20"/>
          <w:szCs w:val="18"/>
        </w:rPr>
        <w:t xml:space="preserve"> we have more time to act. In addition, the difference between the option values of the optimum investment (i.e. NPV</w:t>
      </w:r>
      <w:r w:rsidRPr="006912F6">
        <w:rPr>
          <w:rFonts w:eastAsia="맑은 고딕" w:cs="Times New Roman"/>
          <w:sz w:val="20"/>
          <w:szCs w:val="18"/>
          <w:vertAlign w:val="subscript"/>
        </w:rPr>
        <w:t>opt</w:t>
      </w:r>
      <w:r w:rsidRPr="006912F6">
        <w:rPr>
          <w:rFonts w:eastAsia="맑은 고딕" w:cs="Times New Roman"/>
          <w:sz w:val="20"/>
          <w:szCs w:val="18"/>
        </w:rPr>
        <w:t>) and the immediate investment (i.e. NPV</w:t>
      </w:r>
      <w:r w:rsidRPr="006912F6">
        <w:rPr>
          <w:rFonts w:eastAsia="맑은 고딕" w:cs="Times New Roman"/>
          <w:sz w:val="20"/>
          <w:szCs w:val="18"/>
          <w:vertAlign w:val="subscript"/>
        </w:rPr>
        <w:t>now</w:t>
      </w:r>
      <w:r w:rsidRPr="006912F6">
        <w:rPr>
          <w:rFonts w:eastAsia="맑은 고딕" w:cs="Times New Roman"/>
          <w:sz w:val="20"/>
          <w:szCs w:val="18"/>
        </w:rPr>
        <w:t xml:space="preserve">) indicates the value of flexibility that option holders can </w:t>
      </w:r>
      <w:r w:rsidRPr="006912F6">
        <w:rPr>
          <w:rFonts w:eastAsia="맑은 고딕" w:cs="Times New Roman" w:hint="eastAsia"/>
          <w:sz w:val="20"/>
          <w:szCs w:val="18"/>
        </w:rPr>
        <w:t>g</w:t>
      </w:r>
      <w:r w:rsidRPr="006912F6">
        <w:rPr>
          <w:rFonts w:eastAsia="맑은 고딕" w:cs="Times New Roman"/>
          <w:sz w:val="20"/>
          <w:szCs w:val="18"/>
        </w:rPr>
        <w:t>ain from delaying the adaptation option under a given MSLR scenario. As the Historic trend scenario has the slowest rate of sea-level rise (i.e. 1.4mm/yr), both option values (i.e. NPV</w:t>
      </w:r>
      <w:r w:rsidRPr="006912F6">
        <w:rPr>
          <w:rFonts w:eastAsia="맑은 고딕" w:cs="Times New Roman"/>
          <w:sz w:val="20"/>
          <w:szCs w:val="18"/>
          <w:vertAlign w:val="subscript"/>
        </w:rPr>
        <w:t>now</w:t>
      </w:r>
      <w:r w:rsidRPr="006912F6">
        <w:rPr>
          <w:rFonts w:eastAsia="맑은 고딕" w:cs="Times New Roman"/>
          <w:sz w:val="20"/>
          <w:szCs w:val="18"/>
        </w:rPr>
        <w:t>, NPV</w:t>
      </w:r>
      <w:r w:rsidRPr="006912F6">
        <w:rPr>
          <w:rFonts w:eastAsia="맑은 고딕" w:cs="Times New Roman"/>
          <w:sz w:val="20"/>
          <w:szCs w:val="18"/>
          <w:vertAlign w:val="subscript"/>
        </w:rPr>
        <w:t>opt</w:t>
      </w:r>
      <w:r w:rsidRPr="006912F6">
        <w:rPr>
          <w:rFonts w:eastAsia="맑은 고딕" w:cs="Times New Roman"/>
          <w:sz w:val="20"/>
          <w:szCs w:val="18"/>
        </w:rPr>
        <w:t>) are the lowest among all the MSLR scenarios with NPV</w:t>
      </w:r>
      <w:r w:rsidRPr="006912F6">
        <w:rPr>
          <w:rFonts w:eastAsia="맑은 고딕" w:cs="Times New Roman"/>
          <w:sz w:val="20"/>
          <w:szCs w:val="18"/>
          <w:vertAlign w:val="subscript"/>
        </w:rPr>
        <w:t>now</w:t>
      </w:r>
      <w:r w:rsidRPr="006912F6">
        <w:rPr>
          <w:rFonts w:eastAsia="맑은 고딕" w:cs="Times New Roman"/>
          <w:sz w:val="20"/>
          <w:szCs w:val="18"/>
        </w:rPr>
        <w:t xml:space="preserve"> estimated to be negative. </w:t>
      </w:r>
    </w:p>
    <w:p w14:paraId="536BB04D" w14:textId="40354917" w:rsidR="00550B73" w:rsidRPr="006912F6" w:rsidRDefault="00550B73" w:rsidP="00550B73">
      <w:pPr>
        <w:pStyle w:val="a4"/>
        <w:rPr>
          <w:rFonts w:cs="Times New Roman"/>
          <w:i w:val="0"/>
          <w:color w:val="auto"/>
          <w:sz w:val="20"/>
          <w:szCs w:val="20"/>
        </w:rPr>
      </w:pPr>
      <w:bookmarkStart w:id="710" w:name="_Toc18071461"/>
      <w:r w:rsidRPr="006912F6">
        <w:rPr>
          <w:b/>
          <w:i w:val="0"/>
          <w:color w:val="auto"/>
          <w:sz w:val="20"/>
          <w:szCs w:val="20"/>
        </w:rPr>
        <w:t>Table</w:t>
      </w:r>
      <w:r w:rsidR="00AC3AA0" w:rsidRPr="006912F6">
        <w:rPr>
          <w:b/>
          <w:i w:val="0"/>
          <w:color w:val="auto"/>
          <w:sz w:val="20"/>
          <w:szCs w:val="20"/>
        </w:rPr>
        <w:t xml:space="preserve"> </w:t>
      </w:r>
      <w:r w:rsidR="00667743" w:rsidRPr="006912F6">
        <w:rPr>
          <w:b/>
          <w:i w:val="0"/>
          <w:color w:val="auto"/>
          <w:sz w:val="20"/>
          <w:szCs w:val="20"/>
        </w:rPr>
        <w:t>3.</w:t>
      </w:r>
      <w:r w:rsidR="00AC3AA0" w:rsidRPr="006912F6">
        <w:rPr>
          <w:b/>
          <w:i w:val="0"/>
          <w:color w:val="auto"/>
          <w:sz w:val="20"/>
          <w:szCs w:val="20"/>
        </w:rPr>
        <w:t>2.</w:t>
      </w:r>
      <w:r w:rsidRPr="006912F6">
        <w:rPr>
          <w:b/>
          <w:i w:val="0"/>
          <w:color w:val="auto"/>
          <w:sz w:val="20"/>
          <w:szCs w:val="20"/>
        </w:rPr>
        <w:t xml:space="preserve"> </w:t>
      </w:r>
      <w:r w:rsidRPr="006912F6">
        <w:rPr>
          <w:color w:val="auto"/>
          <w:sz w:val="20"/>
          <w:szCs w:val="20"/>
        </w:rPr>
        <w:t xml:space="preserve"> </w:t>
      </w:r>
      <w:r w:rsidRPr="006912F6">
        <w:rPr>
          <w:rFonts w:cs="Times New Roman"/>
          <w:i w:val="0"/>
          <w:color w:val="auto"/>
          <w:sz w:val="20"/>
          <w:szCs w:val="20"/>
        </w:rPr>
        <w:t>Results of real options analysis by different MSLR scenarios.</w:t>
      </w:r>
      <w:bookmarkEnd w:id="710"/>
    </w:p>
    <w:tbl>
      <w:tblPr>
        <w:tblStyle w:val="PlainTable51"/>
        <w:tblW w:w="8879" w:type="dxa"/>
        <w:tblInd w:w="137" w:type="dxa"/>
        <w:tblBorders>
          <w:top w:val="single" w:sz="4" w:space="0" w:color="auto"/>
          <w:bottom w:val="single" w:sz="4" w:space="0" w:color="auto"/>
          <w:insideH w:val="single" w:sz="4" w:space="0" w:color="auto"/>
          <w:insideV w:val="single" w:sz="4" w:space="0" w:color="auto"/>
        </w:tblBorders>
        <w:tblLayout w:type="fixed"/>
        <w:tblLook w:val="0420" w:firstRow="1" w:lastRow="0" w:firstColumn="0" w:lastColumn="0" w:noHBand="0" w:noVBand="1"/>
      </w:tblPr>
      <w:tblGrid>
        <w:gridCol w:w="1985"/>
        <w:gridCol w:w="1378"/>
        <w:gridCol w:w="1379"/>
        <w:gridCol w:w="1379"/>
        <w:gridCol w:w="1379"/>
        <w:gridCol w:w="1379"/>
      </w:tblGrid>
      <w:tr w:rsidR="006912F6" w:rsidRPr="006912F6" w14:paraId="509EBB93" w14:textId="77777777" w:rsidTr="000C4BE5">
        <w:trPr>
          <w:cnfStyle w:val="100000000000" w:firstRow="1" w:lastRow="0" w:firstColumn="0" w:lastColumn="0" w:oddVBand="0" w:evenVBand="0" w:oddHBand="0" w:evenHBand="0" w:firstRowFirstColumn="0" w:firstRowLastColumn="0" w:lastRowFirstColumn="0" w:lastRowLastColumn="0"/>
          <w:cantSplit/>
          <w:trHeight w:val="387"/>
        </w:trPr>
        <w:tc>
          <w:tcPr>
            <w:tcW w:w="1985" w:type="dxa"/>
            <w:vAlign w:val="center"/>
            <w:hideMark/>
          </w:tcPr>
          <w:p w14:paraId="655755C2" w14:textId="77777777" w:rsidR="00550B73" w:rsidRPr="006912F6" w:rsidRDefault="00550B73" w:rsidP="00550B73">
            <w:pPr>
              <w:spacing w:before="0" w:line="240" w:lineRule="auto"/>
              <w:jc w:val="center"/>
              <w:rPr>
                <w:rFonts w:eastAsia="Times New Roman" w:cs="Times New Roman"/>
                <w:b/>
                <w:bCs/>
                <w:i w:val="0"/>
                <w:iCs w:val="0"/>
                <w:sz w:val="18"/>
                <w:szCs w:val="44"/>
              </w:rPr>
            </w:pPr>
            <w:r w:rsidRPr="006912F6">
              <w:rPr>
                <w:rFonts w:eastAsia="MS PGothic" w:cs="Times New Roman"/>
                <w:b/>
                <w:bCs/>
                <w:i w:val="0"/>
                <w:iCs w:val="0"/>
                <w:kern w:val="24"/>
                <w:sz w:val="18"/>
                <w:szCs w:val="44"/>
              </w:rPr>
              <w:t>Scenarios</w:t>
            </w:r>
          </w:p>
        </w:tc>
        <w:tc>
          <w:tcPr>
            <w:tcW w:w="1378" w:type="dxa"/>
            <w:vAlign w:val="center"/>
          </w:tcPr>
          <w:p w14:paraId="6281E0DF" w14:textId="77777777" w:rsidR="00550B73" w:rsidRPr="006912F6" w:rsidRDefault="00550B73" w:rsidP="00550B73">
            <w:pPr>
              <w:spacing w:before="0" w:line="240" w:lineRule="auto"/>
              <w:jc w:val="center"/>
              <w:rPr>
                <w:rFonts w:eastAsia="MS PGothic" w:cs="Times New Roman"/>
                <w:b/>
                <w:bCs/>
                <w:i w:val="0"/>
                <w:iCs w:val="0"/>
                <w:kern w:val="24"/>
                <w:sz w:val="18"/>
                <w:szCs w:val="44"/>
              </w:rPr>
            </w:pPr>
            <w:r w:rsidRPr="006912F6">
              <w:rPr>
                <w:rFonts w:eastAsia="MS PGothic" w:cs="Times New Roman"/>
                <w:b/>
                <w:bCs/>
                <w:i w:val="0"/>
                <w:iCs w:val="0"/>
                <w:kern w:val="24"/>
                <w:sz w:val="18"/>
                <w:szCs w:val="44"/>
              </w:rPr>
              <w:t>H++</w:t>
            </w:r>
          </w:p>
        </w:tc>
        <w:tc>
          <w:tcPr>
            <w:tcW w:w="1379" w:type="dxa"/>
            <w:vAlign w:val="center"/>
          </w:tcPr>
          <w:p w14:paraId="2B9CAC58" w14:textId="77777777" w:rsidR="00550B73" w:rsidRPr="006912F6" w:rsidRDefault="00550B73" w:rsidP="00550B73">
            <w:pPr>
              <w:spacing w:before="0" w:line="240" w:lineRule="auto"/>
              <w:jc w:val="center"/>
              <w:rPr>
                <w:rFonts w:eastAsia="MS PGothic" w:cs="Times New Roman"/>
                <w:b/>
                <w:bCs/>
                <w:i w:val="0"/>
                <w:iCs w:val="0"/>
                <w:kern w:val="24"/>
                <w:sz w:val="18"/>
                <w:szCs w:val="44"/>
              </w:rPr>
            </w:pPr>
            <w:r w:rsidRPr="006912F6">
              <w:rPr>
                <w:rFonts w:eastAsia="MS PGothic" w:cs="Times New Roman"/>
                <w:b/>
                <w:bCs/>
                <w:i w:val="0"/>
                <w:iCs w:val="0"/>
                <w:kern w:val="24"/>
                <w:sz w:val="18"/>
                <w:szCs w:val="44"/>
              </w:rPr>
              <w:t>High</w:t>
            </w:r>
          </w:p>
        </w:tc>
        <w:tc>
          <w:tcPr>
            <w:tcW w:w="1379" w:type="dxa"/>
            <w:vAlign w:val="center"/>
          </w:tcPr>
          <w:p w14:paraId="348C83F0" w14:textId="77777777" w:rsidR="00550B73" w:rsidRPr="006912F6" w:rsidRDefault="00550B73" w:rsidP="00550B73">
            <w:pPr>
              <w:spacing w:before="0" w:line="240" w:lineRule="auto"/>
              <w:jc w:val="center"/>
              <w:rPr>
                <w:rFonts w:eastAsia="MS PGothic" w:cs="Times New Roman"/>
                <w:b/>
                <w:bCs/>
                <w:i w:val="0"/>
                <w:iCs w:val="0"/>
                <w:kern w:val="24"/>
                <w:sz w:val="18"/>
                <w:szCs w:val="44"/>
              </w:rPr>
            </w:pPr>
            <w:r w:rsidRPr="006912F6">
              <w:rPr>
                <w:rFonts w:eastAsia="MS PGothic" w:cs="Times New Roman"/>
                <w:b/>
                <w:bCs/>
                <w:i w:val="0"/>
                <w:iCs w:val="0"/>
                <w:kern w:val="24"/>
                <w:sz w:val="18"/>
                <w:szCs w:val="44"/>
              </w:rPr>
              <w:t>Medium</w:t>
            </w:r>
          </w:p>
        </w:tc>
        <w:tc>
          <w:tcPr>
            <w:tcW w:w="1379" w:type="dxa"/>
            <w:vAlign w:val="center"/>
            <w:hideMark/>
          </w:tcPr>
          <w:p w14:paraId="0DAE4B1C" w14:textId="77777777" w:rsidR="00550B73" w:rsidRPr="006912F6" w:rsidRDefault="00550B73" w:rsidP="00550B73">
            <w:pPr>
              <w:spacing w:before="0" w:line="240" w:lineRule="auto"/>
              <w:jc w:val="center"/>
              <w:rPr>
                <w:rFonts w:eastAsia="Times New Roman" w:cs="Times New Roman"/>
                <w:b/>
                <w:bCs/>
                <w:i w:val="0"/>
                <w:iCs w:val="0"/>
                <w:sz w:val="18"/>
                <w:szCs w:val="44"/>
              </w:rPr>
            </w:pPr>
            <w:r w:rsidRPr="006912F6">
              <w:rPr>
                <w:rFonts w:eastAsia="MS PGothic" w:cs="Times New Roman"/>
                <w:b/>
                <w:bCs/>
                <w:i w:val="0"/>
                <w:iCs w:val="0"/>
                <w:kern w:val="24"/>
                <w:sz w:val="18"/>
                <w:szCs w:val="44"/>
              </w:rPr>
              <w:t>Low</w:t>
            </w:r>
          </w:p>
        </w:tc>
        <w:tc>
          <w:tcPr>
            <w:tcW w:w="1379" w:type="dxa"/>
            <w:vAlign w:val="center"/>
          </w:tcPr>
          <w:p w14:paraId="72841822" w14:textId="77777777" w:rsidR="00550B73" w:rsidRPr="006912F6" w:rsidRDefault="00550B73" w:rsidP="00550B73">
            <w:pPr>
              <w:spacing w:before="0" w:line="240" w:lineRule="auto"/>
              <w:jc w:val="center"/>
              <w:rPr>
                <w:rFonts w:eastAsia="MS PGothic" w:cs="Times New Roman"/>
                <w:b/>
                <w:bCs/>
                <w:i w:val="0"/>
                <w:iCs w:val="0"/>
                <w:kern w:val="24"/>
                <w:sz w:val="18"/>
                <w:szCs w:val="44"/>
              </w:rPr>
            </w:pPr>
            <w:r w:rsidRPr="006912F6">
              <w:rPr>
                <w:rFonts w:eastAsia="MS PGothic" w:cs="Times New Roman"/>
                <w:b/>
                <w:bCs/>
                <w:i w:val="0"/>
                <w:iCs w:val="0"/>
                <w:kern w:val="24"/>
                <w:sz w:val="18"/>
                <w:szCs w:val="44"/>
              </w:rPr>
              <w:t>Historic trend</w:t>
            </w:r>
          </w:p>
        </w:tc>
      </w:tr>
      <w:tr w:rsidR="006912F6" w:rsidRPr="006912F6" w14:paraId="6D84677A" w14:textId="77777777" w:rsidTr="000C4BE5">
        <w:trPr>
          <w:cnfStyle w:val="000000100000" w:firstRow="0" w:lastRow="0" w:firstColumn="0" w:lastColumn="0" w:oddVBand="0" w:evenVBand="0" w:oddHBand="1" w:evenHBand="0" w:firstRowFirstColumn="0" w:firstRowLastColumn="0" w:lastRowFirstColumn="0" w:lastRowLastColumn="0"/>
          <w:cantSplit/>
          <w:trHeight w:val="379"/>
        </w:trPr>
        <w:tc>
          <w:tcPr>
            <w:tcW w:w="1985" w:type="dxa"/>
            <w:vAlign w:val="center"/>
            <w:hideMark/>
          </w:tcPr>
          <w:p w14:paraId="748ECD8B" w14:textId="77777777" w:rsidR="00550B73" w:rsidRPr="006912F6" w:rsidRDefault="00550B73" w:rsidP="00550B73">
            <w:pPr>
              <w:spacing w:before="0" w:line="240" w:lineRule="auto"/>
              <w:jc w:val="center"/>
              <w:rPr>
                <w:rFonts w:eastAsia="Times New Roman" w:cs="Times New Roman"/>
                <w:sz w:val="18"/>
                <w:szCs w:val="44"/>
              </w:rPr>
            </w:pPr>
            <w:r w:rsidRPr="006912F6">
              <w:rPr>
                <w:rFonts w:eastAsia="MS PGothic" w:cs="Times New Roman"/>
                <w:kern w:val="24"/>
                <w:sz w:val="18"/>
                <w:szCs w:val="44"/>
              </w:rPr>
              <w:t>Investment cost</w:t>
            </w:r>
          </w:p>
        </w:tc>
        <w:tc>
          <w:tcPr>
            <w:tcW w:w="1378" w:type="dxa"/>
            <w:vAlign w:val="center"/>
          </w:tcPr>
          <w:p w14:paraId="257030DA" w14:textId="77777777" w:rsidR="00550B73" w:rsidRPr="006912F6" w:rsidRDefault="00550B73" w:rsidP="00550B73">
            <w:pPr>
              <w:spacing w:before="0" w:line="240" w:lineRule="auto"/>
              <w:jc w:val="center"/>
              <w:rPr>
                <w:rFonts w:eastAsia="MS PGothic" w:cs="Times New Roman"/>
                <w:kern w:val="24"/>
                <w:sz w:val="18"/>
                <w:szCs w:val="44"/>
              </w:rPr>
            </w:pPr>
            <w:r w:rsidRPr="006912F6">
              <w:rPr>
                <w:rFonts w:eastAsia="MS PGothic" w:cs="Times New Roman"/>
                <w:kern w:val="24"/>
                <w:sz w:val="18"/>
                <w:szCs w:val="44"/>
              </w:rPr>
              <w:t>£ 64.20 M</w:t>
            </w:r>
            <w:r w:rsidRPr="006912F6" w:rsidDel="00861C32">
              <w:rPr>
                <w:rFonts w:eastAsia="MS PGothic" w:cs="Times New Roman"/>
                <w:kern w:val="24"/>
                <w:sz w:val="18"/>
                <w:szCs w:val="44"/>
              </w:rPr>
              <w:t xml:space="preserve"> </w:t>
            </w:r>
          </w:p>
        </w:tc>
        <w:tc>
          <w:tcPr>
            <w:tcW w:w="1379" w:type="dxa"/>
            <w:vAlign w:val="center"/>
          </w:tcPr>
          <w:p w14:paraId="5C0EEFA3" w14:textId="77777777" w:rsidR="00550B73" w:rsidRPr="006912F6" w:rsidRDefault="00550B73" w:rsidP="00550B73">
            <w:pPr>
              <w:spacing w:before="0" w:line="240" w:lineRule="auto"/>
              <w:jc w:val="center"/>
              <w:rPr>
                <w:rFonts w:eastAsia="MS PGothic" w:cs="Times New Roman"/>
                <w:kern w:val="24"/>
                <w:sz w:val="18"/>
                <w:szCs w:val="44"/>
              </w:rPr>
            </w:pPr>
            <w:r w:rsidRPr="006912F6">
              <w:rPr>
                <w:rFonts w:eastAsia="MS PGothic" w:cs="Times New Roman"/>
                <w:kern w:val="24"/>
                <w:sz w:val="18"/>
                <w:szCs w:val="44"/>
              </w:rPr>
              <w:t>£ 64.20 M</w:t>
            </w:r>
          </w:p>
        </w:tc>
        <w:tc>
          <w:tcPr>
            <w:tcW w:w="1379" w:type="dxa"/>
            <w:vAlign w:val="center"/>
          </w:tcPr>
          <w:p w14:paraId="440C3541" w14:textId="77777777" w:rsidR="00550B73" w:rsidRPr="006912F6" w:rsidRDefault="00550B73" w:rsidP="00550B73">
            <w:pPr>
              <w:spacing w:before="0" w:line="240" w:lineRule="auto"/>
              <w:jc w:val="center"/>
              <w:rPr>
                <w:rFonts w:eastAsia="MS PGothic" w:cs="Times New Roman"/>
                <w:kern w:val="24"/>
                <w:sz w:val="18"/>
                <w:szCs w:val="44"/>
              </w:rPr>
            </w:pPr>
            <w:r w:rsidRPr="006912F6">
              <w:rPr>
                <w:rFonts w:eastAsia="MS PGothic" w:cs="Times New Roman"/>
                <w:kern w:val="24"/>
                <w:sz w:val="18"/>
                <w:szCs w:val="44"/>
              </w:rPr>
              <w:t>£ 64.20 M</w:t>
            </w:r>
            <w:r w:rsidRPr="006912F6" w:rsidDel="00861C32">
              <w:rPr>
                <w:rFonts w:eastAsia="MS PGothic" w:cs="Times New Roman"/>
                <w:kern w:val="24"/>
                <w:sz w:val="18"/>
                <w:szCs w:val="44"/>
              </w:rPr>
              <w:t xml:space="preserve"> </w:t>
            </w:r>
          </w:p>
        </w:tc>
        <w:tc>
          <w:tcPr>
            <w:tcW w:w="1379" w:type="dxa"/>
            <w:vAlign w:val="center"/>
            <w:hideMark/>
          </w:tcPr>
          <w:p w14:paraId="2363CDD1" w14:textId="77777777" w:rsidR="00550B73" w:rsidRPr="006912F6" w:rsidRDefault="00550B73" w:rsidP="00550B73">
            <w:pPr>
              <w:spacing w:before="0" w:line="240" w:lineRule="auto"/>
              <w:jc w:val="center"/>
              <w:rPr>
                <w:rFonts w:eastAsia="Times New Roman" w:cs="Times New Roman"/>
                <w:sz w:val="18"/>
                <w:szCs w:val="44"/>
              </w:rPr>
            </w:pPr>
            <w:r w:rsidRPr="006912F6">
              <w:rPr>
                <w:rFonts w:eastAsia="MS PGothic" w:cs="Times New Roman"/>
                <w:kern w:val="24"/>
                <w:sz w:val="18"/>
                <w:szCs w:val="44"/>
              </w:rPr>
              <w:t>£ 64.20 M</w:t>
            </w:r>
            <w:r w:rsidRPr="006912F6" w:rsidDel="00861C32">
              <w:rPr>
                <w:rFonts w:eastAsia="MS PGothic" w:cs="Times New Roman"/>
                <w:kern w:val="24"/>
                <w:sz w:val="18"/>
                <w:szCs w:val="44"/>
              </w:rPr>
              <w:t xml:space="preserve"> </w:t>
            </w:r>
          </w:p>
        </w:tc>
        <w:tc>
          <w:tcPr>
            <w:tcW w:w="1379" w:type="dxa"/>
            <w:vAlign w:val="center"/>
          </w:tcPr>
          <w:p w14:paraId="46DB7E2D" w14:textId="77777777" w:rsidR="00550B73" w:rsidRPr="006912F6" w:rsidRDefault="00550B73" w:rsidP="00550B73">
            <w:pPr>
              <w:spacing w:before="0" w:line="240" w:lineRule="auto"/>
              <w:jc w:val="center"/>
              <w:rPr>
                <w:rFonts w:eastAsia="MS PGothic" w:cs="Times New Roman"/>
                <w:kern w:val="24"/>
                <w:sz w:val="18"/>
                <w:szCs w:val="44"/>
              </w:rPr>
            </w:pPr>
            <w:r w:rsidRPr="006912F6">
              <w:rPr>
                <w:rFonts w:eastAsia="MS PGothic" w:cs="Times New Roman"/>
                <w:kern w:val="24"/>
                <w:sz w:val="18"/>
                <w:szCs w:val="44"/>
              </w:rPr>
              <w:t>£ 64.20 M</w:t>
            </w:r>
          </w:p>
        </w:tc>
      </w:tr>
      <w:tr w:rsidR="006912F6" w:rsidRPr="006912F6" w14:paraId="4F9B4FDA" w14:textId="77777777" w:rsidTr="000C4BE5">
        <w:trPr>
          <w:cantSplit/>
          <w:trHeight w:val="542"/>
        </w:trPr>
        <w:tc>
          <w:tcPr>
            <w:tcW w:w="1985" w:type="dxa"/>
            <w:vAlign w:val="center"/>
            <w:hideMark/>
          </w:tcPr>
          <w:p w14:paraId="0B829914" w14:textId="77777777" w:rsidR="00550B73" w:rsidRPr="006912F6" w:rsidRDefault="00550B73" w:rsidP="00550B73">
            <w:pPr>
              <w:spacing w:before="0" w:line="240" w:lineRule="auto"/>
              <w:jc w:val="center"/>
              <w:rPr>
                <w:rFonts w:eastAsia="Times New Roman" w:cs="Times New Roman"/>
                <w:sz w:val="18"/>
                <w:szCs w:val="44"/>
              </w:rPr>
            </w:pPr>
            <w:r w:rsidRPr="006912F6">
              <w:rPr>
                <w:rFonts w:eastAsia="MS PGothic" w:cs="Times New Roman"/>
                <w:kern w:val="24"/>
                <w:sz w:val="18"/>
                <w:szCs w:val="44"/>
              </w:rPr>
              <w:t>Optimal Investment Time</w:t>
            </w:r>
          </w:p>
        </w:tc>
        <w:tc>
          <w:tcPr>
            <w:tcW w:w="1378" w:type="dxa"/>
            <w:vAlign w:val="center"/>
          </w:tcPr>
          <w:p w14:paraId="2C373B28" w14:textId="77777777" w:rsidR="00550B73" w:rsidRPr="006912F6" w:rsidRDefault="00550B73" w:rsidP="00550B73">
            <w:pPr>
              <w:spacing w:before="0" w:line="240" w:lineRule="auto"/>
              <w:jc w:val="center"/>
              <w:rPr>
                <w:rFonts w:eastAsia="Times New Roman" w:cs="Times New Roman"/>
                <w:sz w:val="18"/>
                <w:szCs w:val="44"/>
              </w:rPr>
            </w:pPr>
            <w:r w:rsidRPr="006912F6">
              <w:rPr>
                <w:rFonts w:eastAsia="Times New Roman" w:cs="Times New Roman"/>
                <w:sz w:val="18"/>
                <w:szCs w:val="44"/>
              </w:rPr>
              <w:t>2016</w:t>
            </w:r>
          </w:p>
          <w:p w14:paraId="5DE52B6C" w14:textId="77777777" w:rsidR="00550B73" w:rsidRPr="006912F6" w:rsidRDefault="00550B73" w:rsidP="00550B73">
            <w:pPr>
              <w:spacing w:before="0" w:line="240" w:lineRule="auto"/>
              <w:jc w:val="center"/>
              <w:rPr>
                <w:rFonts w:eastAsia="Times New Roman" w:cs="Times New Roman"/>
                <w:sz w:val="18"/>
                <w:szCs w:val="44"/>
              </w:rPr>
            </w:pPr>
            <w:r w:rsidRPr="006912F6">
              <w:rPr>
                <w:rFonts w:eastAsia="Times New Roman" w:cs="Times New Roman"/>
                <w:sz w:val="18"/>
                <w:szCs w:val="44"/>
              </w:rPr>
              <w:t>(i.e. now)</w:t>
            </w:r>
          </w:p>
        </w:tc>
        <w:tc>
          <w:tcPr>
            <w:tcW w:w="1379" w:type="dxa"/>
            <w:vAlign w:val="center"/>
          </w:tcPr>
          <w:p w14:paraId="3BBFA96C" w14:textId="77777777" w:rsidR="00550B73" w:rsidRPr="006912F6" w:rsidRDefault="00550B73" w:rsidP="00550B73">
            <w:pPr>
              <w:spacing w:before="0" w:line="240" w:lineRule="auto"/>
              <w:jc w:val="center"/>
              <w:rPr>
                <w:rFonts w:eastAsia="Times New Roman" w:cs="Times New Roman"/>
                <w:sz w:val="18"/>
                <w:szCs w:val="44"/>
              </w:rPr>
            </w:pPr>
            <w:r w:rsidRPr="006912F6">
              <w:rPr>
                <w:rFonts w:eastAsia="Times New Roman" w:cs="Times New Roman"/>
                <w:sz w:val="18"/>
                <w:szCs w:val="44"/>
              </w:rPr>
              <w:t>2025</w:t>
            </w:r>
          </w:p>
        </w:tc>
        <w:tc>
          <w:tcPr>
            <w:tcW w:w="1379" w:type="dxa"/>
            <w:vAlign w:val="center"/>
          </w:tcPr>
          <w:p w14:paraId="42D3703F" w14:textId="77777777" w:rsidR="00550B73" w:rsidRPr="006912F6" w:rsidRDefault="00550B73" w:rsidP="00550B73">
            <w:pPr>
              <w:spacing w:before="0" w:line="240" w:lineRule="auto"/>
              <w:jc w:val="center"/>
              <w:rPr>
                <w:rFonts w:eastAsia="Times New Roman" w:cs="Times New Roman"/>
                <w:sz w:val="18"/>
                <w:szCs w:val="44"/>
              </w:rPr>
            </w:pPr>
            <w:r w:rsidRPr="006912F6">
              <w:rPr>
                <w:rFonts w:eastAsia="Times New Roman" w:cs="Times New Roman"/>
                <w:sz w:val="18"/>
                <w:szCs w:val="44"/>
              </w:rPr>
              <w:t>2029</w:t>
            </w:r>
          </w:p>
        </w:tc>
        <w:tc>
          <w:tcPr>
            <w:tcW w:w="1379" w:type="dxa"/>
            <w:vAlign w:val="center"/>
            <w:hideMark/>
          </w:tcPr>
          <w:p w14:paraId="4485FCD3" w14:textId="77777777" w:rsidR="00550B73" w:rsidRPr="006912F6" w:rsidRDefault="00550B73" w:rsidP="00550B73">
            <w:pPr>
              <w:spacing w:before="0" w:line="240" w:lineRule="auto"/>
              <w:jc w:val="center"/>
              <w:rPr>
                <w:rFonts w:eastAsia="Times New Roman" w:cs="Times New Roman"/>
                <w:sz w:val="18"/>
                <w:szCs w:val="44"/>
              </w:rPr>
            </w:pPr>
            <w:r w:rsidRPr="006912F6">
              <w:rPr>
                <w:rFonts w:eastAsia="Times New Roman" w:cs="Times New Roman"/>
                <w:sz w:val="18"/>
                <w:szCs w:val="44"/>
              </w:rPr>
              <w:t>2033</w:t>
            </w:r>
          </w:p>
        </w:tc>
        <w:tc>
          <w:tcPr>
            <w:tcW w:w="1379" w:type="dxa"/>
            <w:vAlign w:val="center"/>
          </w:tcPr>
          <w:p w14:paraId="6340FF9F" w14:textId="77777777" w:rsidR="00550B73" w:rsidRPr="006912F6" w:rsidRDefault="00550B73" w:rsidP="00550B73">
            <w:pPr>
              <w:spacing w:before="0" w:line="240" w:lineRule="auto"/>
              <w:jc w:val="center"/>
              <w:rPr>
                <w:rFonts w:eastAsia="Times New Roman" w:cs="Times New Roman"/>
                <w:sz w:val="18"/>
                <w:szCs w:val="44"/>
              </w:rPr>
            </w:pPr>
            <w:r w:rsidRPr="006912F6">
              <w:rPr>
                <w:rFonts w:eastAsia="Times New Roman" w:cs="Times New Roman"/>
                <w:sz w:val="18"/>
                <w:szCs w:val="44"/>
              </w:rPr>
              <w:t>2083</w:t>
            </w:r>
          </w:p>
        </w:tc>
      </w:tr>
      <w:tr w:rsidR="006912F6" w:rsidRPr="006912F6" w14:paraId="57F08ECE" w14:textId="77777777" w:rsidTr="000C4BE5">
        <w:trPr>
          <w:cnfStyle w:val="000000100000" w:firstRow="0" w:lastRow="0" w:firstColumn="0" w:lastColumn="0" w:oddVBand="0" w:evenVBand="0" w:oddHBand="1" w:evenHBand="0" w:firstRowFirstColumn="0" w:firstRowLastColumn="0" w:lastRowFirstColumn="0" w:lastRowLastColumn="0"/>
          <w:cantSplit/>
          <w:trHeight w:val="449"/>
        </w:trPr>
        <w:tc>
          <w:tcPr>
            <w:tcW w:w="1985" w:type="dxa"/>
            <w:vAlign w:val="center"/>
            <w:hideMark/>
          </w:tcPr>
          <w:p w14:paraId="145336EA" w14:textId="77777777" w:rsidR="00550B73" w:rsidRPr="006912F6" w:rsidRDefault="00550B73" w:rsidP="00550B73">
            <w:pPr>
              <w:spacing w:before="0" w:line="240" w:lineRule="auto"/>
              <w:jc w:val="center"/>
              <w:rPr>
                <w:rFonts w:eastAsia="Times New Roman" w:cs="Times New Roman"/>
                <w:sz w:val="18"/>
                <w:szCs w:val="44"/>
              </w:rPr>
            </w:pPr>
            <w:r w:rsidRPr="006912F6">
              <w:rPr>
                <w:rFonts w:eastAsia="맑은 고딕" w:cs="Times New Roman"/>
                <w:sz w:val="18"/>
                <w:szCs w:val="44"/>
              </w:rPr>
              <w:t>NPV</w:t>
            </w:r>
            <w:r w:rsidRPr="006912F6">
              <w:rPr>
                <w:rFonts w:eastAsia="맑은 고딕" w:cs="Times New Roman"/>
                <w:sz w:val="18"/>
                <w:szCs w:val="44"/>
                <w:vertAlign w:val="subscript"/>
              </w:rPr>
              <w:t>now</w:t>
            </w:r>
          </w:p>
        </w:tc>
        <w:tc>
          <w:tcPr>
            <w:tcW w:w="1378" w:type="dxa"/>
            <w:vAlign w:val="center"/>
          </w:tcPr>
          <w:p w14:paraId="576E64E1" w14:textId="77777777" w:rsidR="00550B73" w:rsidRPr="006912F6" w:rsidRDefault="00550B73" w:rsidP="00550B73">
            <w:pPr>
              <w:spacing w:before="0" w:line="240" w:lineRule="auto"/>
              <w:jc w:val="center"/>
              <w:rPr>
                <w:rFonts w:eastAsia="MS PGothic" w:cs="Times New Roman"/>
                <w:kern w:val="24"/>
                <w:sz w:val="18"/>
                <w:szCs w:val="44"/>
              </w:rPr>
            </w:pPr>
            <w:r w:rsidRPr="006912F6">
              <w:rPr>
                <w:rFonts w:eastAsia="MS PGothic" w:cs="Times New Roman"/>
                <w:kern w:val="24"/>
                <w:sz w:val="18"/>
                <w:szCs w:val="44"/>
              </w:rPr>
              <w:t>£ 158.0 M</w:t>
            </w:r>
          </w:p>
        </w:tc>
        <w:tc>
          <w:tcPr>
            <w:tcW w:w="1379" w:type="dxa"/>
            <w:vAlign w:val="center"/>
          </w:tcPr>
          <w:p w14:paraId="4120FC95" w14:textId="77777777" w:rsidR="00550B73" w:rsidRPr="006912F6" w:rsidRDefault="00550B73" w:rsidP="00550B73">
            <w:pPr>
              <w:spacing w:before="0" w:line="240" w:lineRule="auto"/>
              <w:jc w:val="center"/>
              <w:rPr>
                <w:rFonts w:eastAsia="MS PGothic" w:cs="Times New Roman"/>
                <w:kern w:val="24"/>
                <w:sz w:val="18"/>
                <w:szCs w:val="44"/>
              </w:rPr>
            </w:pPr>
            <w:r w:rsidRPr="006912F6">
              <w:rPr>
                <w:rFonts w:eastAsia="MS PGothic" w:cs="Times New Roman"/>
                <w:kern w:val="24"/>
                <w:sz w:val="18"/>
                <w:szCs w:val="44"/>
              </w:rPr>
              <w:t>£ 35.3 M</w:t>
            </w:r>
          </w:p>
        </w:tc>
        <w:tc>
          <w:tcPr>
            <w:tcW w:w="1379" w:type="dxa"/>
            <w:vAlign w:val="center"/>
          </w:tcPr>
          <w:p w14:paraId="2986A8BC" w14:textId="77777777" w:rsidR="00550B73" w:rsidRPr="006912F6" w:rsidRDefault="00550B73" w:rsidP="00550B73">
            <w:pPr>
              <w:spacing w:before="0" w:line="240" w:lineRule="auto"/>
              <w:jc w:val="center"/>
              <w:rPr>
                <w:rFonts w:eastAsia="MS PGothic" w:cs="Times New Roman"/>
                <w:kern w:val="24"/>
                <w:sz w:val="18"/>
                <w:szCs w:val="44"/>
              </w:rPr>
            </w:pPr>
            <w:r w:rsidRPr="006912F6">
              <w:rPr>
                <w:rFonts w:eastAsia="MS PGothic" w:cs="Times New Roman"/>
                <w:kern w:val="24"/>
                <w:sz w:val="18"/>
                <w:szCs w:val="44"/>
              </w:rPr>
              <w:t>£ 23.19 M</w:t>
            </w:r>
          </w:p>
        </w:tc>
        <w:tc>
          <w:tcPr>
            <w:tcW w:w="1379" w:type="dxa"/>
            <w:vAlign w:val="center"/>
            <w:hideMark/>
          </w:tcPr>
          <w:p w14:paraId="2E040E83" w14:textId="77777777" w:rsidR="00550B73" w:rsidRPr="006912F6" w:rsidRDefault="00550B73" w:rsidP="00550B73">
            <w:pPr>
              <w:spacing w:before="0" w:line="240" w:lineRule="auto"/>
              <w:jc w:val="center"/>
              <w:rPr>
                <w:rFonts w:eastAsia="Times New Roman" w:cs="Times New Roman"/>
                <w:sz w:val="18"/>
                <w:szCs w:val="44"/>
              </w:rPr>
            </w:pPr>
            <w:r w:rsidRPr="006912F6">
              <w:rPr>
                <w:rFonts w:eastAsia="MS PGothic" w:cs="Times New Roman"/>
                <w:kern w:val="24"/>
                <w:sz w:val="18"/>
                <w:szCs w:val="44"/>
              </w:rPr>
              <w:t>£ 13.92 M</w:t>
            </w:r>
          </w:p>
        </w:tc>
        <w:tc>
          <w:tcPr>
            <w:tcW w:w="1379" w:type="dxa"/>
            <w:vAlign w:val="center"/>
          </w:tcPr>
          <w:p w14:paraId="6CAD85BD" w14:textId="77777777" w:rsidR="00550B73" w:rsidRPr="006912F6" w:rsidRDefault="00550B73" w:rsidP="00550B73">
            <w:pPr>
              <w:spacing w:before="0" w:line="240" w:lineRule="auto"/>
              <w:jc w:val="center"/>
              <w:rPr>
                <w:rFonts w:eastAsia="MS PGothic" w:cs="Times New Roman"/>
                <w:kern w:val="24"/>
                <w:sz w:val="18"/>
                <w:szCs w:val="44"/>
              </w:rPr>
            </w:pPr>
            <w:r w:rsidRPr="006912F6">
              <w:rPr>
                <w:rFonts w:eastAsia="MS PGothic" w:cs="Times New Roman"/>
                <w:kern w:val="24"/>
                <w:sz w:val="18"/>
                <w:szCs w:val="44"/>
              </w:rPr>
              <w:t>£ (-) 14.48 M</w:t>
            </w:r>
          </w:p>
        </w:tc>
      </w:tr>
      <w:tr w:rsidR="006912F6" w:rsidRPr="006912F6" w14:paraId="38B38274" w14:textId="77777777" w:rsidTr="000C4BE5">
        <w:trPr>
          <w:cantSplit/>
          <w:trHeight w:val="413"/>
        </w:trPr>
        <w:tc>
          <w:tcPr>
            <w:tcW w:w="1985" w:type="dxa"/>
            <w:vAlign w:val="center"/>
            <w:hideMark/>
          </w:tcPr>
          <w:p w14:paraId="42A36B73" w14:textId="77777777" w:rsidR="00550B73" w:rsidRPr="006912F6" w:rsidRDefault="00550B73" w:rsidP="00550B73">
            <w:pPr>
              <w:spacing w:before="0" w:line="240" w:lineRule="auto"/>
              <w:jc w:val="center"/>
              <w:rPr>
                <w:rFonts w:eastAsia="Times New Roman" w:cs="Times New Roman"/>
                <w:sz w:val="18"/>
                <w:szCs w:val="44"/>
              </w:rPr>
            </w:pPr>
            <w:r w:rsidRPr="006912F6">
              <w:rPr>
                <w:rFonts w:eastAsia="맑은 고딕" w:cs="Times New Roman"/>
                <w:sz w:val="18"/>
                <w:szCs w:val="44"/>
              </w:rPr>
              <w:t>NPV</w:t>
            </w:r>
            <w:r w:rsidRPr="006912F6">
              <w:rPr>
                <w:rFonts w:eastAsia="맑은 고딕" w:cs="Times New Roman"/>
                <w:sz w:val="18"/>
                <w:szCs w:val="44"/>
                <w:vertAlign w:val="subscript"/>
              </w:rPr>
              <w:t>opt</w:t>
            </w:r>
          </w:p>
        </w:tc>
        <w:tc>
          <w:tcPr>
            <w:tcW w:w="1378" w:type="dxa"/>
            <w:vAlign w:val="center"/>
          </w:tcPr>
          <w:p w14:paraId="125DE2DD" w14:textId="77777777" w:rsidR="00550B73" w:rsidRPr="006912F6" w:rsidRDefault="00550B73" w:rsidP="00550B73">
            <w:pPr>
              <w:spacing w:before="0" w:line="240" w:lineRule="auto"/>
              <w:jc w:val="center"/>
              <w:rPr>
                <w:rFonts w:eastAsia="MS PGothic" w:cs="Times New Roman"/>
                <w:kern w:val="24"/>
                <w:sz w:val="18"/>
                <w:szCs w:val="44"/>
              </w:rPr>
            </w:pPr>
            <w:r w:rsidRPr="006912F6">
              <w:rPr>
                <w:rFonts w:eastAsia="MS PGothic" w:cs="Times New Roman"/>
                <w:kern w:val="24"/>
                <w:sz w:val="18"/>
                <w:szCs w:val="44"/>
              </w:rPr>
              <w:t>£ 158.0 M</w:t>
            </w:r>
          </w:p>
        </w:tc>
        <w:tc>
          <w:tcPr>
            <w:tcW w:w="1379" w:type="dxa"/>
            <w:vAlign w:val="center"/>
          </w:tcPr>
          <w:p w14:paraId="36D4E1B9" w14:textId="77777777" w:rsidR="00550B73" w:rsidRPr="006912F6" w:rsidRDefault="00550B73" w:rsidP="00550B73">
            <w:pPr>
              <w:spacing w:before="0" w:line="240" w:lineRule="auto"/>
              <w:jc w:val="center"/>
              <w:rPr>
                <w:rFonts w:eastAsia="MS PGothic" w:cs="Times New Roman"/>
                <w:kern w:val="24"/>
                <w:sz w:val="18"/>
                <w:szCs w:val="44"/>
              </w:rPr>
            </w:pPr>
            <w:r w:rsidRPr="006912F6">
              <w:rPr>
                <w:rFonts w:eastAsia="MS PGothic" w:cs="Times New Roman"/>
                <w:kern w:val="24"/>
                <w:sz w:val="18"/>
                <w:szCs w:val="44"/>
              </w:rPr>
              <w:t>£ 36.5 M</w:t>
            </w:r>
          </w:p>
        </w:tc>
        <w:tc>
          <w:tcPr>
            <w:tcW w:w="1379" w:type="dxa"/>
            <w:vAlign w:val="center"/>
          </w:tcPr>
          <w:p w14:paraId="1FE43AD8" w14:textId="77777777" w:rsidR="00550B73" w:rsidRPr="006912F6" w:rsidRDefault="00550B73" w:rsidP="00550B73">
            <w:pPr>
              <w:spacing w:before="0" w:line="240" w:lineRule="auto"/>
              <w:jc w:val="center"/>
              <w:rPr>
                <w:rFonts w:eastAsia="MS PGothic" w:cs="Times New Roman"/>
                <w:kern w:val="24"/>
                <w:sz w:val="18"/>
                <w:szCs w:val="44"/>
              </w:rPr>
            </w:pPr>
            <w:r w:rsidRPr="006912F6">
              <w:rPr>
                <w:rFonts w:eastAsia="MS PGothic" w:cs="Times New Roman"/>
                <w:kern w:val="24"/>
                <w:sz w:val="18"/>
                <w:szCs w:val="44"/>
              </w:rPr>
              <w:t>£ 25.46 M</w:t>
            </w:r>
          </w:p>
        </w:tc>
        <w:tc>
          <w:tcPr>
            <w:tcW w:w="1379" w:type="dxa"/>
            <w:vAlign w:val="center"/>
            <w:hideMark/>
          </w:tcPr>
          <w:p w14:paraId="11B232A2" w14:textId="77777777" w:rsidR="00550B73" w:rsidRPr="006912F6" w:rsidRDefault="00550B73" w:rsidP="00550B73">
            <w:pPr>
              <w:spacing w:before="0" w:line="240" w:lineRule="auto"/>
              <w:jc w:val="center"/>
              <w:rPr>
                <w:rFonts w:eastAsia="Times New Roman" w:cs="Times New Roman"/>
                <w:sz w:val="18"/>
                <w:szCs w:val="44"/>
              </w:rPr>
            </w:pPr>
            <w:r w:rsidRPr="006912F6">
              <w:rPr>
                <w:rFonts w:eastAsia="MS PGothic" w:cs="Times New Roman"/>
                <w:kern w:val="24"/>
                <w:sz w:val="18"/>
                <w:szCs w:val="44"/>
              </w:rPr>
              <w:t>£ 17.77 M</w:t>
            </w:r>
          </w:p>
        </w:tc>
        <w:tc>
          <w:tcPr>
            <w:tcW w:w="1379" w:type="dxa"/>
            <w:vAlign w:val="center"/>
          </w:tcPr>
          <w:p w14:paraId="7C4D333C" w14:textId="77777777" w:rsidR="00550B73" w:rsidRPr="006912F6" w:rsidRDefault="00550B73" w:rsidP="00550B73">
            <w:pPr>
              <w:spacing w:before="0" w:line="240" w:lineRule="auto"/>
              <w:jc w:val="center"/>
              <w:rPr>
                <w:rFonts w:eastAsia="MS PGothic" w:cs="Times New Roman"/>
                <w:kern w:val="24"/>
                <w:sz w:val="18"/>
                <w:szCs w:val="44"/>
              </w:rPr>
            </w:pPr>
            <w:r w:rsidRPr="006912F6">
              <w:rPr>
                <w:rFonts w:eastAsia="MS PGothic" w:cs="Times New Roman"/>
                <w:kern w:val="24"/>
                <w:sz w:val="18"/>
                <w:szCs w:val="44"/>
              </w:rPr>
              <w:t>£ 1.08 M</w:t>
            </w:r>
          </w:p>
        </w:tc>
      </w:tr>
      <w:tr w:rsidR="006912F6" w:rsidRPr="006912F6" w14:paraId="6D012F60" w14:textId="77777777" w:rsidTr="000C4BE5">
        <w:trPr>
          <w:cnfStyle w:val="000000100000" w:firstRow="0" w:lastRow="0" w:firstColumn="0" w:lastColumn="0" w:oddVBand="0" w:evenVBand="0" w:oddHBand="1" w:evenHBand="0" w:firstRowFirstColumn="0" w:firstRowLastColumn="0" w:lastRowFirstColumn="0" w:lastRowLastColumn="0"/>
          <w:cantSplit/>
          <w:trHeight w:val="413"/>
        </w:trPr>
        <w:tc>
          <w:tcPr>
            <w:tcW w:w="1985" w:type="dxa"/>
            <w:vAlign w:val="center"/>
          </w:tcPr>
          <w:p w14:paraId="59A06725" w14:textId="77777777" w:rsidR="00550B73" w:rsidRPr="006912F6" w:rsidRDefault="00550B73" w:rsidP="00550B73">
            <w:pPr>
              <w:spacing w:before="0" w:line="240" w:lineRule="auto"/>
              <w:jc w:val="center"/>
              <w:rPr>
                <w:rFonts w:eastAsia="MS PGothic" w:cs="Times New Roman"/>
                <w:kern w:val="24"/>
                <w:sz w:val="18"/>
                <w:szCs w:val="44"/>
              </w:rPr>
            </w:pPr>
            <w:r w:rsidRPr="006912F6">
              <w:rPr>
                <w:rFonts w:eastAsia="MS PGothic" w:cs="Times New Roman"/>
                <w:kern w:val="24"/>
                <w:sz w:val="18"/>
                <w:szCs w:val="44"/>
              </w:rPr>
              <w:t>∆(=</w:t>
            </w:r>
            <w:r w:rsidRPr="006912F6">
              <w:rPr>
                <w:rFonts w:eastAsia="맑은 고딕" w:cs="Times New Roman"/>
                <w:sz w:val="18"/>
                <w:szCs w:val="44"/>
              </w:rPr>
              <w:t>NPV</w:t>
            </w:r>
            <w:r w:rsidRPr="006912F6">
              <w:rPr>
                <w:rFonts w:eastAsia="맑은 고딕" w:cs="Times New Roman"/>
                <w:sz w:val="18"/>
                <w:szCs w:val="44"/>
                <w:vertAlign w:val="subscript"/>
              </w:rPr>
              <w:t>opt</w:t>
            </w:r>
            <w:r w:rsidRPr="006912F6">
              <w:rPr>
                <w:rFonts w:eastAsia="MS PGothic" w:cs="Times New Roman"/>
                <w:kern w:val="24"/>
                <w:sz w:val="18"/>
                <w:szCs w:val="44"/>
              </w:rPr>
              <w:t>-</w:t>
            </w:r>
            <w:r w:rsidRPr="006912F6">
              <w:rPr>
                <w:rFonts w:eastAsia="맑은 고딕" w:cs="Times New Roman"/>
                <w:sz w:val="18"/>
                <w:szCs w:val="44"/>
              </w:rPr>
              <w:t xml:space="preserve"> NPV</w:t>
            </w:r>
            <w:r w:rsidRPr="006912F6">
              <w:rPr>
                <w:rFonts w:eastAsia="맑은 고딕" w:cs="Times New Roman"/>
                <w:sz w:val="18"/>
                <w:szCs w:val="44"/>
                <w:vertAlign w:val="subscript"/>
              </w:rPr>
              <w:t>now</w:t>
            </w:r>
            <w:r w:rsidRPr="006912F6">
              <w:rPr>
                <w:rFonts w:eastAsia="MS PGothic" w:cs="Times New Roman"/>
                <w:kern w:val="24"/>
                <w:sz w:val="18"/>
                <w:szCs w:val="44"/>
              </w:rPr>
              <w:t>)</w:t>
            </w:r>
          </w:p>
        </w:tc>
        <w:tc>
          <w:tcPr>
            <w:tcW w:w="1378" w:type="dxa"/>
            <w:vAlign w:val="center"/>
          </w:tcPr>
          <w:p w14:paraId="79A1C975" w14:textId="77777777" w:rsidR="00550B73" w:rsidRPr="006912F6" w:rsidRDefault="00550B73" w:rsidP="00550B73">
            <w:pPr>
              <w:spacing w:before="0" w:line="240" w:lineRule="auto"/>
              <w:jc w:val="center"/>
              <w:rPr>
                <w:rFonts w:eastAsia="MS PGothic" w:cs="Times New Roman"/>
                <w:kern w:val="24"/>
                <w:sz w:val="18"/>
                <w:szCs w:val="44"/>
              </w:rPr>
            </w:pPr>
            <w:r w:rsidRPr="006912F6">
              <w:rPr>
                <w:rFonts w:eastAsia="MS PGothic" w:cs="Times New Roman"/>
                <w:kern w:val="24"/>
                <w:sz w:val="18"/>
                <w:szCs w:val="44"/>
              </w:rPr>
              <w:t xml:space="preserve">0 M </w:t>
            </w:r>
          </w:p>
        </w:tc>
        <w:tc>
          <w:tcPr>
            <w:tcW w:w="1379" w:type="dxa"/>
            <w:vAlign w:val="center"/>
          </w:tcPr>
          <w:p w14:paraId="4EBA9799" w14:textId="77777777" w:rsidR="00550B73" w:rsidRPr="006912F6" w:rsidRDefault="00550B73" w:rsidP="00550B73">
            <w:pPr>
              <w:spacing w:before="0" w:line="240" w:lineRule="auto"/>
              <w:jc w:val="center"/>
              <w:rPr>
                <w:rFonts w:eastAsia="MS PGothic" w:cs="Times New Roman"/>
                <w:kern w:val="24"/>
                <w:sz w:val="18"/>
                <w:szCs w:val="44"/>
              </w:rPr>
            </w:pPr>
            <w:r w:rsidRPr="006912F6">
              <w:rPr>
                <w:rFonts w:eastAsia="MS PGothic" w:cs="Times New Roman"/>
                <w:kern w:val="24"/>
                <w:sz w:val="18"/>
                <w:szCs w:val="44"/>
              </w:rPr>
              <w:t>£ 1.2 M</w:t>
            </w:r>
          </w:p>
        </w:tc>
        <w:tc>
          <w:tcPr>
            <w:tcW w:w="1379" w:type="dxa"/>
            <w:vAlign w:val="center"/>
          </w:tcPr>
          <w:p w14:paraId="6756996D" w14:textId="77777777" w:rsidR="00550B73" w:rsidRPr="006912F6" w:rsidRDefault="00550B73" w:rsidP="00550B73">
            <w:pPr>
              <w:spacing w:before="0" w:line="240" w:lineRule="auto"/>
              <w:jc w:val="center"/>
              <w:rPr>
                <w:rFonts w:eastAsia="MS PGothic" w:cs="Times New Roman"/>
                <w:kern w:val="24"/>
                <w:sz w:val="18"/>
                <w:szCs w:val="44"/>
              </w:rPr>
            </w:pPr>
            <w:r w:rsidRPr="006912F6">
              <w:rPr>
                <w:rFonts w:eastAsia="MS PGothic" w:cs="Times New Roman"/>
                <w:kern w:val="24"/>
                <w:sz w:val="18"/>
                <w:szCs w:val="44"/>
              </w:rPr>
              <w:t>£ 2.27 M</w:t>
            </w:r>
          </w:p>
        </w:tc>
        <w:tc>
          <w:tcPr>
            <w:tcW w:w="1379" w:type="dxa"/>
            <w:vAlign w:val="center"/>
          </w:tcPr>
          <w:p w14:paraId="0048EA6E" w14:textId="77777777" w:rsidR="00550B73" w:rsidRPr="006912F6" w:rsidRDefault="00550B73" w:rsidP="00550B73">
            <w:pPr>
              <w:spacing w:before="0" w:line="240" w:lineRule="auto"/>
              <w:jc w:val="center"/>
              <w:rPr>
                <w:rFonts w:eastAsia="MS PGothic" w:cs="Times New Roman"/>
                <w:kern w:val="24"/>
                <w:sz w:val="18"/>
                <w:szCs w:val="44"/>
              </w:rPr>
            </w:pPr>
            <w:r w:rsidRPr="006912F6">
              <w:rPr>
                <w:rFonts w:eastAsia="MS PGothic" w:cs="Times New Roman"/>
                <w:kern w:val="24"/>
                <w:sz w:val="18"/>
                <w:szCs w:val="44"/>
              </w:rPr>
              <w:t>£ 3.85 M</w:t>
            </w:r>
          </w:p>
        </w:tc>
        <w:tc>
          <w:tcPr>
            <w:tcW w:w="1379" w:type="dxa"/>
            <w:vAlign w:val="center"/>
          </w:tcPr>
          <w:p w14:paraId="08562CCB" w14:textId="77777777" w:rsidR="00550B73" w:rsidRPr="006912F6" w:rsidRDefault="00550B73" w:rsidP="00550B73">
            <w:pPr>
              <w:spacing w:before="0" w:line="240" w:lineRule="auto"/>
              <w:jc w:val="center"/>
              <w:rPr>
                <w:rFonts w:eastAsia="MS PGothic" w:cs="Times New Roman"/>
                <w:kern w:val="24"/>
                <w:sz w:val="18"/>
                <w:szCs w:val="44"/>
              </w:rPr>
            </w:pPr>
            <w:r w:rsidRPr="006912F6">
              <w:rPr>
                <w:rFonts w:eastAsia="MS PGothic" w:cs="Times New Roman"/>
                <w:kern w:val="24"/>
                <w:sz w:val="18"/>
                <w:szCs w:val="44"/>
              </w:rPr>
              <w:t>£ 15.56 M</w:t>
            </w:r>
          </w:p>
        </w:tc>
      </w:tr>
    </w:tbl>
    <w:p w14:paraId="618376F7" w14:textId="77777777" w:rsidR="00550B73" w:rsidRPr="006912F6" w:rsidRDefault="00550B73" w:rsidP="00550B73">
      <w:pPr>
        <w:jc w:val="both"/>
        <w:rPr>
          <w:rFonts w:cs="Times New Roman"/>
          <w:sz w:val="10"/>
        </w:rPr>
      </w:pPr>
    </w:p>
    <w:p w14:paraId="0B77D174" w14:textId="77777777" w:rsidR="00550B73" w:rsidRPr="006912F6" w:rsidRDefault="00550B73" w:rsidP="00550B73">
      <w:pPr>
        <w:jc w:val="both"/>
        <w:rPr>
          <w:rFonts w:cs="Times New Roman"/>
          <w:sz w:val="20"/>
          <w:szCs w:val="18"/>
        </w:rPr>
      </w:pPr>
      <w:r w:rsidRPr="006912F6">
        <w:rPr>
          <w:rFonts w:cs="Times New Roman"/>
          <w:sz w:val="20"/>
          <w:szCs w:val="18"/>
        </w:rPr>
        <w:t xml:space="preserve">In the H++ MSLR scenario, sea level will rise by 1.75m in 2100. As expected, this </w:t>
      </w:r>
      <w:r w:rsidRPr="006912F6">
        <w:rPr>
          <w:rFonts w:cs="Times New Roman"/>
          <w:noProof/>
          <w:sz w:val="20"/>
          <w:szCs w:val="18"/>
        </w:rPr>
        <w:t>scenario</w:t>
      </w:r>
      <w:r w:rsidRPr="006912F6">
        <w:rPr>
          <w:rFonts w:cs="Times New Roman"/>
          <w:sz w:val="20"/>
          <w:szCs w:val="18"/>
        </w:rPr>
        <w:t xml:space="preserve"> gives the highest NPV</w:t>
      </w:r>
      <w:r w:rsidRPr="006912F6">
        <w:rPr>
          <w:rFonts w:cs="Times New Roman"/>
          <w:sz w:val="20"/>
          <w:szCs w:val="18"/>
          <w:vertAlign w:val="subscript"/>
        </w:rPr>
        <w:t>now</w:t>
      </w:r>
      <w:r w:rsidRPr="006912F6">
        <w:rPr>
          <w:rFonts w:cs="Times New Roman"/>
          <w:sz w:val="20"/>
          <w:szCs w:val="18"/>
        </w:rPr>
        <w:t xml:space="preserve"> and NPV</w:t>
      </w:r>
      <w:r w:rsidRPr="006912F6">
        <w:rPr>
          <w:rFonts w:cs="Times New Roman"/>
          <w:sz w:val="20"/>
          <w:szCs w:val="18"/>
          <w:vertAlign w:val="subscript"/>
        </w:rPr>
        <w:t>opt</w:t>
      </w:r>
      <w:r w:rsidRPr="006912F6">
        <w:rPr>
          <w:rFonts w:cs="Times New Roman"/>
          <w:sz w:val="20"/>
          <w:szCs w:val="18"/>
        </w:rPr>
        <w:t xml:space="preserve"> and the earliest optimal investment time (2016) among all the MSLR scenarios. This is acceptable because the risk of coastal flooding is very high and fast-growing. In this case, the investment in 2016 already gives a larger option value than delaying the option. Thus, the investment was already optimal in 2016 in the most extreme scenario. (More generally, it is found that, when the rate of sea-level rise exceeds 4.9mm/year, the optimal investment time occurs in 2016).</w:t>
      </w:r>
    </w:p>
    <w:p w14:paraId="0EAAFBF3" w14:textId="126741AB" w:rsidR="00550B73" w:rsidRPr="006912F6" w:rsidRDefault="00550B73" w:rsidP="00550B73">
      <w:pPr>
        <w:jc w:val="both"/>
        <w:rPr>
          <w:rFonts w:cs="Times New Roman"/>
          <w:sz w:val="6"/>
          <w:szCs w:val="18"/>
        </w:rPr>
      </w:pPr>
      <w:r w:rsidRPr="006912F6">
        <w:rPr>
          <w:rFonts w:cs="Times New Roman"/>
          <w:sz w:val="20"/>
          <w:szCs w:val="18"/>
        </w:rPr>
        <w:lastRenderedPageBreak/>
        <w:t>There are two noteworthy points from the results of this extreme scenario. Firstly, the upgrade of coastal defence up to 3.5 mAOD will become less and less useful with time unless the investment is made. The extremity of coastal flooding due to sea-level rise will have reached the limit of coastal defence capacity in 2080. Thus, the expected annual benefit (EAB) starts to decline (See</w:t>
      </w:r>
      <w:r w:rsidR="00667743" w:rsidRPr="006912F6">
        <w:rPr>
          <w:rFonts w:cs="Times New Roman"/>
          <w:sz w:val="20"/>
          <w:szCs w:val="18"/>
        </w:rPr>
        <w:t xml:space="preserve"> graph U</w:t>
      </w:r>
      <w:r w:rsidR="00667743" w:rsidRPr="006912F6">
        <w:rPr>
          <w:rFonts w:cs="Times New Roman"/>
          <w:sz w:val="20"/>
          <w:szCs w:val="18"/>
          <w:vertAlign w:val="subscript"/>
        </w:rPr>
        <w:t>c-3.5m</w:t>
      </w:r>
      <w:r w:rsidR="00667743" w:rsidRPr="006912F6">
        <w:rPr>
          <w:rFonts w:cs="Times New Roman"/>
          <w:sz w:val="20"/>
          <w:szCs w:val="18"/>
        </w:rPr>
        <w:t xml:space="preserve"> in</w:t>
      </w:r>
      <w:r w:rsidRPr="006912F6">
        <w:rPr>
          <w:rFonts w:cs="Times New Roman"/>
          <w:sz w:val="20"/>
          <w:szCs w:val="18"/>
        </w:rPr>
        <w:t xml:space="preserve"> Figure </w:t>
      </w:r>
      <w:r w:rsidR="00667743" w:rsidRPr="006912F6">
        <w:rPr>
          <w:rFonts w:cs="Times New Roman"/>
          <w:sz w:val="20"/>
          <w:szCs w:val="18"/>
        </w:rPr>
        <w:t>1.10</w:t>
      </w:r>
      <w:r w:rsidRPr="006912F6">
        <w:rPr>
          <w:rFonts w:cs="Times New Roman"/>
          <w:sz w:val="20"/>
          <w:szCs w:val="18"/>
        </w:rPr>
        <w:t xml:space="preserve">) from this time because of the capacity of the upgraded defence. This implies that the coastal defence needs to be raised higher than the current plan (raising up to 3.5 mAOD) if sea-level rise follows the H++ MSLR scenario. Thus, an additional adaptation option or a higher standard-of-protection defence should be considered for the protection of Lymington under the H++ SLR scenario. The real options analysis explicitly shows that the real option values –continuation and termination values – are below zero after 2095 as shown in the H++ SLR scenario (Figure </w:t>
      </w:r>
      <w:r w:rsidR="00667743" w:rsidRPr="006912F6">
        <w:rPr>
          <w:rFonts w:cs="Times New Roman"/>
          <w:sz w:val="20"/>
          <w:szCs w:val="18"/>
        </w:rPr>
        <w:t>3</w:t>
      </w:r>
      <w:r w:rsidRPr="006912F6">
        <w:rPr>
          <w:rFonts w:cs="Times New Roman"/>
          <w:sz w:val="20"/>
          <w:szCs w:val="18"/>
        </w:rPr>
        <w:t>.2). This implies there is no use of an adaptation measure with such a low standard of protection after 2095, even if the coastal flooding is very severe due to sea-level rise. Secondly, the option value in the H++ MSLR scenario rapidly declines from £158 million in 2016</w:t>
      </w:r>
      <w:r w:rsidRPr="006912F6">
        <w:rPr>
          <w:rFonts w:cs="Times New Roman"/>
          <w:i/>
          <w:sz w:val="20"/>
          <w:szCs w:val="18"/>
        </w:rPr>
        <w:t>.</w:t>
      </w:r>
      <w:r w:rsidRPr="006912F6">
        <w:rPr>
          <w:rFonts w:cs="Times New Roman"/>
          <w:sz w:val="20"/>
          <w:szCs w:val="18"/>
        </w:rPr>
        <w:t xml:space="preserve"> Thus, the early detection of the rate of sea-level rise is a critical task for the optimal investment, if the extreme sea-level rise is occurring. </w:t>
      </w:r>
    </w:p>
    <w:p w14:paraId="46DBF6A3" w14:textId="5F3BA866" w:rsidR="00507710" w:rsidRPr="006912F6" w:rsidRDefault="00507710" w:rsidP="00550B73">
      <w:pPr>
        <w:jc w:val="both"/>
        <w:rPr>
          <w:rFonts w:cs="Times New Roman"/>
          <w:sz w:val="20"/>
          <w:szCs w:val="18"/>
        </w:rPr>
      </w:pPr>
      <w:r w:rsidRPr="006912F6">
        <w:rPr>
          <w:rFonts w:cs="Times New Roman"/>
          <w:sz w:val="20"/>
          <w:szCs w:val="18"/>
        </w:rPr>
        <w:t xml:space="preserve">Single-stage adaptation options for different levels (e.g. 3.0 mAOD, 3.5 mAOD and 4.0 mAOD) are assessed across different SLR scenarios. In addition, since the investment is made only in one stage, there is no additional cost to be paid for flexibility. These simple investments (i.e. </w:t>
      </w:r>
      <m:oMath>
        <m:sSub>
          <m:sSubPr>
            <m:ctrlPr>
              <w:rPr>
                <w:rFonts w:ascii="Cambria Math" w:hAnsi="Cambria Math" w:cs="Times New Roman"/>
                <w:sz w:val="20"/>
                <w:szCs w:val="18"/>
              </w:rPr>
            </m:ctrlPr>
          </m:sSubPr>
          <m:e>
            <m:r>
              <w:rPr>
                <w:rFonts w:ascii="Cambria Math" w:hAnsi="Cambria Math" w:cs="Times New Roman"/>
                <w:sz w:val="20"/>
                <w:szCs w:val="18"/>
              </w:rPr>
              <m:t>U</m:t>
            </m:r>
          </m:e>
          <m:sub>
            <m:r>
              <w:rPr>
                <w:rFonts w:ascii="Cambria Math" w:hAnsi="Cambria Math" w:cs="Times New Roman"/>
                <w:sz w:val="20"/>
                <w:szCs w:val="18"/>
              </w:rPr>
              <m:t>c</m:t>
            </m:r>
            <m:r>
              <m:rPr>
                <m:sty m:val="p"/>
              </m:rPr>
              <w:rPr>
                <w:rFonts w:ascii="Cambria Math" w:hAnsi="Cambria Math" w:cs="Times New Roman"/>
                <w:sz w:val="20"/>
                <w:szCs w:val="18"/>
              </w:rPr>
              <m:t>→3.0</m:t>
            </m:r>
            <m:r>
              <w:rPr>
                <w:rFonts w:ascii="Cambria Math" w:hAnsi="Cambria Math" w:cs="Times New Roman"/>
                <w:sz w:val="20"/>
                <w:szCs w:val="18"/>
              </w:rPr>
              <m:t>m</m:t>
            </m:r>
          </m:sub>
        </m:sSub>
        <m:r>
          <m:rPr>
            <m:sty m:val="p"/>
          </m:rPr>
          <w:rPr>
            <w:rFonts w:ascii="Cambria Math" w:hAnsi="Cambria Math" w:cs="Times New Roman"/>
            <w:sz w:val="20"/>
            <w:szCs w:val="18"/>
          </w:rPr>
          <m:t xml:space="preserve">, </m:t>
        </m:r>
        <m:sSub>
          <m:sSubPr>
            <m:ctrlPr>
              <w:rPr>
                <w:rFonts w:ascii="Cambria Math" w:hAnsi="Cambria Math" w:cs="Times New Roman"/>
                <w:sz w:val="20"/>
                <w:szCs w:val="18"/>
              </w:rPr>
            </m:ctrlPr>
          </m:sSubPr>
          <m:e>
            <m:r>
              <w:rPr>
                <w:rFonts w:ascii="Cambria Math" w:hAnsi="Cambria Math" w:cs="Times New Roman"/>
                <w:sz w:val="20"/>
                <w:szCs w:val="18"/>
              </w:rPr>
              <m:t>U</m:t>
            </m:r>
          </m:e>
          <m:sub>
            <m:r>
              <w:rPr>
                <w:rFonts w:ascii="Cambria Math" w:hAnsi="Cambria Math" w:cs="Times New Roman"/>
                <w:sz w:val="20"/>
                <w:szCs w:val="18"/>
              </w:rPr>
              <m:t>c</m:t>
            </m:r>
            <m:r>
              <m:rPr>
                <m:sty m:val="p"/>
              </m:rPr>
              <w:rPr>
                <w:rFonts w:ascii="Cambria Math" w:hAnsi="Cambria Math" w:cs="Times New Roman"/>
                <w:sz w:val="20"/>
                <w:szCs w:val="18"/>
              </w:rPr>
              <m:t>→3.5</m:t>
            </m:r>
            <m:r>
              <w:rPr>
                <w:rFonts w:ascii="Cambria Math" w:hAnsi="Cambria Math" w:cs="Times New Roman"/>
                <w:sz w:val="20"/>
                <w:szCs w:val="18"/>
              </w:rPr>
              <m:t>m</m:t>
            </m:r>
          </m:sub>
        </m:sSub>
        <m:r>
          <m:rPr>
            <m:sty m:val="p"/>
          </m:rPr>
          <w:rPr>
            <w:rFonts w:ascii="Cambria Math" w:hAnsi="Cambria Math" w:cs="Times New Roman"/>
            <w:sz w:val="20"/>
            <w:szCs w:val="18"/>
          </w:rPr>
          <m:t xml:space="preserve"> </m:t>
        </m:r>
      </m:oMath>
      <w:r w:rsidRPr="006912F6">
        <w:rPr>
          <w:rFonts w:cs="Times New Roman"/>
          <w:sz w:val="20"/>
          <w:szCs w:val="18"/>
        </w:rPr>
        <w:t xml:space="preserve">and </w:t>
      </w:r>
      <m:oMath>
        <m:sSub>
          <m:sSubPr>
            <m:ctrlPr>
              <w:rPr>
                <w:rFonts w:ascii="Cambria Math" w:hAnsi="Cambria Math" w:cs="Times New Roman"/>
                <w:sz w:val="20"/>
                <w:szCs w:val="18"/>
              </w:rPr>
            </m:ctrlPr>
          </m:sSubPr>
          <m:e>
            <m:r>
              <w:rPr>
                <w:rFonts w:ascii="Cambria Math" w:hAnsi="Cambria Math" w:cs="Times New Roman"/>
                <w:sz w:val="20"/>
                <w:szCs w:val="18"/>
              </w:rPr>
              <m:t>U</m:t>
            </m:r>
          </m:e>
          <m:sub>
            <m:r>
              <w:rPr>
                <w:rFonts w:ascii="Cambria Math" w:hAnsi="Cambria Math" w:cs="Times New Roman"/>
                <w:sz w:val="20"/>
                <w:szCs w:val="18"/>
              </w:rPr>
              <m:t>c</m:t>
            </m:r>
            <m:r>
              <m:rPr>
                <m:sty m:val="p"/>
              </m:rPr>
              <w:rPr>
                <w:rFonts w:ascii="Cambria Math" w:hAnsi="Cambria Math" w:cs="Times New Roman"/>
                <w:sz w:val="20"/>
                <w:szCs w:val="18"/>
              </w:rPr>
              <m:t>→4.0</m:t>
            </m:r>
            <m:r>
              <w:rPr>
                <w:rFonts w:ascii="Cambria Math" w:hAnsi="Cambria Math" w:cs="Times New Roman"/>
                <w:sz w:val="20"/>
                <w:szCs w:val="18"/>
              </w:rPr>
              <m:t>m</m:t>
            </m:r>
          </m:sub>
        </m:sSub>
      </m:oMath>
      <w:r w:rsidRPr="006912F6">
        <w:rPr>
          <w:rFonts w:cs="Times New Roman"/>
          <w:sz w:val="20"/>
          <w:szCs w:val="18"/>
        </w:rPr>
        <w:t>) are used, as baselines, to compare the efficiency of multiple-stage adaptations. The option value (NPV</w:t>
      </w:r>
      <w:r w:rsidRPr="006912F6">
        <w:rPr>
          <w:rFonts w:cs="Times New Roman"/>
          <w:sz w:val="20"/>
          <w:szCs w:val="18"/>
          <w:vertAlign w:val="subscript"/>
        </w:rPr>
        <w:t>opt</w:t>
      </w:r>
      <w:r w:rsidRPr="006912F6">
        <w:rPr>
          <w:rFonts w:cs="Times New Roman"/>
          <w:sz w:val="20"/>
          <w:szCs w:val="18"/>
        </w:rPr>
        <w:t xml:space="preserve">) and optimal investment time (OIT) are calculated for each single-stage adaptation. Also, the option value of the immediate investment is assessed for each adaptation in Table </w:t>
      </w:r>
      <w:r w:rsidR="00667743" w:rsidRPr="006912F6">
        <w:rPr>
          <w:rFonts w:cs="Times New Roman"/>
          <w:sz w:val="20"/>
          <w:szCs w:val="18"/>
        </w:rPr>
        <w:t>3.3</w:t>
      </w:r>
      <w:r w:rsidRPr="006912F6">
        <w:rPr>
          <w:rFonts w:cs="Times New Roman"/>
          <w:sz w:val="20"/>
          <w:szCs w:val="18"/>
        </w:rPr>
        <w:t>.</w:t>
      </w:r>
    </w:p>
    <w:p w14:paraId="5278EFED" w14:textId="77777777" w:rsidR="00667743" w:rsidRPr="006912F6" w:rsidRDefault="00667743" w:rsidP="00667743">
      <w:pPr>
        <w:jc w:val="both"/>
        <w:rPr>
          <w:rFonts w:cs="Times New Roman"/>
          <w:sz w:val="20"/>
          <w:szCs w:val="18"/>
        </w:rPr>
      </w:pPr>
      <w:r w:rsidRPr="006912F6">
        <w:rPr>
          <w:rFonts w:cs="Times New Roman"/>
          <w:sz w:val="20"/>
          <w:szCs w:val="18"/>
        </w:rPr>
        <w:t xml:space="preserve">As seen in Table 3.3, for </w:t>
      </w:r>
      <m:oMath>
        <m:sSub>
          <m:sSubPr>
            <m:ctrlPr>
              <w:rPr>
                <w:rFonts w:ascii="Cambria Math" w:hAnsi="Cambria Math" w:cs="Times New Roman"/>
                <w:sz w:val="20"/>
                <w:szCs w:val="18"/>
              </w:rPr>
            </m:ctrlPr>
          </m:sSubPr>
          <m:e>
            <m:r>
              <w:rPr>
                <w:rFonts w:ascii="Cambria Math" w:hAnsi="Cambria Math" w:cs="Times New Roman"/>
                <w:sz w:val="20"/>
                <w:szCs w:val="18"/>
              </w:rPr>
              <m:t>U</m:t>
            </m:r>
          </m:e>
          <m:sub>
            <m:r>
              <w:rPr>
                <w:rFonts w:ascii="Cambria Math" w:hAnsi="Cambria Math" w:cs="Times New Roman"/>
                <w:sz w:val="20"/>
                <w:szCs w:val="18"/>
              </w:rPr>
              <m:t>c</m:t>
            </m:r>
            <m:r>
              <m:rPr>
                <m:sty m:val="p"/>
              </m:rPr>
              <w:rPr>
                <w:rFonts w:ascii="Cambria Math" w:hAnsi="Cambria Math" w:cs="Times New Roman"/>
                <w:sz w:val="20"/>
                <w:szCs w:val="18"/>
              </w:rPr>
              <m:t>→3.0</m:t>
            </m:r>
            <m:r>
              <w:rPr>
                <w:rFonts w:ascii="Cambria Math" w:hAnsi="Cambria Math" w:cs="Times New Roman"/>
                <w:sz w:val="20"/>
                <w:szCs w:val="18"/>
              </w:rPr>
              <m:t>m</m:t>
            </m:r>
          </m:sub>
        </m:sSub>
      </m:oMath>
      <w:r w:rsidRPr="006912F6">
        <w:rPr>
          <w:rFonts w:cs="Times New Roman"/>
          <w:sz w:val="20"/>
          <w:szCs w:val="18"/>
        </w:rPr>
        <w:t xml:space="preserve"> whose adaptation cost is the least, the optimal investment time is all now regardless of SLR scenarios. As the overall benefit from the investment now is much higher than the investment cost, the optimal investment for </w:t>
      </w:r>
      <m:oMath>
        <m:sSub>
          <m:sSubPr>
            <m:ctrlPr>
              <w:rPr>
                <w:rFonts w:ascii="Cambria Math" w:hAnsi="Cambria Math" w:cs="Times New Roman"/>
                <w:sz w:val="20"/>
                <w:szCs w:val="18"/>
              </w:rPr>
            </m:ctrlPr>
          </m:sSubPr>
          <m:e>
            <m:r>
              <w:rPr>
                <w:rFonts w:ascii="Cambria Math" w:hAnsi="Cambria Math" w:cs="Times New Roman"/>
                <w:sz w:val="20"/>
                <w:szCs w:val="18"/>
              </w:rPr>
              <m:t>U</m:t>
            </m:r>
          </m:e>
          <m:sub>
            <m:r>
              <w:rPr>
                <w:rFonts w:ascii="Cambria Math" w:hAnsi="Cambria Math" w:cs="Times New Roman"/>
                <w:sz w:val="20"/>
                <w:szCs w:val="18"/>
              </w:rPr>
              <m:t>c</m:t>
            </m:r>
            <m:r>
              <m:rPr>
                <m:sty m:val="p"/>
              </m:rPr>
              <w:rPr>
                <w:rFonts w:ascii="Cambria Math" w:hAnsi="Cambria Math" w:cs="Times New Roman"/>
                <w:sz w:val="20"/>
                <w:szCs w:val="18"/>
              </w:rPr>
              <m:t>→3.0</m:t>
            </m:r>
            <m:r>
              <w:rPr>
                <w:rFonts w:ascii="Cambria Math" w:hAnsi="Cambria Math" w:cs="Times New Roman"/>
                <w:sz w:val="20"/>
                <w:szCs w:val="18"/>
              </w:rPr>
              <m:t>m</m:t>
            </m:r>
          </m:sub>
        </m:sSub>
      </m:oMath>
      <w:r w:rsidRPr="006912F6">
        <w:rPr>
          <w:rFonts w:cs="Times New Roman"/>
          <w:sz w:val="20"/>
          <w:szCs w:val="18"/>
        </w:rPr>
        <w:t xml:space="preserve"> is to invest now. The result of option evaluations concludes that adaptation options at such a low cost need to be implemented now regardless of SLR scenarios. On the other hand, for the adaptations of </w:t>
      </w:r>
      <m:oMath>
        <m:sSub>
          <m:sSubPr>
            <m:ctrlPr>
              <w:rPr>
                <w:rFonts w:ascii="Cambria Math" w:hAnsi="Cambria Math" w:cs="Times New Roman"/>
                <w:sz w:val="20"/>
                <w:szCs w:val="18"/>
              </w:rPr>
            </m:ctrlPr>
          </m:sSubPr>
          <m:e>
            <m:r>
              <w:rPr>
                <w:rFonts w:ascii="Cambria Math" w:hAnsi="Cambria Math" w:cs="Times New Roman"/>
                <w:sz w:val="20"/>
                <w:szCs w:val="18"/>
              </w:rPr>
              <m:t>U</m:t>
            </m:r>
          </m:e>
          <m:sub>
            <m:r>
              <w:rPr>
                <w:rFonts w:ascii="Cambria Math" w:hAnsi="Cambria Math" w:cs="Times New Roman"/>
                <w:sz w:val="20"/>
                <w:szCs w:val="18"/>
              </w:rPr>
              <m:t>c</m:t>
            </m:r>
            <m:r>
              <m:rPr>
                <m:sty m:val="p"/>
              </m:rPr>
              <w:rPr>
                <w:rFonts w:ascii="Cambria Math" w:hAnsi="Cambria Math" w:cs="Times New Roman"/>
                <w:sz w:val="20"/>
                <w:szCs w:val="18"/>
              </w:rPr>
              <m:t>→3.5</m:t>
            </m:r>
            <m:r>
              <w:rPr>
                <w:rFonts w:ascii="Cambria Math" w:hAnsi="Cambria Math" w:cs="Times New Roman"/>
                <w:sz w:val="20"/>
                <w:szCs w:val="18"/>
              </w:rPr>
              <m:t>m</m:t>
            </m:r>
          </m:sub>
        </m:sSub>
      </m:oMath>
      <w:r w:rsidRPr="006912F6">
        <w:rPr>
          <w:rFonts w:cs="Times New Roman"/>
          <w:sz w:val="20"/>
          <w:szCs w:val="18"/>
        </w:rPr>
        <w:t xml:space="preserve"> and </w:t>
      </w:r>
      <m:oMath>
        <m:sSub>
          <m:sSubPr>
            <m:ctrlPr>
              <w:rPr>
                <w:rFonts w:ascii="Cambria Math" w:hAnsi="Cambria Math" w:cs="Times New Roman"/>
                <w:sz w:val="20"/>
                <w:szCs w:val="18"/>
              </w:rPr>
            </m:ctrlPr>
          </m:sSubPr>
          <m:e>
            <m:r>
              <w:rPr>
                <w:rFonts w:ascii="Cambria Math" w:hAnsi="Cambria Math" w:cs="Times New Roman"/>
                <w:sz w:val="20"/>
                <w:szCs w:val="18"/>
              </w:rPr>
              <m:t>U</m:t>
            </m:r>
          </m:e>
          <m:sub>
            <m:r>
              <w:rPr>
                <w:rFonts w:ascii="Cambria Math" w:hAnsi="Cambria Math" w:cs="Times New Roman"/>
                <w:sz w:val="20"/>
                <w:szCs w:val="18"/>
              </w:rPr>
              <m:t>c</m:t>
            </m:r>
            <m:r>
              <m:rPr>
                <m:sty m:val="p"/>
              </m:rPr>
              <w:rPr>
                <w:rFonts w:ascii="Cambria Math" w:hAnsi="Cambria Math" w:cs="Times New Roman"/>
                <w:sz w:val="20"/>
                <w:szCs w:val="18"/>
              </w:rPr>
              <m:t>→4.0</m:t>
            </m:r>
            <m:r>
              <w:rPr>
                <w:rFonts w:ascii="Cambria Math" w:hAnsi="Cambria Math" w:cs="Times New Roman"/>
                <w:sz w:val="20"/>
                <w:szCs w:val="18"/>
              </w:rPr>
              <m:t>m</m:t>
            </m:r>
          </m:sub>
        </m:sSub>
      </m:oMath>
      <w:r w:rsidRPr="006912F6">
        <w:rPr>
          <w:rFonts w:cs="Times New Roman"/>
          <w:sz w:val="20"/>
          <w:szCs w:val="18"/>
        </w:rPr>
        <w:t xml:space="preserve">, the optimal investment time changes depending on SLR scenarios. Although the optimal investment time differs depending on SLR scenarios for this case, the values of sea-level rise at the optimal investment time are similar to each other for all the SLR scenarios. Thus, the value of sea-level rise at the optimal investment time can be used as an indicative value to tigger an adaptation option (Kim et al., 2018). However, in the H++ SLR scenario, sea-level is fast-growing and has increased over the capacity of the coastal defence so that the optimal investment time occurs now (2016) for all the adaptation options. It is because the later the investment is in such an extreme condition, the less likely the investment gain benefits in the future.  </w:t>
      </w:r>
    </w:p>
    <w:p w14:paraId="0EB8305E" w14:textId="4B243B6C" w:rsidR="00667743" w:rsidRPr="006912F6" w:rsidRDefault="00667743" w:rsidP="00550B73">
      <w:pPr>
        <w:jc w:val="both"/>
        <w:rPr>
          <w:rFonts w:cs="Times New Roman"/>
          <w:sz w:val="20"/>
          <w:szCs w:val="18"/>
        </w:rPr>
      </w:pPr>
    </w:p>
    <w:p w14:paraId="48087DB1" w14:textId="2F2AEB2E" w:rsidR="00667743" w:rsidRPr="006912F6" w:rsidRDefault="00667743" w:rsidP="00550B73">
      <w:pPr>
        <w:jc w:val="both"/>
        <w:rPr>
          <w:rFonts w:cs="Times New Roman"/>
          <w:sz w:val="20"/>
          <w:szCs w:val="18"/>
        </w:rPr>
      </w:pPr>
    </w:p>
    <w:p w14:paraId="1C8D13E3" w14:textId="71C78D32" w:rsidR="00667743" w:rsidRPr="006912F6" w:rsidRDefault="00667743" w:rsidP="00550B73">
      <w:pPr>
        <w:jc w:val="both"/>
        <w:rPr>
          <w:rFonts w:cs="Times New Roman"/>
          <w:sz w:val="20"/>
          <w:szCs w:val="18"/>
        </w:rPr>
      </w:pPr>
    </w:p>
    <w:p w14:paraId="0F80A337" w14:textId="22C8CDAD" w:rsidR="00667743" w:rsidRPr="006912F6" w:rsidRDefault="00667743" w:rsidP="00550B73">
      <w:pPr>
        <w:jc w:val="both"/>
        <w:rPr>
          <w:rFonts w:cs="Times New Roman"/>
          <w:sz w:val="20"/>
          <w:szCs w:val="18"/>
        </w:rPr>
      </w:pPr>
    </w:p>
    <w:p w14:paraId="278CDECC" w14:textId="07E5DA4B" w:rsidR="001B757C" w:rsidRPr="006912F6" w:rsidRDefault="001B757C" w:rsidP="001B757C">
      <w:pPr>
        <w:pStyle w:val="a4"/>
        <w:jc w:val="both"/>
        <w:rPr>
          <w:i w:val="0"/>
          <w:color w:val="auto"/>
          <w:sz w:val="20"/>
          <w:szCs w:val="14"/>
        </w:rPr>
      </w:pPr>
      <w:bookmarkStart w:id="711" w:name="_Toc18071468"/>
      <w:r w:rsidRPr="006912F6">
        <w:rPr>
          <w:b/>
          <w:bCs/>
          <w:i w:val="0"/>
          <w:color w:val="auto"/>
          <w:sz w:val="20"/>
          <w:szCs w:val="14"/>
        </w:rPr>
        <w:lastRenderedPageBreak/>
        <w:t xml:space="preserve">Table </w:t>
      </w:r>
      <w:r w:rsidR="00AC3AA0" w:rsidRPr="006912F6">
        <w:rPr>
          <w:b/>
          <w:bCs/>
          <w:i w:val="0"/>
          <w:color w:val="auto"/>
          <w:sz w:val="20"/>
          <w:szCs w:val="14"/>
        </w:rPr>
        <w:t>3</w:t>
      </w:r>
      <w:r w:rsidRPr="006912F6">
        <w:rPr>
          <w:b/>
          <w:bCs/>
          <w:i w:val="0"/>
          <w:color w:val="auto"/>
          <w:sz w:val="20"/>
          <w:szCs w:val="14"/>
        </w:rPr>
        <w:t>.</w:t>
      </w:r>
      <w:r w:rsidR="00667743" w:rsidRPr="006912F6">
        <w:rPr>
          <w:b/>
          <w:bCs/>
          <w:i w:val="0"/>
          <w:color w:val="auto"/>
          <w:sz w:val="20"/>
          <w:szCs w:val="14"/>
        </w:rPr>
        <w:t>3</w:t>
      </w:r>
      <w:r w:rsidRPr="006912F6">
        <w:rPr>
          <w:b/>
          <w:bCs/>
          <w:i w:val="0"/>
          <w:color w:val="auto"/>
          <w:sz w:val="20"/>
          <w:szCs w:val="14"/>
        </w:rPr>
        <w:t xml:space="preserve"> </w:t>
      </w:r>
      <w:r w:rsidRPr="006912F6">
        <w:rPr>
          <w:i w:val="0"/>
          <w:color w:val="auto"/>
          <w:sz w:val="20"/>
          <w:szCs w:val="14"/>
        </w:rPr>
        <w:t>Option values (i.e. NPV</w:t>
      </w:r>
      <w:r w:rsidRPr="006912F6">
        <w:rPr>
          <w:i w:val="0"/>
          <w:color w:val="auto"/>
          <w:sz w:val="20"/>
          <w:szCs w:val="14"/>
          <w:vertAlign w:val="subscript"/>
        </w:rPr>
        <w:t>now</w:t>
      </w:r>
      <w:r w:rsidRPr="006912F6">
        <w:rPr>
          <w:i w:val="0"/>
          <w:color w:val="auto"/>
          <w:sz w:val="20"/>
          <w:szCs w:val="14"/>
        </w:rPr>
        <w:t xml:space="preserve"> and NPV</w:t>
      </w:r>
      <w:r w:rsidRPr="006912F6">
        <w:rPr>
          <w:i w:val="0"/>
          <w:color w:val="auto"/>
          <w:sz w:val="20"/>
          <w:szCs w:val="14"/>
          <w:vertAlign w:val="subscript"/>
        </w:rPr>
        <w:t>opt</w:t>
      </w:r>
      <w:r w:rsidRPr="006912F6">
        <w:rPr>
          <w:i w:val="0"/>
          <w:color w:val="auto"/>
          <w:sz w:val="20"/>
          <w:szCs w:val="14"/>
        </w:rPr>
        <w:t>) of investment</w:t>
      </w:r>
      <w:r w:rsidR="00B41568" w:rsidRPr="006912F6">
        <w:rPr>
          <w:i w:val="0"/>
          <w:color w:val="auto"/>
          <w:sz w:val="20"/>
          <w:szCs w:val="14"/>
        </w:rPr>
        <w:t>s</w:t>
      </w:r>
      <w:r w:rsidRPr="006912F6">
        <w:rPr>
          <w:i w:val="0"/>
          <w:color w:val="auto"/>
          <w:sz w:val="20"/>
          <w:szCs w:val="14"/>
        </w:rPr>
        <w:t xml:space="preserve"> now and at the optimal time by different SLR scenarios for each single-stage adaptation – Note that, if NPV</w:t>
      </w:r>
      <w:r w:rsidRPr="006912F6">
        <w:rPr>
          <w:i w:val="0"/>
          <w:color w:val="auto"/>
          <w:sz w:val="20"/>
          <w:szCs w:val="14"/>
          <w:vertAlign w:val="subscript"/>
        </w:rPr>
        <w:t>now</w:t>
      </w:r>
      <w:r w:rsidRPr="006912F6">
        <w:rPr>
          <w:i w:val="0"/>
          <w:color w:val="auto"/>
          <w:sz w:val="20"/>
          <w:szCs w:val="14"/>
        </w:rPr>
        <w:t xml:space="preserve"> is maximum, NPV</w:t>
      </w:r>
      <w:r w:rsidRPr="006912F6">
        <w:rPr>
          <w:i w:val="0"/>
          <w:color w:val="auto"/>
          <w:sz w:val="20"/>
          <w:szCs w:val="14"/>
          <w:vertAlign w:val="subscript"/>
        </w:rPr>
        <w:t>opt</w:t>
      </w:r>
      <w:r w:rsidRPr="006912F6">
        <w:rPr>
          <w:i w:val="0"/>
          <w:color w:val="auto"/>
          <w:sz w:val="20"/>
          <w:szCs w:val="14"/>
        </w:rPr>
        <w:t xml:space="preserve"> is NPV</w:t>
      </w:r>
      <w:r w:rsidRPr="006912F6">
        <w:rPr>
          <w:i w:val="0"/>
          <w:color w:val="auto"/>
          <w:sz w:val="20"/>
          <w:szCs w:val="14"/>
          <w:vertAlign w:val="subscript"/>
        </w:rPr>
        <w:t>now</w:t>
      </w:r>
      <w:r w:rsidRPr="006912F6">
        <w:rPr>
          <w:i w:val="0"/>
          <w:color w:val="auto"/>
          <w:sz w:val="20"/>
          <w:szCs w:val="14"/>
        </w:rPr>
        <w:t>.</w:t>
      </w:r>
      <w:bookmarkEnd w:id="711"/>
    </w:p>
    <w:tbl>
      <w:tblPr>
        <w:tblStyle w:val="a3"/>
        <w:tblW w:w="0" w:type="auto"/>
        <w:jc w:val="center"/>
        <w:tblLook w:val="04A0" w:firstRow="1" w:lastRow="0" w:firstColumn="1" w:lastColumn="0" w:noHBand="0" w:noVBand="1"/>
      </w:tblPr>
      <w:tblGrid>
        <w:gridCol w:w="1244"/>
        <w:gridCol w:w="1205"/>
        <w:gridCol w:w="1218"/>
        <w:gridCol w:w="1146"/>
        <w:gridCol w:w="1138"/>
        <w:gridCol w:w="1655"/>
        <w:gridCol w:w="1410"/>
      </w:tblGrid>
      <w:tr w:rsidR="006912F6" w:rsidRPr="006912F6" w14:paraId="29A7415A" w14:textId="77777777" w:rsidTr="000C4BE5">
        <w:trPr>
          <w:trHeight w:val="20"/>
          <w:jc w:val="center"/>
        </w:trPr>
        <w:tc>
          <w:tcPr>
            <w:tcW w:w="1244" w:type="dxa"/>
            <w:vAlign w:val="center"/>
          </w:tcPr>
          <w:p w14:paraId="624BEDC2" w14:textId="77777777" w:rsidR="001B757C" w:rsidRPr="006912F6" w:rsidRDefault="001B757C" w:rsidP="000C4BE5">
            <w:pPr>
              <w:spacing w:before="0" w:line="240" w:lineRule="auto"/>
              <w:jc w:val="center"/>
              <w:rPr>
                <w:rFonts w:asciiTheme="majorHAnsi" w:hAnsiTheme="majorHAnsi" w:cstheme="majorHAnsi"/>
                <w:b/>
                <w:sz w:val="20"/>
              </w:rPr>
            </w:pPr>
            <w:r w:rsidRPr="006912F6">
              <w:rPr>
                <w:rFonts w:asciiTheme="majorHAnsi" w:hAnsiTheme="majorHAnsi" w:cstheme="majorHAnsi"/>
                <w:b/>
                <w:sz w:val="20"/>
              </w:rPr>
              <w:t>Adaptation paths</w:t>
            </w:r>
          </w:p>
        </w:tc>
        <w:tc>
          <w:tcPr>
            <w:tcW w:w="1205" w:type="dxa"/>
            <w:vAlign w:val="center"/>
          </w:tcPr>
          <w:p w14:paraId="15ED076B" w14:textId="77777777" w:rsidR="001B757C" w:rsidRPr="006912F6" w:rsidRDefault="001B757C" w:rsidP="000C4BE5">
            <w:pPr>
              <w:spacing w:before="0" w:line="240" w:lineRule="auto"/>
              <w:jc w:val="center"/>
              <w:rPr>
                <w:rFonts w:asciiTheme="majorHAnsi" w:hAnsiTheme="majorHAnsi" w:cstheme="majorHAnsi"/>
                <w:b/>
                <w:sz w:val="20"/>
              </w:rPr>
            </w:pPr>
            <w:r w:rsidRPr="006912F6">
              <w:rPr>
                <w:rFonts w:asciiTheme="majorHAnsi" w:hAnsiTheme="majorHAnsi" w:cstheme="majorHAnsi"/>
                <w:b/>
                <w:sz w:val="20"/>
              </w:rPr>
              <w:t>SLR scenarios</w:t>
            </w:r>
          </w:p>
        </w:tc>
        <w:tc>
          <w:tcPr>
            <w:tcW w:w="1218" w:type="dxa"/>
            <w:vAlign w:val="center"/>
          </w:tcPr>
          <w:p w14:paraId="4142427A" w14:textId="77777777" w:rsidR="001B757C" w:rsidRPr="006912F6" w:rsidRDefault="001B757C" w:rsidP="000C4BE5">
            <w:pPr>
              <w:spacing w:before="0" w:line="240" w:lineRule="auto"/>
              <w:jc w:val="center"/>
              <w:rPr>
                <w:rFonts w:asciiTheme="majorHAnsi" w:hAnsiTheme="majorHAnsi" w:cstheme="majorHAnsi"/>
                <w:b/>
                <w:sz w:val="20"/>
              </w:rPr>
            </w:pPr>
            <w:r w:rsidRPr="006912F6">
              <w:rPr>
                <w:rFonts w:asciiTheme="majorHAnsi" w:hAnsiTheme="majorHAnsi" w:cstheme="majorHAnsi"/>
                <w:b/>
                <w:sz w:val="20"/>
              </w:rPr>
              <w:t>Investment cost</w:t>
            </w:r>
          </w:p>
        </w:tc>
        <w:tc>
          <w:tcPr>
            <w:tcW w:w="1146" w:type="dxa"/>
            <w:vAlign w:val="center"/>
          </w:tcPr>
          <w:p w14:paraId="25FD1B69" w14:textId="77777777" w:rsidR="001B757C" w:rsidRPr="006912F6" w:rsidRDefault="001B757C" w:rsidP="000C4BE5">
            <w:pPr>
              <w:spacing w:before="0" w:line="240" w:lineRule="auto"/>
              <w:jc w:val="center"/>
              <w:rPr>
                <w:rFonts w:asciiTheme="majorHAnsi" w:hAnsiTheme="majorHAnsi" w:cstheme="majorHAnsi"/>
                <w:b/>
                <w:sz w:val="20"/>
              </w:rPr>
            </w:pPr>
            <w:r w:rsidRPr="006912F6">
              <w:rPr>
                <w:rFonts w:asciiTheme="majorHAnsi" w:hAnsiTheme="majorHAnsi" w:cstheme="majorHAnsi"/>
                <w:b/>
                <w:sz w:val="20"/>
              </w:rPr>
              <w:t>NPV</w:t>
            </w:r>
            <w:r w:rsidRPr="006912F6">
              <w:rPr>
                <w:rFonts w:asciiTheme="majorHAnsi" w:hAnsiTheme="majorHAnsi" w:cstheme="majorHAnsi"/>
                <w:b/>
                <w:sz w:val="20"/>
                <w:vertAlign w:val="subscript"/>
              </w:rPr>
              <w:t>now</w:t>
            </w:r>
          </w:p>
        </w:tc>
        <w:tc>
          <w:tcPr>
            <w:tcW w:w="1138" w:type="dxa"/>
            <w:vAlign w:val="center"/>
          </w:tcPr>
          <w:p w14:paraId="7A1163DB" w14:textId="77777777" w:rsidR="001B757C" w:rsidRPr="006912F6" w:rsidRDefault="001B757C" w:rsidP="000C4BE5">
            <w:pPr>
              <w:spacing w:before="0" w:line="240" w:lineRule="auto"/>
              <w:jc w:val="center"/>
              <w:rPr>
                <w:rFonts w:asciiTheme="majorHAnsi" w:hAnsiTheme="majorHAnsi" w:cstheme="majorHAnsi"/>
                <w:b/>
                <w:sz w:val="20"/>
              </w:rPr>
            </w:pPr>
            <w:r w:rsidRPr="006912F6">
              <w:rPr>
                <w:rFonts w:asciiTheme="majorHAnsi" w:hAnsiTheme="majorHAnsi" w:cstheme="majorHAnsi"/>
                <w:b/>
                <w:sz w:val="20"/>
              </w:rPr>
              <w:t>NPV</w:t>
            </w:r>
            <w:r w:rsidRPr="006912F6">
              <w:rPr>
                <w:rFonts w:asciiTheme="majorHAnsi" w:hAnsiTheme="majorHAnsi" w:cstheme="majorHAnsi"/>
                <w:b/>
                <w:sz w:val="20"/>
                <w:vertAlign w:val="subscript"/>
              </w:rPr>
              <w:t>opt</w:t>
            </w:r>
          </w:p>
        </w:tc>
        <w:tc>
          <w:tcPr>
            <w:tcW w:w="1655" w:type="dxa"/>
            <w:vAlign w:val="center"/>
          </w:tcPr>
          <w:p w14:paraId="0830CB2A" w14:textId="77777777" w:rsidR="001B757C" w:rsidRPr="006912F6" w:rsidRDefault="001B757C" w:rsidP="000C4BE5">
            <w:pPr>
              <w:spacing w:before="0" w:line="240" w:lineRule="auto"/>
              <w:jc w:val="center"/>
              <w:rPr>
                <w:rFonts w:asciiTheme="majorHAnsi" w:hAnsiTheme="majorHAnsi" w:cstheme="majorHAnsi"/>
                <w:b/>
                <w:sz w:val="20"/>
              </w:rPr>
            </w:pPr>
            <w:r w:rsidRPr="006912F6">
              <w:rPr>
                <w:rFonts w:asciiTheme="majorHAnsi" w:hAnsiTheme="majorHAnsi" w:cstheme="majorHAnsi"/>
                <w:b/>
                <w:sz w:val="20"/>
              </w:rPr>
              <w:t>Investment time</w:t>
            </w:r>
          </w:p>
        </w:tc>
        <w:tc>
          <w:tcPr>
            <w:tcW w:w="1410" w:type="dxa"/>
          </w:tcPr>
          <w:p w14:paraId="52EEAE73" w14:textId="77777777" w:rsidR="001B757C" w:rsidRPr="006912F6" w:rsidRDefault="001B757C" w:rsidP="000C4BE5">
            <w:pPr>
              <w:spacing w:before="0" w:line="240" w:lineRule="auto"/>
              <w:jc w:val="center"/>
              <w:rPr>
                <w:rFonts w:asciiTheme="majorHAnsi" w:hAnsiTheme="majorHAnsi" w:cstheme="majorHAnsi"/>
                <w:b/>
                <w:sz w:val="20"/>
              </w:rPr>
            </w:pPr>
            <w:r w:rsidRPr="006912F6">
              <w:rPr>
                <w:rFonts w:asciiTheme="majorHAnsi" w:hAnsiTheme="majorHAnsi" w:cstheme="majorHAnsi"/>
                <w:b/>
                <w:sz w:val="20"/>
              </w:rPr>
              <w:t xml:space="preserve">SLR at the optimal time </w:t>
            </w:r>
          </w:p>
        </w:tc>
      </w:tr>
      <w:tr w:rsidR="006912F6" w:rsidRPr="006912F6" w14:paraId="188C1262" w14:textId="77777777" w:rsidTr="000C4BE5">
        <w:trPr>
          <w:trHeight w:val="20"/>
          <w:jc w:val="center"/>
        </w:trPr>
        <w:tc>
          <w:tcPr>
            <w:tcW w:w="1244" w:type="dxa"/>
            <w:vMerge w:val="restart"/>
            <w:vAlign w:val="center"/>
          </w:tcPr>
          <w:p w14:paraId="1082EFCB" w14:textId="77777777" w:rsidR="001B757C" w:rsidRPr="006912F6" w:rsidRDefault="003C7583" w:rsidP="000C4BE5">
            <w:pPr>
              <w:spacing w:before="0" w:line="240" w:lineRule="auto"/>
              <w:jc w:val="center"/>
              <w:rPr>
                <w:rFonts w:asciiTheme="majorHAnsi" w:eastAsia="DengXian" w:hAnsiTheme="majorHAnsi" w:cstheme="majorHAnsi"/>
                <w:sz w:val="20"/>
              </w:rPr>
            </w:pPr>
            <m:oMathPara>
              <m:oMath>
                <m:sSub>
                  <m:sSubPr>
                    <m:ctrlPr>
                      <w:rPr>
                        <w:rFonts w:ascii="Cambria Math" w:hAnsi="Cambria Math" w:cstheme="majorHAnsi"/>
                        <w:i/>
                        <w:sz w:val="20"/>
                      </w:rPr>
                    </m:ctrlPr>
                  </m:sSubPr>
                  <m:e>
                    <m:r>
                      <w:rPr>
                        <w:rFonts w:ascii="Cambria Math" w:hAnsi="Cambria Math" w:cstheme="majorHAnsi"/>
                        <w:sz w:val="20"/>
                      </w:rPr>
                      <m:t>U</m:t>
                    </m:r>
                  </m:e>
                  <m:sub>
                    <m:r>
                      <w:rPr>
                        <w:rFonts w:ascii="Cambria Math" w:hAnsi="Cambria Math" w:cstheme="majorHAnsi"/>
                        <w:sz w:val="20"/>
                      </w:rPr>
                      <m:t>c→3.0m</m:t>
                    </m:r>
                  </m:sub>
                </m:sSub>
              </m:oMath>
            </m:oMathPara>
          </w:p>
        </w:tc>
        <w:tc>
          <w:tcPr>
            <w:tcW w:w="1205" w:type="dxa"/>
            <w:vAlign w:val="center"/>
          </w:tcPr>
          <w:p w14:paraId="0A35E6E9" w14:textId="77777777" w:rsidR="001B757C" w:rsidRPr="006912F6" w:rsidRDefault="001B757C" w:rsidP="000C4BE5">
            <w:pPr>
              <w:spacing w:line="276" w:lineRule="auto"/>
              <w:jc w:val="both"/>
              <w:rPr>
                <w:rFonts w:asciiTheme="majorHAnsi" w:hAnsiTheme="majorHAnsi" w:cstheme="majorHAnsi"/>
                <w:sz w:val="18"/>
              </w:rPr>
            </w:pPr>
            <w:r w:rsidRPr="006912F6">
              <w:rPr>
                <w:rFonts w:asciiTheme="majorHAnsi" w:hAnsiTheme="majorHAnsi" w:cstheme="majorHAnsi"/>
                <w:sz w:val="18"/>
              </w:rPr>
              <w:t>H++</w:t>
            </w:r>
          </w:p>
        </w:tc>
        <w:tc>
          <w:tcPr>
            <w:tcW w:w="1218" w:type="dxa"/>
            <w:vMerge w:val="restart"/>
            <w:vAlign w:val="center"/>
          </w:tcPr>
          <w:p w14:paraId="50E839E8"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£ 32.1M</w:t>
            </w:r>
          </w:p>
        </w:tc>
        <w:tc>
          <w:tcPr>
            <w:tcW w:w="1146" w:type="dxa"/>
            <w:vAlign w:val="center"/>
          </w:tcPr>
          <w:p w14:paraId="78025B22"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£ 124.8 M</w:t>
            </w:r>
          </w:p>
        </w:tc>
        <w:tc>
          <w:tcPr>
            <w:tcW w:w="1138" w:type="dxa"/>
            <w:vAlign w:val="center"/>
          </w:tcPr>
          <w:p w14:paraId="0D6F3019"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£ 124.8 M</w:t>
            </w:r>
          </w:p>
        </w:tc>
        <w:tc>
          <w:tcPr>
            <w:tcW w:w="1655" w:type="dxa"/>
            <w:vAlign w:val="center"/>
          </w:tcPr>
          <w:p w14:paraId="7D94F596"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Now (i.e. 2016)</w:t>
            </w:r>
          </w:p>
        </w:tc>
        <w:tc>
          <w:tcPr>
            <w:tcW w:w="1410" w:type="dxa"/>
          </w:tcPr>
          <w:p w14:paraId="569E78C5"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19 cm</w:t>
            </w:r>
          </w:p>
        </w:tc>
      </w:tr>
      <w:tr w:rsidR="006912F6" w:rsidRPr="006912F6" w14:paraId="549C440C" w14:textId="77777777" w:rsidTr="000C4BE5">
        <w:trPr>
          <w:trHeight w:val="20"/>
          <w:jc w:val="center"/>
        </w:trPr>
        <w:tc>
          <w:tcPr>
            <w:tcW w:w="1244" w:type="dxa"/>
            <w:vMerge/>
            <w:vAlign w:val="center"/>
          </w:tcPr>
          <w:p w14:paraId="50A9F3E5" w14:textId="77777777" w:rsidR="001B757C" w:rsidRPr="006912F6" w:rsidRDefault="001B757C" w:rsidP="000C4BE5">
            <w:pPr>
              <w:spacing w:before="0" w:line="240" w:lineRule="auto"/>
              <w:jc w:val="center"/>
              <w:rPr>
                <w:rFonts w:eastAsia="맑은 고딕" w:cs="Times New Roman"/>
                <w:sz w:val="20"/>
              </w:rPr>
            </w:pPr>
          </w:p>
        </w:tc>
        <w:tc>
          <w:tcPr>
            <w:tcW w:w="1205" w:type="dxa"/>
            <w:vAlign w:val="center"/>
          </w:tcPr>
          <w:p w14:paraId="22FE7E2C" w14:textId="77777777" w:rsidR="001B757C" w:rsidRPr="006912F6" w:rsidRDefault="001B757C" w:rsidP="000C4BE5">
            <w:pPr>
              <w:spacing w:line="276" w:lineRule="auto"/>
              <w:jc w:val="both"/>
              <w:rPr>
                <w:rFonts w:asciiTheme="majorHAnsi" w:hAnsiTheme="majorHAnsi" w:cstheme="majorHAnsi"/>
                <w:sz w:val="18"/>
              </w:rPr>
            </w:pPr>
            <w:r w:rsidRPr="006912F6">
              <w:rPr>
                <w:rFonts w:asciiTheme="majorHAnsi" w:hAnsiTheme="majorHAnsi" w:cstheme="majorHAnsi"/>
                <w:sz w:val="18"/>
              </w:rPr>
              <w:t>H1</w:t>
            </w:r>
          </w:p>
        </w:tc>
        <w:tc>
          <w:tcPr>
            <w:tcW w:w="1218" w:type="dxa"/>
            <w:vMerge/>
            <w:vAlign w:val="center"/>
          </w:tcPr>
          <w:p w14:paraId="183B19A1" w14:textId="77777777" w:rsidR="001B757C" w:rsidRPr="006912F6" w:rsidRDefault="001B757C" w:rsidP="000C4BE5">
            <w:pPr>
              <w:spacing w:line="276" w:lineRule="auto"/>
              <w:jc w:val="center"/>
              <w:rPr>
                <w:rFonts w:asciiTheme="majorHAnsi" w:hAnsiTheme="majorHAnsi" w:cstheme="majorHAnsi"/>
                <w:sz w:val="18"/>
              </w:rPr>
            </w:pPr>
          </w:p>
        </w:tc>
        <w:tc>
          <w:tcPr>
            <w:tcW w:w="1146" w:type="dxa"/>
            <w:vAlign w:val="center"/>
          </w:tcPr>
          <w:p w14:paraId="2E52FF72"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£131.4 M</w:t>
            </w:r>
          </w:p>
        </w:tc>
        <w:tc>
          <w:tcPr>
            <w:tcW w:w="1138" w:type="dxa"/>
            <w:vAlign w:val="center"/>
          </w:tcPr>
          <w:p w14:paraId="411E769B"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£131.4 M</w:t>
            </w:r>
          </w:p>
        </w:tc>
        <w:tc>
          <w:tcPr>
            <w:tcW w:w="1655" w:type="dxa"/>
            <w:vAlign w:val="center"/>
          </w:tcPr>
          <w:p w14:paraId="48B8E902"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Now (i.e. 2016)</w:t>
            </w:r>
          </w:p>
        </w:tc>
        <w:tc>
          <w:tcPr>
            <w:tcW w:w="1410" w:type="dxa"/>
          </w:tcPr>
          <w:p w14:paraId="78CFBD40"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16cm</w:t>
            </w:r>
          </w:p>
        </w:tc>
      </w:tr>
      <w:tr w:rsidR="006912F6" w:rsidRPr="006912F6" w14:paraId="39C65A7D" w14:textId="77777777" w:rsidTr="000C4BE5">
        <w:trPr>
          <w:trHeight w:val="20"/>
          <w:jc w:val="center"/>
        </w:trPr>
        <w:tc>
          <w:tcPr>
            <w:tcW w:w="1244" w:type="dxa"/>
            <w:vMerge/>
          </w:tcPr>
          <w:p w14:paraId="09EB6DAF" w14:textId="77777777" w:rsidR="001B757C" w:rsidRPr="006912F6" w:rsidRDefault="001B757C" w:rsidP="000C4BE5">
            <w:pPr>
              <w:jc w:val="both"/>
              <w:rPr>
                <w:rFonts w:asciiTheme="majorHAnsi" w:hAnsiTheme="majorHAnsi" w:cstheme="majorHAnsi"/>
                <w:sz w:val="20"/>
              </w:rPr>
            </w:pPr>
          </w:p>
        </w:tc>
        <w:tc>
          <w:tcPr>
            <w:tcW w:w="1205" w:type="dxa"/>
            <w:vAlign w:val="center"/>
          </w:tcPr>
          <w:p w14:paraId="27DB8694" w14:textId="77777777" w:rsidR="001B757C" w:rsidRPr="006912F6" w:rsidRDefault="001B757C" w:rsidP="000C4BE5">
            <w:pPr>
              <w:spacing w:line="276" w:lineRule="auto"/>
              <w:jc w:val="both"/>
              <w:rPr>
                <w:rFonts w:asciiTheme="majorHAnsi" w:hAnsiTheme="majorHAnsi" w:cstheme="majorHAnsi"/>
                <w:sz w:val="18"/>
              </w:rPr>
            </w:pPr>
            <w:r w:rsidRPr="006912F6">
              <w:rPr>
                <w:rFonts w:asciiTheme="majorHAnsi" w:hAnsiTheme="majorHAnsi" w:cstheme="majorHAnsi"/>
                <w:sz w:val="18"/>
              </w:rPr>
              <w:t>High</w:t>
            </w:r>
          </w:p>
        </w:tc>
        <w:tc>
          <w:tcPr>
            <w:tcW w:w="1218" w:type="dxa"/>
            <w:vMerge/>
            <w:vAlign w:val="center"/>
          </w:tcPr>
          <w:p w14:paraId="2BC6917E" w14:textId="77777777" w:rsidR="001B757C" w:rsidRPr="006912F6" w:rsidRDefault="001B757C" w:rsidP="000C4BE5">
            <w:pPr>
              <w:spacing w:line="276" w:lineRule="auto"/>
              <w:jc w:val="center"/>
              <w:rPr>
                <w:rFonts w:asciiTheme="majorHAnsi" w:hAnsiTheme="majorHAnsi" w:cstheme="majorHAnsi"/>
                <w:sz w:val="18"/>
              </w:rPr>
            </w:pPr>
          </w:p>
        </w:tc>
        <w:tc>
          <w:tcPr>
            <w:tcW w:w="1146" w:type="dxa"/>
            <w:vAlign w:val="center"/>
          </w:tcPr>
          <w:p w14:paraId="7BC84B50"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£ 67.2 M</w:t>
            </w:r>
          </w:p>
        </w:tc>
        <w:tc>
          <w:tcPr>
            <w:tcW w:w="1138" w:type="dxa"/>
            <w:vAlign w:val="center"/>
          </w:tcPr>
          <w:p w14:paraId="4DFE3346"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£ 67.2 M</w:t>
            </w:r>
          </w:p>
        </w:tc>
        <w:tc>
          <w:tcPr>
            <w:tcW w:w="1655" w:type="dxa"/>
            <w:vAlign w:val="center"/>
          </w:tcPr>
          <w:p w14:paraId="2C01DDF8"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Now (i.e. 2016)</w:t>
            </w:r>
          </w:p>
        </w:tc>
        <w:tc>
          <w:tcPr>
            <w:tcW w:w="1410" w:type="dxa"/>
          </w:tcPr>
          <w:p w14:paraId="5EAD4F41"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10 cm</w:t>
            </w:r>
          </w:p>
        </w:tc>
      </w:tr>
      <w:tr w:rsidR="006912F6" w:rsidRPr="006912F6" w14:paraId="61D9E064" w14:textId="77777777" w:rsidTr="000C4BE5">
        <w:trPr>
          <w:trHeight w:val="20"/>
          <w:jc w:val="center"/>
        </w:trPr>
        <w:tc>
          <w:tcPr>
            <w:tcW w:w="1244" w:type="dxa"/>
            <w:vMerge/>
          </w:tcPr>
          <w:p w14:paraId="098A3A24" w14:textId="77777777" w:rsidR="001B757C" w:rsidRPr="006912F6" w:rsidRDefault="001B757C" w:rsidP="000C4BE5">
            <w:pPr>
              <w:jc w:val="both"/>
              <w:rPr>
                <w:rFonts w:asciiTheme="majorHAnsi" w:hAnsiTheme="majorHAnsi" w:cstheme="majorHAnsi"/>
                <w:sz w:val="20"/>
              </w:rPr>
            </w:pPr>
          </w:p>
        </w:tc>
        <w:tc>
          <w:tcPr>
            <w:tcW w:w="1205" w:type="dxa"/>
            <w:vAlign w:val="center"/>
          </w:tcPr>
          <w:p w14:paraId="16E52A8F" w14:textId="77777777" w:rsidR="001B757C" w:rsidRPr="006912F6" w:rsidRDefault="001B757C" w:rsidP="000C4BE5">
            <w:pPr>
              <w:spacing w:line="276" w:lineRule="auto"/>
              <w:jc w:val="both"/>
              <w:rPr>
                <w:rFonts w:asciiTheme="majorHAnsi" w:hAnsiTheme="majorHAnsi" w:cstheme="majorHAnsi"/>
                <w:sz w:val="18"/>
              </w:rPr>
            </w:pPr>
            <w:r w:rsidRPr="006912F6">
              <w:rPr>
                <w:rFonts w:asciiTheme="majorHAnsi" w:hAnsiTheme="majorHAnsi" w:cstheme="majorHAnsi"/>
                <w:sz w:val="18"/>
              </w:rPr>
              <w:t>Medium</w:t>
            </w:r>
          </w:p>
        </w:tc>
        <w:tc>
          <w:tcPr>
            <w:tcW w:w="1218" w:type="dxa"/>
            <w:vMerge/>
            <w:vAlign w:val="center"/>
          </w:tcPr>
          <w:p w14:paraId="709E5B41" w14:textId="77777777" w:rsidR="001B757C" w:rsidRPr="006912F6" w:rsidRDefault="001B757C" w:rsidP="000C4BE5">
            <w:pPr>
              <w:spacing w:line="276" w:lineRule="auto"/>
              <w:jc w:val="center"/>
              <w:rPr>
                <w:rFonts w:asciiTheme="majorHAnsi" w:hAnsiTheme="majorHAnsi" w:cstheme="majorHAnsi"/>
                <w:sz w:val="18"/>
              </w:rPr>
            </w:pPr>
          </w:p>
        </w:tc>
        <w:tc>
          <w:tcPr>
            <w:tcW w:w="1146" w:type="dxa"/>
            <w:vAlign w:val="center"/>
          </w:tcPr>
          <w:p w14:paraId="061FCC5F"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£ 54.9 M</w:t>
            </w:r>
          </w:p>
        </w:tc>
        <w:tc>
          <w:tcPr>
            <w:tcW w:w="1138" w:type="dxa"/>
            <w:vAlign w:val="center"/>
          </w:tcPr>
          <w:p w14:paraId="0CF00074"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£ 54.9 M</w:t>
            </w:r>
          </w:p>
        </w:tc>
        <w:tc>
          <w:tcPr>
            <w:tcW w:w="1655" w:type="dxa"/>
            <w:vAlign w:val="center"/>
          </w:tcPr>
          <w:p w14:paraId="6E4E0E7F"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Now (i.e. 2016)</w:t>
            </w:r>
          </w:p>
        </w:tc>
        <w:tc>
          <w:tcPr>
            <w:tcW w:w="1410" w:type="dxa"/>
          </w:tcPr>
          <w:p w14:paraId="438F0C5B"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8 cm</w:t>
            </w:r>
          </w:p>
        </w:tc>
      </w:tr>
      <w:tr w:rsidR="006912F6" w:rsidRPr="006912F6" w14:paraId="55BA0381" w14:textId="77777777" w:rsidTr="000C4BE5">
        <w:trPr>
          <w:trHeight w:val="20"/>
          <w:jc w:val="center"/>
        </w:trPr>
        <w:tc>
          <w:tcPr>
            <w:tcW w:w="1244" w:type="dxa"/>
            <w:vMerge/>
          </w:tcPr>
          <w:p w14:paraId="7E82344A" w14:textId="77777777" w:rsidR="001B757C" w:rsidRPr="006912F6" w:rsidRDefault="001B757C" w:rsidP="000C4BE5">
            <w:pPr>
              <w:jc w:val="both"/>
              <w:rPr>
                <w:rFonts w:asciiTheme="majorHAnsi" w:hAnsiTheme="majorHAnsi" w:cstheme="majorHAnsi"/>
                <w:sz w:val="20"/>
              </w:rPr>
            </w:pPr>
          </w:p>
        </w:tc>
        <w:tc>
          <w:tcPr>
            <w:tcW w:w="1205" w:type="dxa"/>
            <w:vAlign w:val="center"/>
          </w:tcPr>
          <w:p w14:paraId="641D0486" w14:textId="77777777" w:rsidR="001B757C" w:rsidRPr="006912F6" w:rsidRDefault="001B757C" w:rsidP="000C4BE5">
            <w:pPr>
              <w:spacing w:line="276" w:lineRule="auto"/>
              <w:jc w:val="both"/>
              <w:rPr>
                <w:rFonts w:asciiTheme="majorHAnsi" w:hAnsiTheme="majorHAnsi" w:cstheme="majorHAnsi"/>
                <w:sz w:val="18"/>
              </w:rPr>
            </w:pPr>
            <w:r w:rsidRPr="006912F6">
              <w:rPr>
                <w:rFonts w:asciiTheme="majorHAnsi" w:hAnsiTheme="majorHAnsi" w:cstheme="majorHAnsi"/>
                <w:sz w:val="18"/>
              </w:rPr>
              <w:t>Low</w:t>
            </w:r>
          </w:p>
        </w:tc>
        <w:tc>
          <w:tcPr>
            <w:tcW w:w="1218" w:type="dxa"/>
            <w:vMerge/>
            <w:vAlign w:val="center"/>
          </w:tcPr>
          <w:p w14:paraId="48437C72" w14:textId="77777777" w:rsidR="001B757C" w:rsidRPr="006912F6" w:rsidRDefault="001B757C" w:rsidP="000C4BE5">
            <w:pPr>
              <w:spacing w:line="276" w:lineRule="auto"/>
              <w:jc w:val="center"/>
              <w:rPr>
                <w:rFonts w:asciiTheme="majorHAnsi" w:hAnsiTheme="majorHAnsi" w:cstheme="majorHAnsi"/>
                <w:sz w:val="18"/>
              </w:rPr>
            </w:pPr>
          </w:p>
        </w:tc>
        <w:tc>
          <w:tcPr>
            <w:tcW w:w="1146" w:type="dxa"/>
            <w:vAlign w:val="center"/>
          </w:tcPr>
          <w:p w14:paraId="6009ED3D"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£ 45.7 M</w:t>
            </w:r>
          </w:p>
        </w:tc>
        <w:tc>
          <w:tcPr>
            <w:tcW w:w="1138" w:type="dxa"/>
            <w:vAlign w:val="center"/>
          </w:tcPr>
          <w:p w14:paraId="77DF3677"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£ 45.7 M</w:t>
            </w:r>
          </w:p>
        </w:tc>
        <w:tc>
          <w:tcPr>
            <w:tcW w:w="1655" w:type="dxa"/>
            <w:vAlign w:val="center"/>
          </w:tcPr>
          <w:p w14:paraId="4939765B"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Now (i.e. 2016)</w:t>
            </w:r>
          </w:p>
        </w:tc>
        <w:tc>
          <w:tcPr>
            <w:tcW w:w="1410" w:type="dxa"/>
          </w:tcPr>
          <w:p w14:paraId="3C7E561A"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7 cm</w:t>
            </w:r>
          </w:p>
        </w:tc>
      </w:tr>
      <w:tr w:rsidR="006912F6" w:rsidRPr="006912F6" w14:paraId="1138288F" w14:textId="77777777" w:rsidTr="000C4BE5">
        <w:trPr>
          <w:trHeight w:val="20"/>
          <w:jc w:val="center"/>
        </w:trPr>
        <w:tc>
          <w:tcPr>
            <w:tcW w:w="1244" w:type="dxa"/>
            <w:vMerge/>
          </w:tcPr>
          <w:p w14:paraId="5C254075" w14:textId="77777777" w:rsidR="001B757C" w:rsidRPr="006912F6" w:rsidRDefault="001B757C" w:rsidP="000C4BE5">
            <w:pPr>
              <w:jc w:val="both"/>
              <w:rPr>
                <w:rFonts w:asciiTheme="majorHAnsi" w:hAnsiTheme="majorHAnsi" w:cstheme="majorHAnsi"/>
                <w:sz w:val="20"/>
              </w:rPr>
            </w:pPr>
          </w:p>
        </w:tc>
        <w:tc>
          <w:tcPr>
            <w:tcW w:w="1205" w:type="dxa"/>
            <w:vAlign w:val="center"/>
          </w:tcPr>
          <w:p w14:paraId="1C26A51E" w14:textId="77777777" w:rsidR="001B757C" w:rsidRPr="006912F6" w:rsidRDefault="001B757C" w:rsidP="000C4BE5">
            <w:pPr>
              <w:spacing w:line="276" w:lineRule="auto"/>
              <w:jc w:val="both"/>
              <w:rPr>
                <w:rFonts w:asciiTheme="majorHAnsi" w:hAnsiTheme="majorHAnsi" w:cstheme="majorHAnsi"/>
                <w:sz w:val="18"/>
              </w:rPr>
            </w:pPr>
            <w:r w:rsidRPr="006912F6">
              <w:rPr>
                <w:rFonts w:asciiTheme="majorHAnsi" w:hAnsiTheme="majorHAnsi" w:cstheme="majorHAnsi"/>
                <w:sz w:val="18"/>
              </w:rPr>
              <w:t>Historic</w:t>
            </w:r>
          </w:p>
        </w:tc>
        <w:tc>
          <w:tcPr>
            <w:tcW w:w="1218" w:type="dxa"/>
            <w:vMerge/>
            <w:vAlign w:val="center"/>
          </w:tcPr>
          <w:p w14:paraId="119936DC" w14:textId="77777777" w:rsidR="001B757C" w:rsidRPr="006912F6" w:rsidRDefault="001B757C" w:rsidP="000C4BE5">
            <w:pPr>
              <w:spacing w:line="276" w:lineRule="auto"/>
              <w:jc w:val="center"/>
              <w:rPr>
                <w:rFonts w:asciiTheme="majorHAnsi" w:hAnsiTheme="majorHAnsi" w:cstheme="majorHAnsi"/>
                <w:sz w:val="18"/>
              </w:rPr>
            </w:pPr>
          </w:p>
        </w:tc>
        <w:tc>
          <w:tcPr>
            <w:tcW w:w="1146" w:type="dxa"/>
            <w:vAlign w:val="center"/>
          </w:tcPr>
          <w:p w14:paraId="3DDA49EC"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£ 17.3 M</w:t>
            </w:r>
          </w:p>
        </w:tc>
        <w:tc>
          <w:tcPr>
            <w:tcW w:w="1138" w:type="dxa"/>
            <w:vAlign w:val="center"/>
          </w:tcPr>
          <w:p w14:paraId="7A52BED1"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£ 17.3 M</w:t>
            </w:r>
          </w:p>
        </w:tc>
        <w:tc>
          <w:tcPr>
            <w:tcW w:w="1655" w:type="dxa"/>
            <w:vAlign w:val="center"/>
          </w:tcPr>
          <w:p w14:paraId="536F6132"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Now (i.e. 2016)</w:t>
            </w:r>
          </w:p>
        </w:tc>
        <w:tc>
          <w:tcPr>
            <w:tcW w:w="1410" w:type="dxa"/>
          </w:tcPr>
          <w:p w14:paraId="72F08C02"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4 cm</w:t>
            </w:r>
          </w:p>
        </w:tc>
      </w:tr>
      <w:tr w:rsidR="006912F6" w:rsidRPr="006912F6" w14:paraId="4DF7EEB4" w14:textId="77777777" w:rsidTr="000C4BE5">
        <w:trPr>
          <w:trHeight w:val="20"/>
          <w:jc w:val="center"/>
        </w:trPr>
        <w:tc>
          <w:tcPr>
            <w:tcW w:w="1244" w:type="dxa"/>
            <w:vMerge w:val="restart"/>
            <w:vAlign w:val="center"/>
          </w:tcPr>
          <w:p w14:paraId="3278A4EE" w14:textId="77777777" w:rsidR="001B757C" w:rsidRPr="006912F6" w:rsidRDefault="003C7583" w:rsidP="000C4BE5">
            <w:pPr>
              <w:spacing w:before="0" w:line="240" w:lineRule="auto"/>
              <w:jc w:val="center"/>
              <w:rPr>
                <w:rFonts w:asciiTheme="majorHAnsi" w:eastAsia="DengXian" w:hAnsiTheme="majorHAnsi" w:cstheme="majorHAnsi"/>
                <w:sz w:val="20"/>
              </w:rPr>
            </w:pPr>
            <m:oMathPara>
              <m:oMath>
                <m:sSub>
                  <m:sSubPr>
                    <m:ctrlPr>
                      <w:rPr>
                        <w:rFonts w:ascii="Cambria Math" w:hAnsi="Cambria Math" w:cstheme="majorHAnsi"/>
                        <w:i/>
                        <w:sz w:val="20"/>
                      </w:rPr>
                    </m:ctrlPr>
                  </m:sSubPr>
                  <m:e>
                    <m:r>
                      <w:rPr>
                        <w:rFonts w:ascii="Cambria Math" w:hAnsi="Cambria Math" w:cstheme="majorHAnsi"/>
                        <w:sz w:val="20"/>
                      </w:rPr>
                      <m:t>U</m:t>
                    </m:r>
                  </m:e>
                  <m:sub>
                    <m:r>
                      <w:rPr>
                        <w:rFonts w:ascii="Cambria Math" w:hAnsi="Cambria Math" w:cstheme="majorHAnsi"/>
                        <w:sz w:val="20"/>
                      </w:rPr>
                      <m:t>c→3.25m</m:t>
                    </m:r>
                  </m:sub>
                </m:sSub>
              </m:oMath>
            </m:oMathPara>
          </w:p>
        </w:tc>
        <w:tc>
          <w:tcPr>
            <w:tcW w:w="1205" w:type="dxa"/>
            <w:vAlign w:val="center"/>
          </w:tcPr>
          <w:p w14:paraId="595C1407" w14:textId="77777777" w:rsidR="001B757C" w:rsidRPr="006912F6" w:rsidRDefault="001B757C" w:rsidP="000C4BE5">
            <w:pPr>
              <w:spacing w:line="276" w:lineRule="auto"/>
              <w:jc w:val="both"/>
              <w:rPr>
                <w:rFonts w:asciiTheme="majorHAnsi" w:hAnsiTheme="majorHAnsi" w:cstheme="majorHAnsi"/>
                <w:sz w:val="18"/>
              </w:rPr>
            </w:pPr>
            <w:r w:rsidRPr="006912F6">
              <w:rPr>
                <w:rFonts w:asciiTheme="majorHAnsi" w:hAnsiTheme="majorHAnsi" w:cstheme="majorHAnsi"/>
                <w:sz w:val="18"/>
              </w:rPr>
              <w:t>H++</w:t>
            </w:r>
          </w:p>
        </w:tc>
        <w:tc>
          <w:tcPr>
            <w:tcW w:w="1218" w:type="dxa"/>
            <w:vMerge w:val="restart"/>
            <w:vAlign w:val="center"/>
          </w:tcPr>
          <w:p w14:paraId="3C793B04"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£ 48.2M</w:t>
            </w:r>
          </w:p>
        </w:tc>
        <w:tc>
          <w:tcPr>
            <w:tcW w:w="1146" w:type="dxa"/>
            <w:vAlign w:val="center"/>
          </w:tcPr>
          <w:p w14:paraId="11D9E691"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£145.6 M</w:t>
            </w:r>
          </w:p>
        </w:tc>
        <w:tc>
          <w:tcPr>
            <w:tcW w:w="1138" w:type="dxa"/>
            <w:vAlign w:val="center"/>
          </w:tcPr>
          <w:p w14:paraId="6F6F018B"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£ 145.6 M</w:t>
            </w:r>
          </w:p>
        </w:tc>
        <w:tc>
          <w:tcPr>
            <w:tcW w:w="1655" w:type="dxa"/>
            <w:vAlign w:val="center"/>
          </w:tcPr>
          <w:p w14:paraId="109B2C88"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Now (i.e. 2016)</w:t>
            </w:r>
          </w:p>
        </w:tc>
        <w:tc>
          <w:tcPr>
            <w:tcW w:w="1410" w:type="dxa"/>
          </w:tcPr>
          <w:p w14:paraId="2C081AC6"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19 cm</w:t>
            </w:r>
          </w:p>
        </w:tc>
      </w:tr>
      <w:tr w:rsidR="006912F6" w:rsidRPr="006912F6" w14:paraId="3138D230" w14:textId="77777777" w:rsidTr="000C4BE5">
        <w:trPr>
          <w:trHeight w:val="20"/>
          <w:jc w:val="center"/>
        </w:trPr>
        <w:tc>
          <w:tcPr>
            <w:tcW w:w="1244" w:type="dxa"/>
            <w:vMerge/>
            <w:vAlign w:val="center"/>
          </w:tcPr>
          <w:p w14:paraId="3B8D41E3" w14:textId="77777777" w:rsidR="001B757C" w:rsidRPr="006912F6" w:rsidRDefault="001B757C" w:rsidP="000C4BE5">
            <w:pPr>
              <w:spacing w:before="0" w:line="240" w:lineRule="auto"/>
              <w:jc w:val="center"/>
              <w:rPr>
                <w:rFonts w:ascii="Calibri Light" w:eastAsia="맑은 고딕" w:hAnsi="Calibri Light" w:cs="Calibri Light"/>
                <w:sz w:val="20"/>
              </w:rPr>
            </w:pPr>
          </w:p>
        </w:tc>
        <w:tc>
          <w:tcPr>
            <w:tcW w:w="1205" w:type="dxa"/>
            <w:vAlign w:val="center"/>
          </w:tcPr>
          <w:p w14:paraId="35257AC8" w14:textId="77777777" w:rsidR="001B757C" w:rsidRPr="006912F6" w:rsidRDefault="001B757C" w:rsidP="000C4BE5">
            <w:pPr>
              <w:spacing w:line="276" w:lineRule="auto"/>
              <w:jc w:val="both"/>
              <w:rPr>
                <w:rFonts w:asciiTheme="majorHAnsi" w:hAnsiTheme="majorHAnsi" w:cstheme="majorHAnsi"/>
                <w:sz w:val="18"/>
              </w:rPr>
            </w:pPr>
            <w:r w:rsidRPr="006912F6">
              <w:rPr>
                <w:rFonts w:asciiTheme="majorHAnsi" w:hAnsiTheme="majorHAnsi" w:cstheme="majorHAnsi"/>
                <w:sz w:val="18"/>
              </w:rPr>
              <w:t>H1</w:t>
            </w:r>
          </w:p>
        </w:tc>
        <w:tc>
          <w:tcPr>
            <w:tcW w:w="1218" w:type="dxa"/>
            <w:vMerge/>
            <w:vAlign w:val="center"/>
          </w:tcPr>
          <w:p w14:paraId="79E411E9" w14:textId="77777777" w:rsidR="001B757C" w:rsidRPr="006912F6" w:rsidRDefault="001B757C" w:rsidP="000C4BE5">
            <w:pPr>
              <w:spacing w:line="276" w:lineRule="auto"/>
              <w:jc w:val="center"/>
              <w:rPr>
                <w:rFonts w:asciiTheme="majorHAnsi" w:hAnsiTheme="majorHAnsi" w:cstheme="majorHAnsi"/>
                <w:sz w:val="18"/>
              </w:rPr>
            </w:pPr>
          </w:p>
        </w:tc>
        <w:tc>
          <w:tcPr>
            <w:tcW w:w="1146" w:type="dxa"/>
            <w:vAlign w:val="center"/>
          </w:tcPr>
          <w:p w14:paraId="3D900DE2"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£137.0 M</w:t>
            </w:r>
          </w:p>
        </w:tc>
        <w:tc>
          <w:tcPr>
            <w:tcW w:w="1138" w:type="dxa"/>
            <w:vAlign w:val="center"/>
          </w:tcPr>
          <w:p w14:paraId="5A7162DA"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£137.0 M</w:t>
            </w:r>
          </w:p>
        </w:tc>
        <w:tc>
          <w:tcPr>
            <w:tcW w:w="1655" w:type="dxa"/>
            <w:vAlign w:val="center"/>
          </w:tcPr>
          <w:p w14:paraId="4AEA3789"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Now (i.e. 2016)</w:t>
            </w:r>
          </w:p>
        </w:tc>
        <w:tc>
          <w:tcPr>
            <w:tcW w:w="1410" w:type="dxa"/>
          </w:tcPr>
          <w:p w14:paraId="166163A8"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16 cm</w:t>
            </w:r>
          </w:p>
        </w:tc>
      </w:tr>
      <w:tr w:rsidR="006912F6" w:rsidRPr="006912F6" w14:paraId="104EA3A8" w14:textId="77777777" w:rsidTr="000C4BE5">
        <w:trPr>
          <w:trHeight w:val="20"/>
          <w:jc w:val="center"/>
        </w:trPr>
        <w:tc>
          <w:tcPr>
            <w:tcW w:w="1244" w:type="dxa"/>
            <w:vMerge/>
          </w:tcPr>
          <w:p w14:paraId="6BE45114" w14:textId="77777777" w:rsidR="001B757C" w:rsidRPr="006912F6" w:rsidRDefault="001B757C" w:rsidP="000C4BE5">
            <w:pPr>
              <w:jc w:val="both"/>
              <w:rPr>
                <w:rFonts w:asciiTheme="majorHAnsi" w:hAnsiTheme="majorHAnsi" w:cstheme="majorHAnsi"/>
                <w:sz w:val="20"/>
              </w:rPr>
            </w:pPr>
          </w:p>
        </w:tc>
        <w:tc>
          <w:tcPr>
            <w:tcW w:w="1205" w:type="dxa"/>
            <w:vAlign w:val="center"/>
          </w:tcPr>
          <w:p w14:paraId="31075DB5" w14:textId="77777777" w:rsidR="001B757C" w:rsidRPr="006912F6" w:rsidRDefault="001B757C" w:rsidP="000C4BE5">
            <w:pPr>
              <w:spacing w:line="276" w:lineRule="auto"/>
              <w:jc w:val="both"/>
              <w:rPr>
                <w:rFonts w:asciiTheme="majorHAnsi" w:hAnsiTheme="majorHAnsi" w:cstheme="majorHAnsi"/>
                <w:sz w:val="18"/>
              </w:rPr>
            </w:pPr>
            <w:r w:rsidRPr="006912F6">
              <w:rPr>
                <w:rFonts w:asciiTheme="majorHAnsi" w:hAnsiTheme="majorHAnsi" w:cstheme="majorHAnsi"/>
                <w:sz w:val="18"/>
              </w:rPr>
              <w:t>High</w:t>
            </w:r>
          </w:p>
        </w:tc>
        <w:tc>
          <w:tcPr>
            <w:tcW w:w="1218" w:type="dxa"/>
            <w:vMerge/>
            <w:vAlign w:val="center"/>
          </w:tcPr>
          <w:p w14:paraId="02A2C2E6" w14:textId="77777777" w:rsidR="001B757C" w:rsidRPr="006912F6" w:rsidRDefault="001B757C" w:rsidP="000C4BE5">
            <w:pPr>
              <w:spacing w:line="276" w:lineRule="auto"/>
              <w:jc w:val="center"/>
              <w:rPr>
                <w:rFonts w:asciiTheme="majorHAnsi" w:hAnsiTheme="majorHAnsi" w:cstheme="majorHAnsi"/>
                <w:sz w:val="18"/>
              </w:rPr>
            </w:pPr>
          </w:p>
        </w:tc>
        <w:tc>
          <w:tcPr>
            <w:tcW w:w="1146" w:type="dxa"/>
            <w:vAlign w:val="center"/>
          </w:tcPr>
          <w:p w14:paraId="391B9260"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£ 51.1 M</w:t>
            </w:r>
          </w:p>
        </w:tc>
        <w:tc>
          <w:tcPr>
            <w:tcW w:w="1138" w:type="dxa"/>
            <w:vAlign w:val="center"/>
          </w:tcPr>
          <w:p w14:paraId="71CB35C8"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£ 51.1 M</w:t>
            </w:r>
          </w:p>
        </w:tc>
        <w:tc>
          <w:tcPr>
            <w:tcW w:w="1655" w:type="dxa"/>
            <w:vAlign w:val="center"/>
          </w:tcPr>
          <w:p w14:paraId="1BDB2063"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Now (i.e. 2016)</w:t>
            </w:r>
          </w:p>
        </w:tc>
        <w:tc>
          <w:tcPr>
            <w:tcW w:w="1410" w:type="dxa"/>
          </w:tcPr>
          <w:p w14:paraId="40762AA4"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10 cm</w:t>
            </w:r>
          </w:p>
        </w:tc>
      </w:tr>
      <w:tr w:rsidR="006912F6" w:rsidRPr="006912F6" w14:paraId="13C37076" w14:textId="77777777" w:rsidTr="000C4BE5">
        <w:trPr>
          <w:trHeight w:val="20"/>
          <w:jc w:val="center"/>
        </w:trPr>
        <w:tc>
          <w:tcPr>
            <w:tcW w:w="1244" w:type="dxa"/>
            <w:vMerge/>
          </w:tcPr>
          <w:p w14:paraId="33E921D9" w14:textId="77777777" w:rsidR="001B757C" w:rsidRPr="006912F6" w:rsidRDefault="001B757C" w:rsidP="000C4BE5">
            <w:pPr>
              <w:jc w:val="both"/>
              <w:rPr>
                <w:rFonts w:asciiTheme="majorHAnsi" w:hAnsiTheme="majorHAnsi" w:cstheme="majorHAnsi"/>
                <w:sz w:val="20"/>
              </w:rPr>
            </w:pPr>
          </w:p>
        </w:tc>
        <w:tc>
          <w:tcPr>
            <w:tcW w:w="1205" w:type="dxa"/>
            <w:vAlign w:val="center"/>
          </w:tcPr>
          <w:p w14:paraId="11C4560E" w14:textId="77777777" w:rsidR="001B757C" w:rsidRPr="006912F6" w:rsidRDefault="001B757C" w:rsidP="000C4BE5">
            <w:pPr>
              <w:spacing w:line="276" w:lineRule="auto"/>
              <w:jc w:val="both"/>
              <w:rPr>
                <w:rFonts w:asciiTheme="majorHAnsi" w:hAnsiTheme="majorHAnsi" w:cstheme="majorHAnsi"/>
                <w:sz w:val="18"/>
              </w:rPr>
            </w:pPr>
            <w:r w:rsidRPr="006912F6">
              <w:rPr>
                <w:rFonts w:asciiTheme="majorHAnsi" w:hAnsiTheme="majorHAnsi" w:cstheme="majorHAnsi"/>
                <w:sz w:val="18"/>
              </w:rPr>
              <w:t>Medium</w:t>
            </w:r>
          </w:p>
        </w:tc>
        <w:tc>
          <w:tcPr>
            <w:tcW w:w="1218" w:type="dxa"/>
            <w:vMerge/>
            <w:vAlign w:val="center"/>
          </w:tcPr>
          <w:p w14:paraId="342610DB" w14:textId="77777777" w:rsidR="001B757C" w:rsidRPr="006912F6" w:rsidRDefault="001B757C" w:rsidP="000C4BE5">
            <w:pPr>
              <w:spacing w:line="276" w:lineRule="auto"/>
              <w:jc w:val="center"/>
              <w:rPr>
                <w:rFonts w:asciiTheme="majorHAnsi" w:hAnsiTheme="majorHAnsi" w:cstheme="majorHAnsi"/>
                <w:sz w:val="18"/>
              </w:rPr>
            </w:pPr>
          </w:p>
        </w:tc>
        <w:tc>
          <w:tcPr>
            <w:tcW w:w="1146" w:type="dxa"/>
            <w:vAlign w:val="center"/>
          </w:tcPr>
          <w:p w14:paraId="33617D1F"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£ 40.0 M</w:t>
            </w:r>
          </w:p>
        </w:tc>
        <w:tc>
          <w:tcPr>
            <w:tcW w:w="1138" w:type="dxa"/>
            <w:vAlign w:val="center"/>
          </w:tcPr>
          <w:p w14:paraId="3E09E6C1"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£ 40.0 M</w:t>
            </w:r>
          </w:p>
        </w:tc>
        <w:tc>
          <w:tcPr>
            <w:tcW w:w="1655" w:type="dxa"/>
            <w:vAlign w:val="center"/>
          </w:tcPr>
          <w:p w14:paraId="1CE64173"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Now (i.e. 2016)</w:t>
            </w:r>
          </w:p>
        </w:tc>
        <w:tc>
          <w:tcPr>
            <w:tcW w:w="1410" w:type="dxa"/>
          </w:tcPr>
          <w:p w14:paraId="48698941"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8 cm</w:t>
            </w:r>
          </w:p>
        </w:tc>
      </w:tr>
      <w:tr w:rsidR="006912F6" w:rsidRPr="006912F6" w14:paraId="40035F91" w14:textId="77777777" w:rsidTr="000C4BE5">
        <w:trPr>
          <w:trHeight w:val="20"/>
          <w:jc w:val="center"/>
        </w:trPr>
        <w:tc>
          <w:tcPr>
            <w:tcW w:w="1244" w:type="dxa"/>
            <w:vMerge/>
          </w:tcPr>
          <w:p w14:paraId="4BBE1D48" w14:textId="77777777" w:rsidR="001B757C" w:rsidRPr="006912F6" w:rsidRDefault="001B757C" w:rsidP="000C4BE5">
            <w:pPr>
              <w:jc w:val="both"/>
              <w:rPr>
                <w:rFonts w:asciiTheme="majorHAnsi" w:hAnsiTheme="majorHAnsi" w:cstheme="majorHAnsi"/>
                <w:sz w:val="20"/>
              </w:rPr>
            </w:pPr>
          </w:p>
        </w:tc>
        <w:tc>
          <w:tcPr>
            <w:tcW w:w="1205" w:type="dxa"/>
            <w:vAlign w:val="center"/>
          </w:tcPr>
          <w:p w14:paraId="577638C2" w14:textId="77777777" w:rsidR="001B757C" w:rsidRPr="006912F6" w:rsidRDefault="001B757C" w:rsidP="000C4BE5">
            <w:pPr>
              <w:spacing w:line="276" w:lineRule="auto"/>
              <w:jc w:val="both"/>
              <w:rPr>
                <w:rFonts w:asciiTheme="majorHAnsi" w:hAnsiTheme="majorHAnsi" w:cstheme="majorHAnsi"/>
                <w:sz w:val="18"/>
              </w:rPr>
            </w:pPr>
            <w:r w:rsidRPr="006912F6">
              <w:rPr>
                <w:rFonts w:asciiTheme="majorHAnsi" w:hAnsiTheme="majorHAnsi" w:cstheme="majorHAnsi"/>
                <w:sz w:val="18"/>
              </w:rPr>
              <w:t>Low</w:t>
            </w:r>
          </w:p>
        </w:tc>
        <w:tc>
          <w:tcPr>
            <w:tcW w:w="1218" w:type="dxa"/>
            <w:vMerge/>
            <w:vAlign w:val="center"/>
          </w:tcPr>
          <w:p w14:paraId="6D6C5000" w14:textId="77777777" w:rsidR="001B757C" w:rsidRPr="006912F6" w:rsidRDefault="001B757C" w:rsidP="000C4BE5">
            <w:pPr>
              <w:spacing w:line="276" w:lineRule="auto"/>
              <w:jc w:val="center"/>
              <w:rPr>
                <w:rFonts w:asciiTheme="majorHAnsi" w:hAnsiTheme="majorHAnsi" w:cstheme="majorHAnsi"/>
                <w:sz w:val="18"/>
              </w:rPr>
            </w:pPr>
          </w:p>
        </w:tc>
        <w:tc>
          <w:tcPr>
            <w:tcW w:w="1146" w:type="dxa"/>
            <w:vAlign w:val="center"/>
          </w:tcPr>
          <w:p w14:paraId="6F4614EC"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£ 29.6 M</w:t>
            </w:r>
          </w:p>
        </w:tc>
        <w:tc>
          <w:tcPr>
            <w:tcW w:w="1138" w:type="dxa"/>
            <w:vAlign w:val="center"/>
          </w:tcPr>
          <w:p w14:paraId="6E9D8490"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£ 29.6 M</w:t>
            </w:r>
          </w:p>
        </w:tc>
        <w:tc>
          <w:tcPr>
            <w:tcW w:w="1655" w:type="dxa"/>
            <w:vAlign w:val="center"/>
          </w:tcPr>
          <w:p w14:paraId="2BF378A2"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Now (i.e. 2016)</w:t>
            </w:r>
          </w:p>
        </w:tc>
        <w:tc>
          <w:tcPr>
            <w:tcW w:w="1410" w:type="dxa"/>
          </w:tcPr>
          <w:p w14:paraId="36679D1E"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7 cm</w:t>
            </w:r>
          </w:p>
        </w:tc>
      </w:tr>
      <w:tr w:rsidR="006912F6" w:rsidRPr="006912F6" w14:paraId="25D1AC27" w14:textId="77777777" w:rsidTr="000C4BE5">
        <w:trPr>
          <w:trHeight w:val="20"/>
          <w:jc w:val="center"/>
        </w:trPr>
        <w:tc>
          <w:tcPr>
            <w:tcW w:w="1244" w:type="dxa"/>
            <w:vMerge/>
          </w:tcPr>
          <w:p w14:paraId="5C760515" w14:textId="77777777" w:rsidR="001B757C" w:rsidRPr="006912F6" w:rsidRDefault="001B757C" w:rsidP="000C4BE5">
            <w:pPr>
              <w:jc w:val="both"/>
              <w:rPr>
                <w:rFonts w:asciiTheme="majorHAnsi" w:hAnsiTheme="majorHAnsi" w:cstheme="majorHAnsi"/>
                <w:sz w:val="20"/>
              </w:rPr>
            </w:pPr>
          </w:p>
        </w:tc>
        <w:tc>
          <w:tcPr>
            <w:tcW w:w="1205" w:type="dxa"/>
            <w:vAlign w:val="center"/>
          </w:tcPr>
          <w:p w14:paraId="36ADD471" w14:textId="77777777" w:rsidR="001B757C" w:rsidRPr="006912F6" w:rsidRDefault="001B757C" w:rsidP="000C4BE5">
            <w:pPr>
              <w:spacing w:line="276" w:lineRule="auto"/>
              <w:jc w:val="both"/>
              <w:rPr>
                <w:rFonts w:asciiTheme="majorHAnsi" w:hAnsiTheme="majorHAnsi" w:cstheme="majorHAnsi"/>
                <w:sz w:val="18"/>
              </w:rPr>
            </w:pPr>
            <w:r w:rsidRPr="006912F6">
              <w:rPr>
                <w:rFonts w:asciiTheme="majorHAnsi" w:hAnsiTheme="majorHAnsi" w:cstheme="majorHAnsi"/>
                <w:sz w:val="18"/>
              </w:rPr>
              <w:t>Historic</w:t>
            </w:r>
          </w:p>
        </w:tc>
        <w:tc>
          <w:tcPr>
            <w:tcW w:w="1218" w:type="dxa"/>
            <w:vMerge/>
            <w:vAlign w:val="center"/>
          </w:tcPr>
          <w:p w14:paraId="45BBB669" w14:textId="77777777" w:rsidR="001B757C" w:rsidRPr="006912F6" w:rsidRDefault="001B757C" w:rsidP="000C4BE5">
            <w:pPr>
              <w:spacing w:line="276" w:lineRule="auto"/>
              <w:jc w:val="center"/>
              <w:rPr>
                <w:rFonts w:asciiTheme="majorHAnsi" w:hAnsiTheme="majorHAnsi" w:cstheme="majorHAnsi"/>
                <w:sz w:val="18"/>
              </w:rPr>
            </w:pPr>
          </w:p>
        </w:tc>
        <w:tc>
          <w:tcPr>
            <w:tcW w:w="1146" w:type="dxa"/>
            <w:vAlign w:val="center"/>
          </w:tcPr>
          <w:p w14:paraId="4D51BF4C"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£ 0.9 M</w:t>
            </w:r>
          </w:p>
        </w:tc>
        <w:tc>
          <w:tcPr>
            <w:tcW w:w="1138" w:type="dxa"/>
            <w:vAlign w:val="center"/>
          </w:tcPr>
          <w:p w14:paraId="5424A8B1"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£ 4.5 M</w:t>
            </w:r>
          </w:p>
        </w:tc>
        <w:tc>
          <w:tcPr>
            <w:tcW w:w="1655" w:type="dxa"/>
            <w:vAlign w:val="center"/>
          </w:tcPr>
          <w:p w14:paraId="1D685F3A"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2042</w:t>
            </w:r>
          </w:p>
        </w:tc>
        <w:tc>
          <w:tcPr>
            <w:tcW w:w="1410" w:type="dxa"/>
          </w:tcPr>
          <w:p w14:paraId="4819EE24" w14:textId="77777777" w:rsidR="001B757C" w:rsidRPr="006912F6" w:rsidRDefault="001B757C" w:rsidP="000C4BE5">
            <w:pPr>
              <w:spacing w:line="276" w:lineRule="auto"/>
              <w:jc w:val="center"/>
              <w:rPr>
                <w:rFonts w:asciiTheme="majorHAnsi" w:hAnsiTheme="majorHAnsi" w:cstheme="majorHAnsi"/>
                <w:sz w:val="18"/>
              </w:rPr>
            </w:pPr>
          </w:p>
        </w:tc>
      </w:tr>
      <w:tr w:rsidR="006912F6" w:rsidRPr="006912F6" w14:paraId="4E1B17A2" w14:textId="77777777" w:rsidTr="000C4BE5">
        <w:trPr>
          <w:trHeight w:val="20"/>
          <w:jc w:val="center"/>
        </w:trPr>
        <w:tc>
          <w:tcPr>
            <w:tcW w:w="1244" w:type="dxa"/>
            <w:vMerge w:val="restart"/>
            <w:vAlign w:val="center"/>
          </w:tcPr>
          <w:p w14:paraId="77C61C2C" w14:textId="77777777" w:rsidR="001B757C" w:rsidRPr="006912F6" w:rsidRDefault="003C7583" w:rsidP="000C4BE5">
            <w:pPr>
              <w:spacing w:before="0" w:line="240" w:lineRule="auto"/>
              <w:jc w:val="center"/>
              <w:rPr>
                <w:rFonts w:asciiTheme="majorHAnsi" w:eastAsia="DengXian" w:hAnsiTheme="majorHAnsi" w:cstheme="majorHAnsi"/>
                <w:sz w:val="20"/>
              </w:rPr>
            </w:pPr>
            <m:oMathPara>
              <m:oMath>
                <m:sSub>
                  <m:sSubPr>
                    <m:ctrlPr>
                      <w:rPr>
                        <w:rFonts w:ascii="Cambria Math" w:hAnsi="Cambria Math" w:cstheme="majorHAnsi"/>
                        <w:i/>
                        <w:sz w:val="20"/>
                      </w:rPr>
                    </m:ctrlPr>
                  </m:sSubPr>
                  <m:e>
                    <m:r>
                      <w:rPr>
                        <w:rFonts w:ascii="Cambria Math" w:hAnsi="Cambria Math" w:cstheme="majorHAnsi"/>
                        <w:sz w:val="20"/>
                      </w:rPr>
                      <m:t>U</m:t>
                    </m:r>
                  </m:e>
                  <m:sub>
                    <m:r>
                      <w:rPr>
                        <w:rFonts w:ascii="Cambria Math" w:hAnsi="Cambria Math" w:cstheme="majorHAnsi"/>
                        <w:sz w:val="20"/>
                      </w:rPr>
                      <m:t>c→3.5m</m:t>
                    </m:r>
                  </m:sub>
                </m:sSub>
              </m:oMath>
            </m:oMathPara>
          </w:p>
        </w:tc>
        <w:tc>
          <w:tcPr>
            <w:tcW w:w="1205" w:type="dxa"/>
            <w:vAlign w:val="center"/>
          </w:tcPr>
          <w:p w14:paraId="0633B32F" w14:textId="77777777" w:rsidR="001B757C" w:rsidRPr="006912F6" w:rsidRDefault="001B757C" w:rsidP="000C4BE5">
            <w:pPr>
              <w:spacing w:line="276" w:lineRule="auto"/>
              <w:jc w:val="both"/>
              <w:rPr>
                <w:rFonts w:asciiTheme="majorHAnsi" w:hAnsiTheme="majorHAnsi" w:cstheme="majorHAnsi"/>
                <w:sz w:val="18"/>
              </w:rPr>
            </w:pPr>
            <w:r w:rsidRPr="006912F6">
              <w:rPr>
                <w:rFonts w:asciiTheme="majorHAnsi" w:hAnsiTheme="majorHAnsi" w:cstheme="majorHAnsi"/>
                <w:sz w:val="18"/>
              </w:rPr>
              <w:t>H++</w:t>
            </w:r>
          </w:p>
        </w:tc>
        <w:tc>
          <w:tcPr>
            <w:tcW w:w="1218" w:type="dxa"/>
            <w:vMerge w:val="restart"/>
            <w:vAlign w:val="center"/>
          </w:tcPr>
          <w:p w14:paraId="086DB478"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£ 64.2M</w:t>
            </w:r>
          </w:p>
        </w:tc>
        <w:tc>
          <w:tcPr>
            <w:tcW w:w="1146" w:type="dxa"/>
            <w:vAlign w:val="center"/>
          </w:tcPr>
          <w:p w14:paraId="73B12161"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£ 158.0 M</w:t>
            </w:r>
          </w:p>
        </w:tc>
        <w:tc>
          <w:tcPr>
            <w:tcW w:w="1138" w:type="dxa"/>
            <w:vAlign w:val="center"/>
          </w:tcPr>
          <w:p w14:paraId="6D5A7282"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£ 158.0 M</w:t>
            </w:r>
          </w:p>
        </w:tc>
        <w:tc>
          <w:tcPr>
            <w:tcW w:w="1655" w:type="dxa"/>
            <w:vAlign w:val="center"/>
          </w:tcPr>
          <w:p w14:paraId="41E7D133"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Now (i.e. 2016)</w:t>
            </w:r>
          </w:p>
        </w:tc>
        <w:tc>
          <w:tcPr>
            <w:tcW w:w="1410" w:type="dxa"/>
          </w:tcPr>
          <w:p w14:paraId="7551619F"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19 cm</w:t>
            </w:r>
          </w:p>
        </w:tc>
      </w:tr>
      <w:tr w:rsidR="006912F6" w:rsidRPr="006912F6" w14:paraId="29D0F9DC" w14:textId="77777777" w:rsidTr="000C4BE5">
        <w:trPr>
          <w:trHeight w:val="20"/>
          <w:jc w:val="center"/>
        </w:trPr>
        <w:tc>
          <w:tcPr>
            <w:tcW w:w="1244" w:type="dxa"/>
            <w:vMerge/>
            <w:vAlign w:val="center"/>
          </w:tcPr>
          <w:p w14:paraId="006679E6" w14:textId="77777777" w:rsidR="001B757C" w:rsidRPr="006912F6" w:rsidRDefault="001B757C" w:rsidP="000C4BE5">
            <w:pPr>
              <w:spacing w:before="0" w:line="240" w:lineRule="auto"/>
              <w:jc w:val="center"/>
              <w:rPr>
                <w:rFonts w:eastAsia="맑은 고딕" w:cs="Times New Roman"/>
                <w:sz w:val="20"/>
              </w:rPr>
            </w:pPr>
          </w:p>
        </w:tc>
        <w:tc>
          <w:tcPr>
            <w:tcW w:w="1205" w:type="dxa"/>
            <w:vAlign w:val="center"/>
          </w:tcPr>
          <w:p w14:paraId="765F0A13" w14:textId="77777777" w:rsidR="001B757C" w:rsidRPr="006912F6" w:rsidRDefault="001B757C" w:rsidP="000C4BE5">
            <w:pPr>
              <w:spacing w:line="276" w:lineRule="auto"/>
              <w:jc w:val="both"/>
              <w:rPr>
                <w:rFonts w:asciiTheme="majorHAnsi" w:hAnsiTheme="majorHAnsi" w:cstheme="majorHAnsi"/>
                <w:sz w:val="18"/>
              </w:rPr>
            </w:pPr>
            <w:r w:rsidRPr="006912F6">
              <w:rPr>
                <w:rFonts w:asciiTheme="majorHAnsi" w:hAnsiTheme="majorHAnsi" w:cstheme="majorHAnsi"/>
                <w:sz w:val="18"/>
              </w:rPr>
              <w:t>H1</w:t>
            </w:r>
          </w:p>
        </w:tc>
        <w:tc>
          <w:tcPr>
            <w:tcW w:w="1218" w:type="dxa"/>
            <w:vMerge/>
            <w:vAlign w:val="center"/>
          </w:tcPr>
          <w:p w14:paraId="37126A79" w14:textId="77777777" w:rsidR="001B757C" w:rsidRPr="006912F6" w:rsidRDefault="001B757C" w:rsidP="000C4BE5">
            <w:pPr>
              <w:spacing w:line="276" w:lineRule="auto"/>
              <w:jc w:val="center"/>
              <w:rPr>
                <w:rFonts w:asciiTheme="majorHAnsi" w:hAnsiTheme="majorHAnsi" w:cstheme="majorHAnsi"/>
                <w:sz w:val="18"/>
              </w:rPr>
            </w:pPr>
          </w:p>
        </w:tc>
        <w:tc>
          <w:tcPr>
            <w:tcW w:w="1146" w:type="dxa"/>
            <w:vAlign w:val="center"/>
          </w:tcPr>
          <w:p w14:paraId="588B77A7"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£ 135.5 M</w:t>
            </w:r>
          </w:p>
        </w:tc>
        <w:tc>
          <w:tcPr>
            <w:tcW w:w="1138" w:type="dxa"/>
            <w:vAlign w:val="center"/>
          </w:tcPr>
          <w:p w14:paraId="797A1762"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£ 135.5 M</w:t>
            </w:r>
          </w:p>
        </w:tc>
        <w:tc>
          <w:tcPr>
            <w:tcW w:w="1655" w:type="dxa"/>
            <w:vAlign w:val="center"/>
          </w:tcPr>
          <w:p w14:paraId="5BE00303"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Now (i.e. 2016)</w:t>
            </w:r>
          </w:p>
        </w:tc>
        <w:tc>
          <w:tcPr>
            <w:tcW w:w="1410" w:type="dxa"/>
          </w:tcPr>
          <w:p w14:paraId="3BE06008"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16 cm</w:t>
            </w:r>
          </w:p>
        </w:tc>
      </w:tr>
      <w:tr w:rsidR="006912F6" w:rsidRPr="006912F6" w14:paraId="1918E72B" w14:textId="77777777" w:rsidTr="000C4BE5">
        <w:trPr>
          <w:trHeight w:val="20"/>
          <w:jc w:val="center"/>
        </w:trPr>
        <w:tc>
          <w:tcPr>
            <w:tcW w:w="1244" w:type="dxa"/>
            <w:vMerge/>
          </w:tcPr>
          <w:p w14:paraId="510E366D" w14:textId="77777777" w:rsidR="001B757C" w:rsidRPr="006912F6" w:rsidRDefault="001B757C" w:rsidP="000C4BE5">
            <w:pPr>
              <w:jc w:val="both"/>
              <w:rPr>
                <w:rFonts w:asciiTheme="majorHAnsi" w:hAnsiTheme="majorHAnsi" w:cstheme="majorHAnsi"/>
                <w:sz w:val="20"/>
              </w:rPr>
            </w:pPr>
          </w:p>
        </w:tc>
        <w:tc>
          <w:tcPr>
            <w:tcW w:w="1205" w:type="dxa"/>
            <w:vAlign w:val="center"/>
          </w:tcPr>
          <w:p w14:paraId="294AD4B5" w14:textId="77777777" w:rsidR="001B757C" w:rsidRPr="006912F6" w:rsidRDefault="001B757C" w:rsidP="000C4BE5">
            <w:pPr>
              <w:spacing w:line="276" w:lineRule="auto"/>
              <w:jc w:val="both"/>
              <w:rPr>
                <w:rFonts w:asciiTheme="majorHAnsi" w:hAnsiTheme="majorHAnsi" w:cstheme="majorHAnsi"/>
                <w:sz w:val="18"/>
              </w:rPr>
            </w:pPr>
            <w:r w:rsidRPr="006912F6">
              <w:rPr>
                <w:rFonts w:asciiTheme="majorHAnsi" w:hAnsiTheme="majorHAnsi" w:cstheme="majorHAnsi"/>
                <w:sz w:val="18"/>
              </w:rPr>
              <w:t>High</w:t>
            </w:r>
          </w:p>
        </w:tc>
        <w:tc>
          <w:tcPr>
            <w:tcW w:w="1218" w:type="dxa"/>
            <w:vMerge/>
            <w:vAlign w:val="center"/>
          </w:tcPr>
          <w:p w14:paraId="36CEE6D1" w14:textId="77777777" w:rsidR="001B757C" w:rsidRPr="006912F6" w:rsidRDefault="001B757C" w:rsidP="000C4BE5">
            <w:pPr>
              <w:spacing w:line="276" w:lineRule="auto"/>
              <w:jc w:val="center"/>
              <w:rPr>
                <w:rFonts w:asciiTheme="majorHAnsi" w:hAnsiTheme="majorHAnsi" w:cstheme="majorHAnsi"/>
                <w:sz w:val="18"/>
              </w:rPr>
            </w:pPr>
          </w:p>
        </w:tc>
        <w:tc>
          <w:tcPr>
            <w:tcW w:w="1146" w:type="dxa"/>
            <w:vAlign w:val="center"/>
          </w:tcPr>
          <w:p w14:paraId="3A79A935"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£ 35.3 M</w:t>
            </w:r>
          </w:p>
        </w:tc>
        <w:tc>
          <w:tcPr>
            <w:tcW w:w="1138" w:type="dxa"/>
            <w:vAlign w:val="center"/>
          </w:tcPr>
          <w:p w14:paraId="685D2274"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£ 36.5 M</w:t>
            </w:r>
          </w:p>
        </w:tc>
        <w:tc>
          <w:tcPr>
            <w:tcW w:w="1655" w:type="dxa"/>
            <w:vAlign w:val="center"/>
          </w:tcPr>
          <w:p w14:paraId="57FFB1ED"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2025</w:t>
            </w:r>
          </w:p>
        </w:tc>
        <w:tc>
          <w:tcPr>
            <w:tcW w:w="1410" w:type="dxa"/>
          </w:tcPr>
          <w:p w14:paraId="0759BF9F"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14 cm</w:t>
            </w:r>
          </w:p>
        </w:tc>
      </w:tr>
      <w:tr w:rsidR="006912F6" w:rsidRPr="006912F6" w14:paraId="27ADBF27" w14:textId="77777777" w:rsidTr="000C4BE5">
        <w:trPr>
          <w:trHeight w:val="20"/>
          <w:jc w:val="center"/>
        </w:trPr>
        <w:tc>
          <w:tcPr>
            <w:tcW w:w="1244" w:type="dxa"/>
            <w:vMerge/>
          </w:tcPr>
          <w:p w14:paraId="6B691D22" w14:textId="77777777" w:rsidR="001B757C" w:rsidRPr="006912F6" w:rsidRDefault="001B757C" w:rsidP="000C4BE5">
            <w:pPr>
              <w:jc w:val="both"/>
              <w:rPr>
                <w:rFonts w:asciiTheme="majorHAnsi" w:hAnsiTheme="majorHAnsi" w:cstheme="majorHAnsi"/>
                <w:sz w:val="20"/>
              </w:rPr>
            </w:pPr>
          </w:p>
        </w:tc>
        <w:tc>
          <w:tcPr>
            <w:tcW w:w="1205" w:type="dxa"/>
            <w:vAlign w:val="center"/>
          </w:tcPr>
          <w:p w14:paraId="3A8F8A40" w14:textId="77777777" w:rsidR="001B757C" w:rsidRPr="006912F6" w:rsidRDefault="001B757C" w:rsidP="000C4BE5">
            <w:pPr>
              <w:spacing w:line="276" w:lineRule="auto"/>
              <w:jc w:val="both"/>
              <w:rPr>
                <w:rFonts w:asciiTheme="majorHAnsi" w:hAnsiTheme="majorHAnsi" w:cstheme="majorHAnsi"/>
                <w:sz w:val="18"/>
              </w:rPr>
            </w:pPr>
            <w:r w:rsidRPr="006912F6">
              <w:rPr>
                <w:rFonts w:asciiTheme="majorHAnsi" w:hAnsiTheme="majorHAnsi" w:cstheme="majorHAnsi"/>
                <w:sz w:val="18"/>
              </w:rPr>
              <w:t>Medium</w:t>
            </w:r>
          </w:p>
        </w:tc>
        <w:tc>
          <w:tcPr>
            <w:tcW w:w="1218" w:type="dxa"/>
            <w:vMerge/>
            <w:vAlign w:val="center"/>
          </w:tcPr>
          <w:p w14:paraId="2FB79E7B" w14:textId="77777777" w:rsidR="001B757C" w:rsidRPr="006912F6" w:rsidRDefault="001B757C" w:rsidP="000C4BE5">
            <w:pPr>
              <w:spacing w:line="276" w:lineRule="auto"/>
              <w:jc w:val="center"/>
              <w:rPr>
                <w:rFonts w:asciiTheme="majorHAnsi" w:hAnsiTheme="majorHAnsi" w:cstheme="majorHAnsi"/>
                <w:sz w:val="18"/>
              </w:rPr>
            </w:pPr>
          </w:p>
        </w:tc>
        <w:tc>
          <w:tcPr>
            <w:tcW w:w="1146" w:type="dxa"/>
            <w:vAlign w:val="center"/>
          </w:tcPr>
          <w:p w14:paraId="3247975F"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£ 23.2 M</w:t>
            </w:r>
          </w:p>
        </w:tc>
        <w:tc>
          <w:tcPr>
            <w:tcW w:w="1138" w:type="dxa"/>
            <w:vAlign w:val="center"/>
          </w:tcPr>
          <w:p w14:paraId="7F86E44F"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£ 25.5 M</w:t>
            </w:r>
          </w:p>
        </w:tc>
        <w:tc>
          <w:tcPr>
            <w:tcW w:w="1655" w:type="dxa"/>
            <w:vAlign w:val="center"/>
          </w:tcPr>
          <w:p w14:paraId="74F1B1DE"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2029</w:t>
            </w:r>
          </w:p>
        </w:tc>
        <w:tc>
          <w:tcPr>
            <w:tcW w:w="1410" w:type="dxa"/>
          </w:tcPr>
          <w:p w14:paraId="7741858F"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13 cm</w:t>
            </w:r>
          </w:p>
        </w:tc>
      </w:tr>
      <w:tr w:rsidR="006912F6" w:rsidRPr="006912F6" w14:paraId="743790DF" w14:textId="77777777" w:rsidTr="000C4BE5">
        <w:trPr>
          <w:trHeight w:val="20"/>
          <w:jc w:val="center"/>
        </w:trPr>
        <w:tc>
          <w:tcPr>
            <w:tcW w:w="1244" w:type="dxa"/>
            <w:vMerge/>
          </w:tcPr>
          <w:p w14:paraId="4F8B0CEA" w14:textId="77777777" w:rsidR="001B757C" w:rsidRPr="006912F6" w:rsidRDefault="001B757C" w:rsidP="000C4BE5">
            <w:pPr>
              <w:jc w:val="both"/>
              <w:rPr>
                <w:rFonts w:asciiTheme="majorHAnsi" w:hAnsiTheme="majorHAnsi" w:cstheme="majorHAnsi"/>
                <w:sz w:val="20"/>
              </w:rPr>
            </w:pPr>
          </w:p>
        </w:tc>
        <w:tc>
          <w:tcPr>
            <w:tcW w:w="1205" w:type="dxa"/>
            <w:vAlign w:val="center"/>
          </w:tcPr>
          <w:p w14:paraId="247B4D5E" w14:textId="77777777" w:rsidR="001B757C" w:rsidRPr="006912F6" w:rsidRDefault="001B757C" w:rsidP="000C4BE5">
            <w:pPr>
              <w:spacing w:line="276" w:lineRule="auto"/>
              <w:jc w:val="both"/>
              <w:rPr>
                <w:rFonts w:asciiTheme="majorHAnsi" w:hAnsiTheme="majorHAnsi" w:cstheme="majorHAnsi"/>
                <w:sz w:val="18"/>
              </w:rPr>
            </w:pPr>
            <w:r w:rsidRPr="006912F6">
              <w:rPr>
                <w:rFonts w:asciiTheme="majorHAnsi" w:hAnsiTheme="majorHAnsi" w:cstheme="majorHAnsi"/>
                <w:sz w:val="18"/>
              </w:rPr>
              <w:t>Low</w:t>
            </w:r>
          </w:p>
        </w:tc>
        <w:tc>
          <w:tcPr>
            <w:tcW w:w="1218" w:type="dxa"/>
            <w:vMerge/>
            <w:vAlign w:val="center"/>
          </w:tcPr>
          <w:p w14:paraId="2953D941" w14:textId="77777777" w:rsidR="001B757C" w:rsidRPr="006912F6" w:rsidRDefault="001B757C" w:rsidP="000C4BE5">
            <w:pPr>
              <w:spacing w:line="276" w:lineRule="auto"/>
              <w:jc w:val="center"/>
              <w:rPr>
                <w:rFonts w:asciiTheme="majorHAnsi" w:hAnsiTheme="majorHAnsi" w:cstheme="majorHAnsi"/>
                <w:sz w:val="18"/>
              </w:rPr>
            </w:pPr>
          </w:p>
        </w:tc>
        <w:tc>
          <w:tcPr>
            <w:tcW w:w="1146" w:type="dxa"/>
            <w:vAlign w:val="center"/>
          </w:tcPr>
          <w:p w14:paraId="10C25EBE"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£ 13.9 M</w:t>
            </w:r>
          </w:p>
        </w:tc>
        <w:tc>
          <w:tcPr>
            <w:tcW w:w="1138" w:type="dxa"/>
            <w:vAlign w:val="center"/>
          </w:tcPr>
          <w:p w14:paraId="0BB9677C"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£ 17.7 M</w:t>
            </w:r>
          </w:p>
        </w:tc>
        <w:tc>
          <w:tcPr>
            <w:tcW w:w="1655" w:type="dxa"/>
            <w:vAlign w:val="center"/>
          </w:tcPr>
          <w:p w14:paraId="62C3A5F5"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2033</w:t>
            </w:r>
          </w:p>
        </w:tc>
        <w:tc>
          <w:tcPr>
            <w:tcW w:w="1410" w:type="dxa"/>
          </w:tcPr>
          <w:p w14:paraId="06C2A4C3"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13 cm</w:t>
            </w:r>
          </w:p>
        </w:tc>
      </w:tr>
      <w:tr w:rsidR="006912F6" w:rsidRPr="006912F6" w14:paraId="47A707D8" w14:textId="77777777" w:rsidTr="000C4BE5">
        <w:trPr>
          <w:trHeight w:val="20"/>
          <w:jc w:val="center"/>
        </w:trPr>
        <w:tc>
          <w:tcPr>
            <w:tcW w:w="1244" w:type="dxa"/>
            <w:vMerge/>
          </w:tcPr>
          <w:p w14:paraId="12BDB885" w14:textId="77777777" w:rsidR="001B757C" w:rsidRPr="006912F6" w:rsidRDefault="001B757C" w:rsidP="000C4BE5">
            <w:pPr>
              <w:jc w:val="both"/>
              <w:rPr>
                <w:rFonts w:asciiTheme="majorHAnsi" w:hAnsiTheme="majorHAnsi" w:cstheme="majorHAnsi"/>
                <w:sz w:val="20"/>
              </w:rPr>
            </w:pPr>
          </w:p>
        </w:tc>
        <w:tc>
          <w:tcPr>
            <w:tcW w:w="1205" w:type="dxa"/>
            <w:vAlign w:val="center"/>
          </w:tcPr>
          <w:p w14:paraId="135C8363" w14:textId="77777777" w:rsidR="001B757C" w:rsidRPr="006912F6" w:rsidRDefault="001B757C" w:rsidP="000C4BE5">
            <w:pPr>
              <w:spacing w:line="276" w:lineRule="auto"/>
              <w:jc w:val="both"/>
              <w:rPr>
                <w:rFonts w:asciiTheme="majorHAnsi" w:hAnsiTheme="majorHAnsi" w:cstheme="majorHAnsi"/>
                <w:sz w:val="18"/>
              </w:rPr>
            </w:pPr>
            <w:r w:rsidRPr="006912F6">
              <w:rPr>
                <w:rFonts w:asciiTheme="majorHAnsi" w:hAnsiTheme="majorHAnsi" w:cstheme="majorHAnsi"/>
                <w:sz w:val="18"/>
              </w:rPr>
              <w:t>Historic</w:t>
            </w:r>
          </w:p>
        </w:tc>
        <w:tc>
          <w:tcPr>
            <w:tcW w:w="1218" w:type="dxa"/>
            <w:vMerge/>
            <w:vAlign w:val="center"/>
          </w:tcPr>
          <w:p w14:paraId="5F2921DD" w14:textId="77777777" w:rsidR="001B757C" w:rsidRPr="006912F6" w:rsidRDefault="001B757C" w:rsidP="000C4BE5">
            <w:pPr>
              <w:spacing w:line="276" w:lineRule="auto"/>
              <w:jc w:val="center"/>
              <w:rPr>
                <w:rFonts w:asciiTheme="majorHAnsi" w:hAnsiTheme="majorHAnsi" w:cstheme="majorHAnsi"/>
                <w:sz w:val="18"/>
              </w:rPr>
            </w:pPr>
          </w:p>
        </w:tc>
        <w:tc>
          <w:tcPr>
            <w:tcW w:w="1146" w:type="dxa"/>
            <w:vAlign w:val="center"/>
          </w:tcPr>
          <w:p w14:paraId="4804FE44"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 14.5 M</w:t>
            </w:r>
          </w:p>
        </w:tc>
        <w:tc>
          <w:tcPr>
            <w:tcW w:w="1138" w:type="dxa"/>
            <w:vAlign w:val="center"/>
          </w:tcPr>
          <w:p w14:paraId="029B4E86"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£ 1.08 M</w:t>
            </w:r>
          </w:p>
        </w:tc>
        <w:tc>
          <w:tcPr>
            <w:tcW w:w="1655" w:type="dxa"/>
            <w:vAlign w:val="center"/>
          </w:tcPr>
          <w:p w14:paraId="1B2019AA"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2083</w:t>
            </w:r>
          </w:p>
        </w:tc>
        <w:tc>
          <w:tcPr>
            <w:tcW w:w="1410" w:type="dxa"/>
          </w:tcPr>
          <w:p w14:paraId="39853DF7"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13 cm</w:t>
            </w:r>
          </w:p>
        </w:tc>
      </w:tr>
      <w:tr w:rsidR="006912F6" w:rsidRPr="006912F6" w14:paraId="17FBB5FE" w14:textId="77777777" w:rsidTr="000C4BE5">
        <w:trPr>
          <w:trHeight w:val="20"/>
          <w:jc w:val="center"/>
        </w:trPr>
        <w:tc>
          <w:tcPr>
            <w:tcW w:w="1244" w:type="dxa"/>
            <w:vMerge w:val="restart"/>
            <w:vAlign w:val="center"/>
          </w:tcPr>
          <w:p w14:paraId="6DE4BE83" w14:textId="77777777" w:rsidR="001B757C" w:rsidRPr="006912F6" w:rsidRDefault="003C7583" w:rsidP="000C4BE5">
            <w:pPr>
              <w:spacing w:before="0" w:line="240" w:lineRule="auto"/>
              <w:jc w:val="center"/>
              <w:rPr>
                <w:rFonts w:asciiTheme="majorHAnsi" w:eastAsia="DengXian" w:hAnsiTheme="majorHAnsi" w:cstheme="majorHAnsi"/>
                <w:sz w:val="20"/>
              </w:rPr>
            </w:pPr>
            <m:oMathPara>
              <m:oMath>
                <m:sSub>
                  <m:sSubPr>
                    <m:ctrlPr>
                      <w:rPr>
                        <w:rFonts w:ascii="Cambria Math" w:hAnsi="Cambria Math" w:cstheme="majorHAnsi"/>
                        <w:i/>
                        <w:sz w:val="20"/>
                      </w:rPr>
                    </m:ctrlPr>
                  </m:sSubPr>
                  <m:e>
                    <m:r>
                      <w:rPr>
                        <w:rFonts w:ascii="Cambria Math" w:hAnsi="Cambria Math" w:cstheme="majorHAnsi"/>
                        <w:sz w:val="20"/>
                      </w:rPr>
                      <m:t>U</m:t>
                    </m:r>
                  </m:e>
                  <m:sub>
                    <m:r>
                      <w:rPr>
                        <w:rFonts w:ascii="Cambria Math" w:hAnsi="Cambria Math" w:cstheme="majorHAnsi"/>
                        <w:sz w:val="20"/>
                      </w:rPr>
                      <m:t>c→4.0m</m:t>
                    </m:r>
                  </m:sub>
                </m:sSub>
              </m:oMath>
            </m:oMathPara>
          </w:p>
        </w:tc>
        <w:tc>
          <w:tcPr>
            <w:tcW w:w="1205" w:type="dxa"/>
            <w:vAlign w:val="center"/>
          </w:tcPr>
          <w:p w14:paraId="7B6D87A5" w14:textId="77777777" w:rsidR="001B757C" w:rsidRPr="006912F6" w:rsidRDefault="001B757C" w:rsidP="000C4BE5">
            <w:pPr>
              <w:spacing w:line="276" w:lineRule="auto"/>
              <w:jc w:val="both"/>
              <w:rPr>
                <w:rFonts w:asciiTheme="majorHAnsi" w:hAnsiTheme="majorHAnsi" w:cstheme="majorHAnsi"/>
                <w:sz w:val="18"/>
              </w:rPr>
            </w:pPr>
            <w:r w:rsidRPr="006912F6">
              <w:rPr>
                <w:rFonts w:asciiTheme="majorHAnsi" w:hAnsiTheme="majorHAnsi" w:cstheme="majorHAnsi"/>
                <w:sz w:val="18"/>
              </w:rPr>
              <w:t>H++</w:t>
            </w:r>
          </w:p>
        </w:tc>
        <w:tc>
          <w:tcPr>
            <w:tcW w:w="1218" w:type="dxa"/>
            <w:vMerge w:val="restart"/>
            <w:vAlign w:val="center"/>
          </w:tcPr>
          <w:p w14:paraId="33F9C00D"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£ 96.3M</w:t>
            </w:r>
          </w:p>
        </w:tc>
        <w:tc>
          <w:tcPr>
            <w:tcW w:w="1146" w:type="dxa"/>
            <w:vAlign w:val="center"/>
          </w:tcPr>
          <w:p w14:paraId="0F4976FC"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£ 175.4 M</w:t>
            </w:r>
          </w:p>
        </w:tc>
        <w:tc>
          <w:tcPr>
            <w:tcW w:w="1138" w:type="dxa"/>
            <w:vAlign w:val="center"/>
          </w:tcPr>
          <w:p w14:paraId="1066673C"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£ 175.4 M</w:t>
            </w:r>
          </w:p>
        </w:tc>
        <w:tc>
          <w:tcPr>
            <w:tcW w:w="1655" w:type="dxa"/>
            <w:vAlign w:val="center"/>
          </w:tcPr>
          <w:p w14:paraId="4393196D"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Now (i.e. 2016)</w:t>
            </w:r>
          </w:p>
        </w:tc>
        <w:tc>
          <w:tcPr>
            <w:tcW w:w="1410" w:type="dxa"/>
          </w:tcPr>
          <w:p w14:paraId="7D434003"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19 cm</w:t>
            </w:r>
          </w:p>
        </w:tc>
      </w:tr>
      <w:tr w:rsidR="006912F6" w:rsidRPr="006912F6" w14:paraId="0842E88E" w14:textId="77777777" w:rsidTr="000C4BE5">
        <w:trPr>
          <w:trHeight w:val="20"/>
          <w:jc w:val="center"/>
        </w:trPr>
        <w:tc>
          <w:tcPr>
            <w:tcW w:w="1244" w:type="dxa"/>
            <w:vMerge/>
          </w:tcPr>
          <w:p w14:paraId="2E819157" w14:textId="77777777" w:rsidR="001B757C" w:rsidRPr="006912F6" w:rsidRDefault="001B757C" w:rsidP="000C4BE5">
            <w:pPr>
              <w:spacing w:before="0" w:line="240" w:lineRule="auto"/>
              <w:jc w:val="center"/>
              <w:rPr>
                <w:rFonts w:eastAsia="맑은 고딕" w:cs="Times New Roman"/>
                <w:sz w:val="20"/>
              </w:rPr>
            </w:pPr>
          </w:p>
        </w:tc>
        <w:tc>
          <w:tcPr>
            <w:tcW w:w="1205" w:type="dxa"/>
            <w:vAlign w:val="center"/>
          </w:tcPr>
          <w:p w14:paraId="3BB175B2" w14:textId="77777777" w:rsidR="001B757C" w:rsidRPr="006912F6" w:rsidRDefault="001B757C" w:rsidP="000C4BE5">
            <w:pPr>
              <w:spacing w:line="276" w:lineRule="auto"/>
              <w:jc w:val="both"/>
              <w:rPr>
                <w:rFonts w:asciiTheme="majorHAnsi" w:hAnsiTheme="majorHAnsi" w:cstheme="majorHAnsi"/>
                <w:sz w:val="18"/>
              </w:rPr>
            </w:pPr>
            <w:r w:rsidRPr="006912F6">
              <w:rPr>
                <w:rFonts w:asciiTheme="majorHAnsi" w:hAnsiTheme="majorHAnsi" w:cstheme="majorHAnsi"/>
                <w:sz w:val="18"/>
              </w:rPr>
              <w:t>H1</w:t>
            </w:r>
          </w:p>
        </w:tc>
        <w:tc>
          <w:tcPr>
            <w:tcW w:w="1218" w:type="dxa"/>
            <w:vMerge/>
            <w:vAlign w:val="center"/>
          </w:tcPr>
          <w:p w14:paraId="21FD0542" w14:textId="77777777" w:rsidR="001B757C" w:rsidRPr="006912F6" w:rsidRDefault="001B757C" w:rsidP="000C4BE5">
            <w:pPr>
              <w:spacing w:line="276" w:lineRule="auto"/>
              <w:jc w:val="center"/>
              <w:rPr>
                <w:rFonts w:asciiTheme="majorHAnsi" w:hAnsiTheme="majorHAnsi" w:cstheme="majorHAnsi"/>
                <w:sz w:val="18"/>
              </w:rPr>
            </w:pPr>
          </w:p>
        </w:tc>
        <w:tc>
          <w:tcPr>
            <w:tcW w:w="1146" w:type="dxa"/>
            <w:vAlign w:val="center"/>
          </w:tcPr>
          <w:p w14:paraId="02BF756B"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£ 103.9 M</w:t>
            </w:r>
          </w:p>
        </w:tc>
        <w:tc>
          <w:tcPr>
            <w:tcW w:w="1138" w:type="dxa"/>
            <w:vAlign w:val="center"/>
          </w:tcPr>
          <w:p w14:paraId="06084571"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£ 105.8 M</w:t>
            </w:r>
          </w:p>
        </w:tc>
        <w:tc>
          <w:tcPr>
            <w:tcW w:w="1655" w:type="dxa"/>
            <w:vAlign w:val="center"/>
          </w:tcPr>
          <w:p w14:paraId="065CC30B"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2022</w:t>
            </w:r>
          </w:p>
        </w:tc>
        <w:tc>
          <w:tcPr>
            <w:tcW w:w="1410" w:type="dxa"/>
          </w:tcPr>
          <w:p w14:paraId="2FB32FF0"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23cm</w:t>
            </w:r>
          </w:p>
        </w:tc>
      </w:tr>
      <w:tr w:rsidR="006912F6" w:rsidRPr="006912F6" w14:paraId="2B6967A3" w14:textId="77777777" w:rsidTr="000C4BE5">
        <w:trPr>
          <w:trHeight w:val="20"/>
          <w:jc w:val="center"/>
        </w:trPr>
        <w:tc>
          <w:tcPr>
            <w:tcW w:w="1244" w:type="dxa"/>
            <w:vMerge/>
          </w:tcPr>
          <w:p w14:paraId="09E03E6B" w14:textId="77777777" w:rsidR="001B757C" w:rsidRPr="006912F6" w:rsidRDefault="001B757C" w:rsidP="000C4BE5">
            <w:pPr>
              <w:jc w:val="both"/>
              <w:rPr>
                <w:rFonts w:asciiTheme="majorHAnsi" w:hAnsiTheme="majorHAnsi" w:cstheme="majorHAnsi"/>
                <w:sz w:val="20"/>
              </w:rPr>
            </w:pPr>
          </w:p>
        </w:tc>
        <w:tc>
          <w:tcPr>
            <w:tcW w:w="1205" w:type="dxa"/>
            <w:vAlign w:val="center"/>
          </w:tcPr>
          <w:p w14:paraId="7AC75680" w14:textId="77777777" w:rsidR="001B757C" w:rsidRPr="006912F6" w:rsidRDefault="001B757C" w:rsidP="000C4BE5">
            <w:pPr>
              <w:spacing w:line="276" w:lineRule="auto"/>
              <w:jc w:val="both"/>
              <w:rPr>
                <w:rFonts w:asciiTheme="majorHAnsi" w:hAnsiTheme="majorHAnsi" w:cstheme="majorHAnsi"/>
                <w:sz w:val="18"/>
              </w:rPr>
            </w:pPr>
            <w:r w:rsidRPr="006912F6">
              <w:rPr>
                <w:rFonts w:asciiTheme="majorHAnsi" w:hAnsiTheme="majorHAnsi" w:cstheme="majorHAnsi"/>
                <w:sz w:val="18"/>
              </w:rPr>
              <w:t>High</w:t>
            </w:r>
          </w:p>
        </w:tc>
        <w:tc>
          <w:tcPr>
            <w:tcW w:w="1218" w:type="dxa"/>
            <w:vMerge/>
            <w:vAlign w:val="center"/>
          </w:tcPr>
          <w:p w14:paraId="4C4E5F37" w14:textId="77777777" w:rsidR="001B757C" w:rsidRPr="006912F6" w:rsidRDefault="001B757C" w:rsidP="000C4BE5">
            <w:pPr>
              <w:spacing w:line="276" w:lineRule="auto"/>
              <w:jc w:val="right"/>
              <w:rPr>
                <w:rFonts w:asciiTheme="majorHAnsi" w:hAnsiTheme="majorHAnsi" w:cstheme="majorHAnsi"/>
                <w:sz w:val="18"/>
              </w:rPr>
            </w:pPr>
          </w:p>
        </w:tc>
        <w:tc>
          <w:tcPr>
            <w:tcW w:w="1146" w:type="dxa"/>
            <w:vAlign w:val="center"/>
          </w:tcPr>
          <w:p w14:paraId="75A79E6A"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£ 3.26 M</w:t>
            </w:r>
          </w:p>
        </w:tc>
        <w:tc>
          <w:tcPr>
            <w:tcW w:w="1138" w:type="dxa"/>
            <w:vAlign w:val="center"/>
          </w:tcPr>
          <w:p w14:paraId="3A7535C1"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£ 20.6 M</w:t>
            </w:r>
          </w:p>
        </w:tc>
        <w:tc>
          <w:tcPr>
            <w:tcW w:w="1655" w:type="dxa"/>
            <w:vAlign w:val="center"/>
          </w:tcPr>
          <w:p w14:paraId="3D9C00A9"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2048</w:t>
            </w:r>
          </w:p>
        </w:tc>
        <w:tc>
          <w:tcPr>
            <w:tcW w:w="1410" w:type="dxa"/>
          </w:tcPr>
          <w:p w14:paraId="24D21B2E"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25 cm</w:t>
            </w:r>
          </w:p>
        </w:tc>
      </w:tr>
      <w:tr w:rsidR="006912F6" w:rsidRPr="006912F6" w14:paraId="6C456C44" w14:textId="77777777" w:rsidTr="000C4BE5">
        <w:trPr>
          <w:trHeight w:val="20"/>
          <w:jc w:val="center"/>
        </w:trPr>
        <w:tc>
          <w:tcPr>
            <w:tcW w:w="1244" w:type="dxa"/>
            <w:vMerge/>
          </w:tcPr>
          <w:p w14:paraId="05B9AD56" w14:textId="77777777" w:rsidR="001B757C" w:rsidRPr="006912F6" w:rsidRDefault="001B757C" w:rsidP="000C4BE5">
            <w:pPr>
              <w:jc w:val="both"/>
              <w:rPr>
                <w:rFonts w:asciiTheme="majorHAnsi" w:hAnsiTheme="majorHAnsi" w:cstheme="majorHAnsi"/>
                <w:sz w:val="20"/>
              </w:rPr>
            </w:pPr>
          </w:p>
        </w:tc>
        <w:tc>
          <w:tcPr>
            <w:tcW w:w="1205" w:type="dxa"/>
            <w:vAlign w:val="center"/>
          </w:tcPr>
          <w:p w14:paraId="3F3B7CE8" w14:textId="77777777" w:rsidR="001B757C" w:rsidRPr="006912F6" w:rsidRDefault="001B757C" w:rsidP="000C4BE5">
            <w:pPr>
              <w:spacing w:line="276" w:lineRule="auto"/>
              <w:jc w:val="both"/>
              <w:rPr>
                <w:rFonts w:asciiTheme="majorHAnsi" w:hAnsiTheme="majorHAnsi" w:cstheme="majorHAnsi"/>
                <w:sz w:val="18"/>
              </w:rPr>
            </w:pPr>
            <w:r w:rsidRPr="006912F6">
              <w:rPr>
                <w:rFonts w:asciiTheme="majorHAnsi" w:hAnsiTheme="majorHAnsi" w:cstheme="majorHAnsi"/>
                <w:sz w:val="18"/>
              </w:rPr>
              <w:t>Medium</w:t>
            </w:r>
          </w:p>
        </w:tc>
        <w:tc>
          <w:tcPr>
            <w:tcW w:w="1218" w:type="dxa"/>
            <w:vMerge/>
            <w:vAlign w:val="center"/>
          </w:tcPr>
          <w:p w14:paraId="6833A0C1" w14:textId="77777777" w:rsidR="001B757C" w:rsidRPr="006912F6" w:rsidRDefault="001B757C" w:rsidP="000C4BE5">
            <w:pPr>
              <w:spacing w:line="276" w:lineRule="auto"/>
              <w:jc w:val="right"/>
              <w:rPr>
                <w:rFonts w:asciiTheme="majorHAnsi" w:hAnsiTheme="majorHAnsi" w:cstheme="majorHAnsi"/>
                <w:sz w:val="18"/>
              </w:rPr>
            </w:pPr>
          </w:p>
        </w:tc>
        <w:tc>
          <w:tcPr>
            <w:tcW w:w="1146" w:type="dxa"/>
            <w:vAlign w:val="center"/>
          </w:tcPr>
          <w:p w14:paraId="1FAAE91A"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 8.98 M</w:t>
            </w:r>
          </w:p>
        </w:tc>
        <w:tc>
          <w:tcPr>
            <w:tcW w:w="1138" w:type="dxa"/>
            <w:vAlign w:val="center"/>
          </w:tcPr>
          <w:p w14:paraId="7ABD4DE1"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£ 12.4 M</w:t>
            </w:r>
          </w:p>
        </w:tc>
        <w:tc>
          <w:tcPr>
            <w:tcW w:w="1655" w:type="dxa"/>
            <w:vAlign w:val="center"/>
          </w:tcPr>
          <w:p w14:paraId="4B619CDC"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2056</w:t>
            </w:r>
          </w:p>
        </w:tc>
        <w:tc>
          <w:tcPr>
            <w:tcW w:w="1410" w:type="dxa"/>
          </w:tcPr>
          <w:p w14:paraId="7ACB81F4"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25 cm</w:t>
            </w:r>
          </w:p>
        </w:tc>
      </w:tr>
      <w:tr w:rsidR="006912F6" w:rsidRPr="006912F6" w14:paraId="075CA9B9" w14:textId="77777777" w:rsidTr="000C4BE5">
        <w:trPr>
          <w:trHeight w:val="20"/>
          <w:jc w:val="center"/>
        </w:trPr>
        <w:tc>
          <w:tcPr>
            <w:tcW w:w="1244" w:type="dxa"/>
            <w:vMerge/>
          </w:tcPr>
          <w:p w14:paraId="3E576C02" w14:textId="77777777" w:rsidR="001B757C" w:rsidRPr="006912F6" w:rsidRDefault="001B757C" w:rsidP="000C4BE5">
            <w:pPr>
              <w:jc w:val="both"/>
              <w:rPr>
                <w:rFonts w:asciiTheme="majorHAnsi" w:hAnsiTheme="majorHAnsi" w:cstheme="majorHAnsi"/>
                <w:sz w:val="20"/>
              </w:rPr>
            </w:pPr>
          </w:p>
        </w:tc>
        <w:tc>
          <w:tcPr>
            <w:tcW w:w="1205" w:type="dxa"/>
            <w:vAlign w:val="center"/>
          </w:tcPr>
          <w:p w14:paraId="3AD75395" w14:textId="77777777" w:rsidR="001B757C" w:rsidRPr="006912F6" w:rsidRDefault="001B757C" w:rsidP="000C4BE5">
            <w:pPr>
              <w:spacing w:line="276" w:lineRule="auto"/>
              <w:jc w:val="both"/>
              <w:rPr>
                <w:rFonts w:asciiTheme="majorHAnsi" w:hAnsiTheme="majorHAnsi" w:cstheme="majorHAnsi"/>
                <w:sz w:val="18"/>
              </w:rPr>
            </w:pPr>
            <w:r w:rsidRPr="006912F6">
              <w:rPr>
                <w:rFonts w:asciiTheme="majorHAnsi" w:hAnsiTheme="majorHAnsi" w:cstheme="majorHAnsi"/>
                <w:sz w:val="18"/>
              </w:rPr>
              <w:t>Low</w:t>
            </w:r>
          </w:p>
        </w:tc>
        <w:tc>
          <w:tcPr>
            <w:tcW w:w="1218" w:type="dxa"/>
            <w:vMerge/>
            <w:vAlign w:val="center"/>
          </w:tcPr>
          <w:p w14:paraId="71AE4036" w14:textId="77777777" w:rsidR="001B757C" w:rsidRPr="006912F6" w:rsidRDefault="001B757C" w:rsidP="000C4BE5">
            <w:pPr>
              <w:spacing w:line="276" w:lineRule="auto"/>
              <w:jc w:val="right"/>
              <w:rPr>
                <w:rFonts w:asciiTheme="majorHAnsi" w:hAnsiTheme="majorHAnsi" w:cstheme="majorHAnsi"/>
                <w:sz w:val="18"/>
              </w:rPr>
            </w:pPr>
          </w:p>
        </w:tc>
        <w:tc>
          <w:tcPr>
            <w:tcW w:w="1146" w:type="dxa"/>
            <w:vAlign w:val="center"/>
          </w:tcPr>
          <w:p w14:paraId="44E24397"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 18.2 M</w:t>
            </w:r>
          </w:p>
        </w:tc>
        <w:tc>
          <w:tcPr>
            <w:tcW w:w="1138" w:type="dxa"/>
            <w:vAlign w:val="center"/>
          </w:tcPr>
          <w:p w14:paraId="3747C7F4"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£ 7.2 M</w:t>
            </w:r>
          </w:p>
        </w:tc>
        <w:tc>
          <w:tcPr>
            <w:tcW w:w="1655" w:type="dxa"/>
            <w:vAlign w:val="center"/>
          </w:tcPr>
          <w:p w14:paraId="57CEBC26"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2066</w:t>
            </w:r>
          </w:p>
        </w:tc>
        <w:tc>
          <w:tcPr>
            <w:tcW w:w="1410" w:type="dxa"/>
          </w:tcPr>
          <w:p w14:paraId="3114D5D9"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25 cm</w:t>
            </w:r>
          </w:p>
        </w:tc>
      </w:tr>
      <w:tr w:rsidR="001B757C" w:rsidRPr="006912F6" w14:paraId="65916CD5" w14:textId="77777777" w:rsidTr="000C4BE5">
        <w:trPr>
          <w:trHeight w:val="20"/>
          <w:jc w:val="center"/>
        </w:trPr>
        <w:tc>
          <w:tcPr>
            <w:tcW w:w="1244" w:type="dxa"/>
            <w:vMerge/>
          </w:tcPr>
          <w:p w14:paraId="08E7C10D" w14:textId="77777777" w:rsidR="001B757C" w:rsidRPr="006912F6" w:rsidRDefault="001B757C" w:rsidP="000C4BE5">
            <w:pPr>
              <w:jc w:val="both"/>
              <w:rPr>
                <w:rFonts w:asciiTheme="majorHAnsi" w:hAnsiTheme="majorHAnsi" w:cstheme="majorHAnsi"/>
                <w:sz w:val="20"/>
              </w:rPr>
            </w:pPr>
          </w:p>
        </w:tc>
        <w:tc>
          <w:tcPr>
            <w:tcW w:w="1205" w:type="dxa"/>
            <w:vAlign w:val="center"/>
          </w:tcPr>
          <w:p w14:paraId="3DE5D4F5" w14:textId="77777777" w:rsidR="001B757C" w:rsidRPr="006912F6" w:rsidRDefault="001B757C" w:rsidP="000C4BE5">
            <w:pPr>
              <w:spacing w:line="276" w:lineRule="auto"/>
              <w:jc w:val="both"/>
              <w:rPr>
                <w:rFonts w:asciiTheme="majorHAnsi" w:hAnsiTheme="majorHAnsi" w:cstheme="majorHAnsi"/>
                <w:sz w:val="18"/>
              </w:rPr>
            </w:pPr>
            <w:r w:rsidRPr="006912F6">
              <w:rPr>
                <w:rFonts w:asciiTheme="majorHAnsi" w:hAnsiTheme="majorHAnsi" w:cstheme="majorHAnsi"/>
                <w:sz w:val="18"/>
              </w:rPr>
              <w:t>Historic</w:t>
            </w:r>
          </w:p>
        </w:tc>
        <w:tc>
          <w:tcPr>
            <w:tcW w:w="1218" w:type="dxa"/>
            <w:vMerge/>
            <w:vAlign w:val="center"/>
          </w:tcPr>
          <w:p w14:paraId="35278E8D" w14:textId="77777777" w:rsidR="001B757C" w:rsidRPr="006912F6" w:rsidRDefault="001B757C" w:rsidP="000C4BE5">
            <w:pPr>
              <w:spacing w:line="276" w:lineRule="auto"/>
              <w:jc w:val="right"/>
              <w:rPr>
                <w:rFonts w:asciiTheme="majorHAnsi" w:hAnsiTheme="majorHAnsi" w:cstheme="majorHAnsi"/>
                <w:sz w:val="18"/>
              </w:rPr>
            </w:pPr>
          </w:p>
        </w:tc>
        <w:tc>
          <w:tcPr>
            <w:tcW w:w="1146" w:type="dxa"/>
            <w:vAlign w:val="center"/>
          </w:tcPr>
          <w:p w14:paraId="49947F01"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 46.6 M</w:t>
            </w:r>
          </w:p>
        </w:tc>
        <w:tc>
          <w:tcPr>
            <w:tcW w:w="1138" w:type="dxa"/>
            <w:vAlign w:val="center"/>
          </w:tcPr>
          <w:p w14:paraId="60D923A6" w14:textId="77777777" w:rsidR="001B757C" w:rsidRPr="006912F6" w:rsidRDefault="001B757C" w:rsidP="000C4BE5">
            <w:pPr>
              <w:spacing w:line="276" w:lineRule="auto"/>
              <w:jc w:val="right"/>
              <w:rPr>
                <w:rFonts w:asciiTheme="majorHAnsi" w:hAnsiTheme="majorHAnsi" w:cstheme="majorHAnsi"/>
                <w:sz w:val="18"/>
              </w:rPr>
            </w:pPr>
            <w:r w:rsidRPr="006912F6">
              <w:rPr>
                <w:rFonts w:asciiTheme="majorHAnsi" w:hAnsiTheme="majorHAnsi" w:cstheme="majorHAnsi"/>
                <w:sz w:val="18"/>
              </w:rPr>
              <w:t>£ (-) 0.84 M</w:t>
            </w:r>
          </w:p>
        </w:tc>
        <w:tc>
          <w:tcPr>
            <w:tcW w:w="1655" w:type="dxa"/>
            <w:vAlign w:val="center"/>
          </w:tcPr>
          <w:p w14:paraId="053992CA"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No investment</w:t>
            </w:r>
          </w:p>
        </w:tc>
        <w:tc>
          <w:tcPr>
            <w:tcW w:w="1410" w:type="dxa"/>
          </w:tcPr>
          <w:p w14:paraId="0CC1100D" w14:textId="77777777" w:rsidR="001B757C" w:rsidRPr="006912F6" w:rsidRDefault="001B757C" w:rsidP="000C4BE5">
            <w:pPr>
              <w:spacing w:line="276" w:lineRule="auto"/>
              <w:jc w:val="center"/>
              <w:rPr>
                <w:rFonts w:asciiTheme="majorHAnsi" w:hAnsiTheme="majorHAnsi" w:cstheme="majorHAnsi"/>
                <w:sz w:val="18"/>
              </w:rPr>
            </w:pPr>
            <w:r w:rsidRPr="006912F6">
              <w:rPr>
                <w:rFonts w:asciiTheme="majorHAnsi" w:hAnsiTheme="majorHAnsi" w:cstheme="majorHAnsi"/>
                <w:sz w:val="18"/>
              </w:rPr>
              <w:t>-</w:t>
            </w:r>
          </w:p>
        </w:tc>
      </w:tr>
    </w:tbl>
    <w:p w14:paraId="1709045E" w14:textId="77777777" w:rsidR="001B757C" w:rsidRPr="006912F6" w:rsidRDefault="001B757C" w:rsidP="001B757C"/>
    <w:p w14:paraId="06C0AC66" w14:textId="28A26CB2" w:rsidR="00110C73" w:rsidRPr="006912F6" w:rsidRDefault="00110C73" w:rsidP="00550B73">
      <w:pPr>
        <w:jc w:val="both"/>
        <w:rPr>
          <w:rFonts w:cs="Times New Roman"/>
          <w:sz w:val="20"/>
          <w:szCs w:val="18"/>
        </w:rPr>
      </w:pPr>
    </w:p>
    <w:p w14:paraId="7A309F82" w14:textId="77777777" w:rsidR="00110C73" w:rsidRPr="006912F6" w:rsidRDefault="00110C73" w:rsidP="00550B73">
      <w:pPr>
        <w:jc w:val="both"/>
        <w:rPr>
          <w:rFonts w:cs="Times New Roman"/>
          <w:sz w:val="20"/>
          <w:szCs w:val="18"/>
        </w:rPr>
      </w:pPr>
    </w:p>
    <w:p w14:paraId="3F21CA47" w14:textId="77777777" w:rsidR="00045770" w:rsidRPr="006912F6" w:rsidRDefault="00045770" w:rsidP="00550B73">
      <w:pPr>
        <w:jc w:val="both"/>
        <w:rPr>
          <w:rFonts w:cs="Times New Roman"/>
          <w:sz w:val="20"/>
          <w:szCs w:val="18"/>
        </w:rPr>
      </w:pPr>
    </w:p>
    <w:p w14:paraId="0E5409B1" w14:textId="005DB900" w:rsidR="00507710" w:rsidRPr="006912F6" w:rsidRDefault="00045770" w:rsidP="00AD3E8A">
      <w:pPr>
        <w:pStyle w:val="2"/>
        <w:numPr>
          <w:ilvl w:val="1"/>
          <w:numId w:val="33"/>
        </w:numPr>
        <w:spacing w:line="480" w:lineRule="auto"/>
        <w:rPr>
          <w:color w:val="auto"/>
          <w:sz w:val="20"/>
        </w:rPr>
      </w:pPr>
      <w:r w:rsidRPr="006912F6">
        <w:rPr>
          <w:color w:val="auto"/>
          <w:sz w:val="20"/>
        </w:rPr>
        <w:lastRenderedPageBreak/>
        <w:t>Option evaluation for t</w:t>
      </w:r>
      <w:r w:rsidR="00507710" w:rsidRPr="006912F6">
        <w:rPr>
          <w:color w:val="auto"/>
          <w:sz w:val="20"/>
        </w:rPr>
        <w:t>wo-</w:t>
      </w:r>
      <w:r w:rsidR="00425A53" w:rsidRPr="006912F6">
        <w:rPr>
          <w:color w:val="auto"/>
          <w:sz w:val="20"/>
        </w:rPr>
        <w:t xml:space="preserve"> or three- </w:t>
      </w:r>
      <w:r w:rsidR="00507710" w:rsidRPr="006912F6">
        <w:rPr>
          <w:color w:val="auto"/>
          <w:sz w:val="20"/>
        </w:rPr>
        <w:t>stage adaptation options</w:t>
      </w:r>
      <w:bookmarkStart w:id="712" w:name="_Hlk506733697"/>
      <w:bookmarkStart w:id="713" w:name="_Hlk506532542"/>
    </w:p>
    <w:p w14:paraId="0AD54EAC" w14:textId="329441BA" w:rsidR="00425A53" w:rsidRPr="006912F6" w:rsidRDefault="00425A53" w:rsidP="00425A53">
      <w:pPr>
        <w:jc w:val="both"/>
        <w:rPr>
          <w:rFonts w:cs="Times New Roman"/>
          <w:sz w:val="20"/>
          <w:szCs w:val="18"/>
        </w:rPr>
      </w:pPr>
      <w:r w:rsidRPr="006912F6">
        <w:rPr>
          <w:rFonts w:cs="Times New Roman"/>
          <w:sz w:val="20"/>
          <w:szCs w:val="18"/>
        </w:rPr>
        <w:t xml:space="preserve">Based on the temporal changes in EAB, the continuation and termination values can be calculated from the end of the project year (i.e. 2100) by using the backward induction method as done in </w:t>
      </w:r>
      <w:r w:rsidR="00AD3E8A" w:rsidRPr="006912F6">
        <w:rPr>
          <w:rFonts w:cs="Times New Roman"/>
          <w:sz w:val="20"/>
          <w:szCs w:val="18"/>
        </w:rPr>
        <w:t xml:space="preserve">the calculation of </w:t>
      </w:r>
      <w:r w:rsidRPr="006912F6">
        <w:rPr>
          <w:rFonts w:cs="Times New Roman"/>
          <w:sz w:val="20"/>
          <w:szCs w:val="18"/>
        </w:rPr>
        <w:t xml:space="preserve">the single-stage adaptation. For an illustrative purpose, this supplementary document takes an example of </w:t>
      </w:r>
      <m:oMath>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3.0m→3.5m</m:t>
            </m:r>
          </m:sub>
        </m:sSub>
      </m:oMath>
      <w:r w:rsidRPr="006912F6">
        <w:rPr>
          <w:rFonts w:cs="Times New Roman"/>
          <w:sz w:val="20"/>
          <w:szCs w:val="18"/>
        </w:rPr>
        <w:t xml:space="preserve"> to calculate both the termination and continuation values as shown in Figure </w:t>
      </w:r>
      <w:r w:rsidR="00B41568" w:rsidRPr="006912F6">
        <w:rPr>
          <w:rFonts w:cs="Times New Roman"/>
          <w:sz w:val="20"/>
          <w:szCs w:val="18"/>
        </w:rPr>
        <w:t>3.3</w:t>
      </w:r>
      <w:r w:rsidRPr="006912F6">
        <w:rPr>
          <w:rFonts w:cs="Times New Roman"/>
          <w:sz w:val="20"/>
          <w:szCs w:val="18"/>
        </w:rPr>
        <w:t xml:space="preserve">. This graph </w:t>
      </w:r>
      <w:r w:rsidR="00771E5B" w:rsidRPr="006912F6">
        <w:rPr>
          <w:rFonts w:cs="Times New Roman"/>
          <w:sz w:val="20"/>
          <w:szCs w:val="18"/>
        </w:rPr>
        <w:t xml:space="preserve">enables us to know not only </w:t>
      </w:r>
      <w:r w:rsidR="009C7AB6" w:rsidRPr="006912F6">
        <w:rPr>
          <w:rFonts w:cs="Times New Roman"/>
          <w:sz w:val="20"/>
          <w:szCs w:val="18"/>
        </w:rPr>
        <w:t>the maximum option value</w:t>
      </w:r>
      <w:r w:rsidRPr="006912F6">
        <w:rPr>
          <w:rFonts w:cs="Times New Roman"/>
          <w:sz w:val="20"/>
          <w:szCs w:val="18"/>
        </w:rPr>
        <w:t xml:space="preserve"> decision-makers can</w:t>
      </w:r>
      <w:r w:rsidR="00AD3E8A" w:rsidRPr="006912F6">
        <w:rPr>
          <w:rFonts w:cs="Times New Roman"/>
          <w:sz w:val="20"/>
          <w:szCs w:val="18"/>
        </w:rPr>
        <w:t xml:space="preserve"> gain</w:t>
      </w:r>
      <w:r w:rsidR="00771E5B" w:rsidRPr="006912F6">
        <w:rPr>
          <w:rFonts w:cs="Times New Roman"/>
          <w:sz w:val="20"/>
          <w:szCs w:val="18"/>
        </w:rPr>
        <w:t xml:space="preserve"> by the </w:t>
      </w:r>
      <w:r w:rsidR="009C7AB6" w:rsidRPr="006912F6">
        <w:rPr>
          <w:rFonts w:cs="Times New Roman"/>
          <w:sz w:val="20"/>
          <w:szCs w:val="18"/>
        </w:rPr>
        <w:t>future growth option</w:t>
      </w:r>
      <w:r w:rsidR="00771E5B" w:rsidRPr="006912F6">
        <w:rPr>
          <w:rFonts w:cs="Times New Roman"/>
          <w:sz w:val="20"/>
          <w:szCs w:val="18"/>
        </w:rPr>
        <w:t xml:space="preserve">, but also </w:t>
      </w:r>
      <w:r w:rsidR="009C7AB6" w:rsidRPr="006912F6">
        <w:rPr>
          <w:rFonts w:cs="Times New Roman"/>
          <w:sz w:val="20"/>
          <w:szCs w:val="18"/>
        </w:rPr>
        <w:t>the investment time</w:t>
      </w:r>
      <w:r w:rsidR="00771E5B" w:rsidRPr="006912F6">
        <w:rPr>
          <w:rFonts w:cs="Times New Roman"/>
          <w:sz w:val="20"/>
          <w:szCs w:val="18"/>
        </w:rPr>
        <w:t xml:space="preserve"> </w:t>
      </w:r>
      <w:r w:rsidR="009C7AB6" w:rsidRPr="006912F6">
        <w:rPr>
          <w:rFonts w:cs="Times New Roman"/>
          <w:sz w:val="20"/>
          <w:szCs w:val="18"/>
        </w:rPr>
        <w:t xml:space="preserve">when </w:t>
      </w:r>
      <w:r w:rsidR="00771E5B" w:rsidRPr="006912F6">
        <w:rPr>
          <w:rFonts w:cs="Times New Roman"/>
          <w:sz w:val="20"/>
          <w:szCs w:val="18"/>
        </w:rPr>
        <w:t xml:space="preserve">the second-stage adaptation should </w:t>
      </w:r>
      <w:r w:rsidR="009C7AB6" w:rsidRPr="006912F6">
        <w:rPr>
          <w:rFonts w:cs="Times New Roman"/>
          <w:sz w:val="20"/>
          <w:szCs w:val="18"/>
        </w:rPr>
        <w:t>be made</w:t>
      </w:r>
      <w:r w:rsidR="00771E5B" w:rsidRPr="006912F6">
        <w:rPr>
          <w:rFonts w:cs="Times New Roman"/>
          <w:sz w:val="20"/>
          <w:szCs w:val="18"/>
        </w:rPr>
        <w:t xml:space="preserve">. </w:t>
      </w:r>
      <w:r w:rsidR="002977E7" w:rsidRPr="006912F6">
        <w:rPr>
          <w:rFonts w:cs="Times New Roman"/>
          <w:sz w:val="20"/>
          <w:szCs w:val="18"/>
        </w:rPr>
        <w:t>The option value of the upgraded coastal adaptation</w:t>
      </w:r>
      <w:r w:rsidR="009C7AB6" w:rsidRPr="006912F6">
        <w:rPr>
          <w:rFonts w:cs="Times New Roman"/>
          <w:sz w:val="20"/>
          <w:szCs w:val="18"/>
        </w:rPr>
        <w:t xml:space="preserve"> (i.e. </w:t>
      </w:r>
      <m:oMath>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3.0m→3.5m</m:t>
            </m:r>
          </m:sub>
        </m:sSub>
        <m:r>
          <w:rPr>
            <w:rFonts w:ascii="Cambria Math" w:hAnsi="Cambria Math" w:cs="Times New Roman"/>
            <w:sz w:val="20"/>
            <w:szCs w:val="18"/>
          </w:rPr>
          <m:t>)</m:t>
        </m:r>
      </m:oMath>
      <w:r w:rsidR="002977E7" w:rsidRPr="006912F6">
        <w:rPr>
          <w:rFonts w:cs="Times New Roman"/>
          <w:sz w:val="20"/>
          <w:szCs w:val="18"/>
        </w:rPr>
        <w:t xml:space="preserve"> adds to the option value of the previous coastal adaptation</w:t>
      </w:r>
      <w:r w:rsidR="009C7AB6" w:rsidRPr="006912F6">
        <w:rPr>
          <w:rFonts w:cs="Times New Roman"/>
          <w:sz w:val="20"/>
          <w:szCs w:val="18"/>
        </w:rPr>
        <w:t xml:space="preserve"> (i.e. </w:t>
      </w:r>
      <m:oMath>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c→3.0m</m:t>
            </m:r>
          </m:sub>
        </m:sSub>
        <m:r>
          <w:rPr>
            <w:rFonts w:ascii="Cambria Math" w:hAnsi="Cambria Math" w:cs="Times New Roman"/>
            <w:sz w:val="20"/>
            <w:szCs w:val="18"/>
          </w:rPr>
          <m:t>)</m:t>
        </m:r>
      </m:oMath>
      <w:r w:rsidR="009C7AB6" w:rsidRPr="006912F6">
        <w:rPr>
          <w:rFonts w:cs="Times New Roman"/>
          <w:sz w:val="20"/>
          <w:szCs w:val="18"/>
        </w:rPr>
        <w:t xml:space="preserve"> </w:t>
      </w:r>
      <w:r w:rsidR="002977E7" w:rsidRPr="006912F6">
        <w:rPr>
          <w:rFonts w:cs="Times New Roman"/>
          <w:sz w:val="20"/>
          <w:szCs w:val="18"/>
        </w:rPr>
        <w:t xml:space="preserve">under each SLR scenario. </w:t>
      </w:r>
      <w:r w:rsidR="005C1EEF" w:rsidRPr="006912F6">
        <w:rPr>
          <w:rFonts w:cs="Times New Roman"/>
          <w:sz w:val="20"/>
          <w:szCs w:val="18"/>
        </w:rPr>
        <w:t xml:space="preserve">The overall option values of the multiple-stage adaptations are evaluated in this way. </w:t>
      </w:r>
      <w:r w:rsidR="002977E7" w:rsidRPr="006912F6">
        <w:rPr>
          <w:rFonts w:cs="Times New Roman"/>
          <w:sz w:val="20"/>
          <w:szCs w:val="18"/>
        </w:rPr>
        <w:t xml:space="preserve"> </w:t>
      </w:r>
      <w:r w:rsidR="00771E5B" w:rsidRPr="006912F6">
        <w:rPr>
          <w:rFonts w:cs="Times New Roman"/>
          <w:sz w:val="20"/>
          <w:szCs w:val="18"/>
        </w:rPr>
        <w:t xml:space="preserve">  </w:t>
      </w:r>
      <w:r w:rsidRPr="006912F6">
        <w:rPr>
          <w:rFonts w:cs="Times New Roman"/>
          <w:sz w:val="20"/>
          <w:szCs w:val="18"/>
        </w:rPr>
        <w:t xml:space="preserve">  </w:t>
      </w:r>
    </w:p>
    <w:p w14:paraId="10DF88D3" w14:textId="22C77DA2" w:rsidR="002977E7" w:rsidRPr="006912F6" w:rsidRDefault="00D237F9" w:rsidP="00D237F9">
      <w:pPr>
        <w:jc w:val="center"/>
        <w:rPr>
          <w:rFonts w:cs="Times New Roman"/>
          <w:sz w:val="20"/>
          <w:szCs w:val="18"/>
        </w:rPr>
      </w:pPr>
      <w:r w:rsidRPr="006912F6">
        <w:rPr>
          <w:rFonts w:cs="Times New Roman"/>
          <w:noProof/>
          <w:sz w:val="20"/>
          <w:szCs w:val="18"/>
        </w:rPr>
        <w:drawing>
          <wp:inline distT="0" distB="0" distL="0" distR="0" wp14:anchorId="353EE9FA" wp14:editId="656CD7E1">
            <wp:extent cx="3969543" cy="5284314"/>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979189" cy="5297155"/>
                    </a:xfrm>
                    <a:prstGeom prst="rect">
                      <a:avLst/>
                    </a:prstGeom>
                    <a:noFill/>
                  </pic:spPr>
                </pic:pic>
              </a:graphicData>
            </a:graphic>
          </wp:inline>
        </w:drawing>
      </w:r>
    </w:p>
    <w:p w14:paraId="4ECE03D0" w14:textId="1BA2C1C9" w:rsidR="002977E7" w:rsidRPr="006912F6" w:rsidRDefault="00D237F9" w:rsidP="00425A53">
      <w:pPr>
        <w:jc w:val="both"/>
        <w:rPr>
          <w:rFonts w:cs="Times New Roman"/>
          <w:sz w:val="20"/>
          <w:szCs w:val="18"/>
        </w:rPr>
      </w:pPr>
      <w:r w:rsidRPr="006912F6">
        <w:rPr>
          <w:rFonts w:cs="Times New Roman"/>
          <w:b/>
          <w:bCs/>
          <w:sz w:val="20"/>
          <w:szCs w:val="18"/>
        </w:rPr>
        <w:t>Figure 3</w:t>
      </w:r>
      <w:r w:rsidR="00B41568" w:rsidRPr="006912F6">
        <w:rPr>
          <w:rFonts w:cs="Times New Roman"/>
          <w:b/>
          <w:bCs/>
          <w:sz w:val="20"/>
          <w:szCs w:val="18"/>
        </w:rPr>
        <w:t>.</w:t>
      </w:r>
      <w:r w:rsidRPr="006912F6">
        <w:rPr>
          <w:rFonts w:cs="Times New Roman"/>
          <w:b/>
          <w:bCs/>
          <w:sz w:val="20"/>
          <w:szCs w:val="18"/>
        </w:rPr>
        <w:t>3.</w:t>
      </w:r>
      <w:r w:rsidRPr="006912F6">
        <w:rPr>
          <w:rFonts w:cs="Times New Roman"/>
          <w:sz w:val="20"/>
          <w:szCs w:val="18"/>
        </w:rPr>
        <w:t xml:space="preserve"> The option values (i.e. termination and continuation values) and optimal investment times for the next-stage coastal adaptation (</w:t>
      </w:r>
      <m:oMath>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3.0m→3.5m</m:t>
            </m:r>
          </m:sub>
        </m:sSub>
        <m:r>
          <w:rPr>
            <w:rFonts w:ascii="Cambria Math" w:hAnsi="Cambria Math" w:cs="Times New Roman"/>
            <w:sz w:val="20"/>
            <w:szCs w:val="18"/>
          </w:rPr>
          <m:t>)</m:t>
        </m:r>
      </m:oMath>
      <w:r w:rsidRPr="006912F6">
        <w:rPr>
          <w:rFonts w:cs="Times New Roman"/>
          <w:sz w:val="20"/>
          <w:szCs w:val="18"/>
        </w:rPr>
        <w:t xml:space="preserve"> by different SLR scenarios</w:t>
      </w:r>
      <w:r w:rsidR="009C0727" w:rsidRPr="006912F6">
        <w:rPr>
          <w:rFonts w:cs="Times New Roman"/>
          <w:sz w:val="20"/>
          <w:szCs w:val="18"/>
        </w:rPr>
        <w:t xml:space="preserve"> – The investment cost is £ 38.52 M.  </w:t>
      </w:r>
    </w:p>
    <w:p w14:paraId="389692A5" w14:textId="6F973439" w:rsidR="002977E7" w:rsidRPr="006912F6" w:rsidRDefault="00D237F9" w:rsidP="00425A53">
      <w:pPr>
        <w:jc w:val="both"/>
        <w:rPr>
          <w:rFonts w:cs="Times New Roman"/>
          <w:sz w:val="20"/>
          <w:szCs w:val="18"/>
        </w:rPr>
      </w:pPr>
      <w:r w:rsidRPr="006912F6">
        <w:rPr>
          <w:rFonts w:cs="Times New Roman"/>
          <w:sz w:val="20"/>
          <w:szCs w:val="18"/>
        </w:rPr>
        <w:lastRenderedPageBreak/>
        <w:t>In H++ SLR scenario, the option value</w:t>
      </w:r>
      <w:r w:rsidR="009C0727" w:rsidRPr="006912F6">
        <w:rPr>
          <w:rFonts w:cs="Times New Roman"/>
          <w:sz w:val="20"/>
          <w:szCs w:val="18"/>
        </w:rPr>
        <w:t xml:space="preserve"> (NPV</w:t>
      </w:r>
      <w:r w:rsidR="009C0727" w:rsidRPr="006912F6">
        <w:rPr>
          <w:rFonts w:cs="Times New Roman"/>
          <w:sz w:val="20"/>
          <w:szCs w:val="18"/>
          <w:vertAlign w:val="subscript"/>
        </w:rPr>
        <w:t>opt</w:t>
      </w:r>
      <w:r w:rsidR="009C0727" w:rsidRPr="006912F6">
        <w:rPr>
          <w:rFonts w:cs="Times New Roman"/>
          <w:sz w:val="20"/>
          <w:szCs w:val="18"/>
        </w:rPr>
        <w:t>)</w:t>
      </w:r>
      <w:r w:rsidRPr="006912F6">
        <w:rPr>
          <w:rFonts w:cs="Times New Roman"/>
          <w:sz w:val="20"/>
          <w:szCs w:val="18"/>
        </w:rPr>
        <w:t xml:space="preserve"> </w:t>
      </w:r>
      <w:r w:rsidR="009C0727" w:rsidRPr="006912F6">
        <w:rPr>
          <w:rFonts w:cs="Times New Roman"/>
          <w:sz w:val="20"/>
          <w:szCs w:val="18"/>
        </w:rPr>
        <w:t xml:space="preserve">of </w:t>
      </w:r>
      <m:oMath>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3.0m→3.5m</m:t>
            </m:r>
          </m:sub>
        </m:sSub>
      </m:oMath>
      <w:r w:rsidR="009C0727" w:rsidRPr="006912F6">
        <w:rPr>
          <w:rFonts w:cs="Times New Roman"/>
          <w:sz w:val="20"/>
          <w:szCs w:val="18"/>
        </w:rPr>
        <w:t xml:space="preserve"> </w:t>
      </w:r>
      <w:r w:rsidRPr="006912F6">
        <w:rPr>
          <w:rFonts w:cs="Times New Roman"/>
          <w:sz w:val="20"/>
          <w:szCs w:val="18"/>
        </w:rPr>
        <w:t>is</w:t>
      </w:r>
      <w:r w:rsidR="009C0727" w:rsidRPr="006912F6">
        <w:rPr>
          <w:rFonts w:cs="Times New Roman"/>
          <w:sz w:val="20"/>
          <w:szCs w:val="18"/>
        </w:rPr>
        <w:t xml:space="preserve"> £ 38.2M with the investment time of 2048. Until 2048, the termination value (black line) is lower than the continuation value (red line). This implies that the adaptation needs to be awaited until the termination value exceeds the continuation value. Thus, the second-stage adaptation option should be deferred for the optimality. As the first-stage adaptation </w:t>
      </w:r>
      <m:oMath>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c→3.0m</m:t>
            </m:r>
          </m:sub>
        </m:sSub>
      </m:oMath>
      <w:r w:rsidR="009C0727" w:rsidRPr="006912F6">
        <w:rPr>
          <w:rFonts w:cs="Times New Roman"/>
          <w:sz w:val="20"/>
          <w:szCs w:val="18"/>
        </w:rPr>
        <w:t xml:space="preserve"> has been implemented in 2016 and this adaptation</w:t>
      </w:r>
      <w:r w:rsidR="00FE22B5" w:rsidRPr="006912F6">
        <w:rPr>
          <w:rFonts w:cs="Times New Roman"/>
          <w:sz w:val="20"/>
          <w:szCs w:val="18"/>
        </w:rPr>
        <w:t xml:space="preserve"> is expected to</w:t>
      </w:r>
      <w:r w:rsidR="009C0727" w:rsidRPr="006912F6">
        <w:rPr>
          <w:rFonts w:cs="Times New Roman"/>
          <w:sz w:val="20"/>
          <w:szCs w:val="18"/>
        </w:rPr>
        <w:t xml:space="preserve"> perform well </w:t>
      </w:r>
      <w:r w:rsidR="00FE22B5" w:rsidRPr="006912F6">
        <w:rPr>
          <w:rFonts w:cs="Times New Roman"/>
          <w:sz w:val="20"/>
          <w:szCs w:val="18"/>
        </w:rPr>
        <w:t xml:space="preserve">during the wait, the decision made on the second-stage coastal adaptation will give the maximum option value for the adaptation path of </w:t>
      </w:r>
      <m:oMath>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c→3.0m</m:t>
            </m:r>
          </m:sub>
        </m:sSub>
        <m:r>
          <w:rPr>
            <w:rFonts w:ascii="Cambria Math" w:hAnsi="Cambria Math" w:cs="Times New Roman"/>
            <w:sz w:val="20"/>
            <w:szCs w:val="18"/>
          </w:rPr>
          <m:t>*</m:t>
        </m:r>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3.0m→3.5m</m:t>
            </m:r>
          </m:sub>
        </m:sSub>
      </m:oMath>
      <w:r w:rsidR="009C0727" w:rsidRPr="006912F6">
        <w:rPr>
          <w:rFonts w:cs="Times New Roman"/>
          <w:sz w:val="20"/>
          <w:szCs w:val="18"/>
        </w:rPr>
        <w:t xml:space="preserve">  </w:t>
      </w:r>
      <w:r w:rsidR="00FE22B5" w:rsidRPr="006912F6">
        <w:rPr>
          <w:rFonts w:cs="Times New Roman"/>
          <w:sz w:val="20"/>
          <w:szCs w:val="18"/>
        </w:rPr>
        <w:t xml:space="preserve">under the H++ SLR scenario. </w:t>
      </w:r>
    </w:p>
    <w:p w14:paraId="7F017D7B" w14:textId="5A7ABB92" w:rsidR="00FE22B5" w:rsidRPr="006912F6" w:rsidRDefault="00FE22B5" w:rsidP="00425A53">
      <w:pPr>
        <w:jc w:val="both"/>
        <w:rPr>
          <w:rFonts w:cs="Times New Roman"/>
          <w:sz w:val="20"/>
          <w:szCs w:val="18"/>
        </w:rPr>
      </w:pPr>
      <w:r w:rsidRPr="006912F6">
        <w:rPr>
          <w:rFonts w:cs="Times New Roman"/>
          <w:sz w:val="20"/>
          <w:szCs w:val="18"/>
        </w:rPr>
        <w:t xml:space="preserve">However, </w:t>
      </w:r>
      <w:r w:rsidR="00AA0FCF" w:rsidRPr="006912F6">
        <w:rPr>
          <w:rFonts w:cs="Times New Roman"/>
          <w:sz w:val="20"/>
          <w:szCs w:val="18"/>
        </w:rPr>
        <w:t>the continuation value in High SLR scenario is so close to zero that the optimal investment time occurs around 2100. As seen in Figrue d, the termination value (black line) reaches the continuation value (red line) at 2100 in High SLR scenario. Even in milder SLR scenarios, the continuation value is below zero over the 21</w:t>
      </w:r>
      <w:r w:rsidR="00AA0FCF" w:rsidRPr="006912F6">
        <w:rPr>
          <w:rFonts w:cs="Times New Roman"/>
          <w:sz w:val="20"/>
          <w:szCs w:val="18"/>
          <w:vertAlign w:val="superscript"/>
        </w:rPr>
        <w:t>st</w:t>
      </w:r>
      <w:r w:rsidR="00AA0FCF" w:rsidRPr="006912F6">
        <w:rPr>
          <w:rFonts w:cs="Times New Roman"/>
          <w:sz w:val="20"/>
          <w:szCs w:val="18"/>
        </w:rPr>
        <w:t xml:space="preserve"> century so that the investment in the second stage adaptation will not occur. For Medium, Low and Historical trend SLR scenarios, the second-stage adaptation will not be implemented. The investment cost for the second-stage adaptation will be saved </w:t>
      </w:r>
      <w:r w:rsidR="00144D57" w:rsidRPr="006912F6">
        <w:rPr>
          <w:rFonts w:cs="Times New Roman"/>
          <w:sz w:val="20"/>
          <w:szCs w:val="18"/>
        </w:rPr>
        <w:t>for option evaluation. Thus, the investment cost and option value for the second stage adaptation becomes zero under Medium, Low and Historical SLR scenarios.</w:t>
      </w:r>
      <w:r w:rsidR="00AA0FCF" w:rsidRPr="006912F6">
        <w:rPr>
          <w:rFonts w:cs="Times New Roman"/>
          <w:sz w:val="20"/>
          <w:szCs w:val="18"/>
        </w:rPr>
        <w:t xml:space="preserve"> </w:t>
      </w:r>
      <w:r w:rsidR="001E39A4" w:rsidRPr="006912F6">
        <w:rPr>
          <w:rFonts w:cs="Times New Roman"/>
          <w:sz w:val="20"/>
          <w:szCs w:val="18"/>
        </w:rPr>
        <w:t>T</w:t>
      </w:r>
      <w:r w:rsidR="00144D57" w:rsidRPr="006912F6">
        <w:rPr>
          <w:rFonts w:cs="Times New Roman"/>
          <w:sz w:val="20"/>
          <w:szCs w:val="18"/>
        </w:rPr>
        <w:t>he overall option values</w:t>
      </w:r>
      <w:r w:rsidR="001E39A4" w:rsidRPr="006912F6">
        <w:rPr>
          <w:rFonts w:cs="Times New Roman"/>
          <w:sz w:val="20"/>
          <w:szCs w:val="18"/>
        </w:rPr>
        <w:t>,</w:t>
      </w:r>
      <w:r w:rsidR="00144D57" w:rsidRPr="006912F6">
        <w:rPr>
          <w:rFonts w:cs="Times New Roman"/>
          <w:sz w:val="20"/>
          <w:szCs w:val="18"/>
        </w:rPr>
        <w:t xml:space="preserve"> investment costs</w:t>
      </w:r>
      <w:r w:rsidR="001E39A4" w:rsidRPr="006912F6">
        <w:rPr>
          <w:rFonts w:cs="Times New Roman"/>
          <w:sz w:val="20"/>
          <w:szCs w:val="18"/>
        </w:rPr>
        <w:t xml:space="preserve"> and optimal investment times for each adaptation path</w:t>
      </w:r>
      <w:r w:rsidR="00144D57" w:rsidRPr="006912F6">
        <w:rPr>
          <w:rFonts w:cs="Times New Roman"/>
          <w:sz w:val="20"/>
          <w:szCs w:val="18"/>
        </w:rPr>
        <w:t xml:space="preserve"> are estimated under </w:t>
      </w:r>
      <w:r w:rsidR="001E39A4" w:rsidRPr="006912F6">
        <w:rPr>
          <w:rFonts w:cs="Times New Roman"/>
          <w:sz w:val="20"/>
          <w:szCs w:val="18"/>
        </w:rPr>
        <w:t xml:space="preserve">different SLR scenarios. </w:t>
      </w:r>
      <w:r w:rsidR="00144D57" w:rsidRPr="006912F6">
        <w:rPr>
          <w:rFonts w:cs="Times New Roman"/>
          <w:sz w:val="20"/>
          <w:szCs w:val="18"/>
        </w:rPr>
        <w:t xml:space="preserve"> </w:t>
      </w:r>
      <w:r w:rsidR="00AA0FCF" w:rsidRPr="006912F6">
        <w:rPr>
          <w:rFonts w:cs="Times New Roman"/>
          <w:sz w:val="20"/>
          <w:szCs w:val="18"/>
        </w:rPr>
        <w:t xml:space="preserve">   </w:t>
      </w:r>
    </w:p>
    <w:p w14:paraId="491E9578" w14:textId="77777777" w:rsidR="00771E5B" w:rsidRPr="006912F6" w:rsidRDefault="00771E5B" w:rsidP="00425A53">
      <w:pPr>
        <w:jc w:val="both"/>
        <w:rPr>
          <w:rFonts w:cs="Times New Roman"/>
          <w:sz w:val="20"/>
          <w:szCs w:val="18"/>
        </w:rPr>
      </w:pPr>
    </w:p>
    <w:p w14:paraId="4904812D" w14:textId="77777777" w:rsidR="00507710" w:rsidRPr="006912F6" w:rsidRDefault="003C7583" w:rsidP="00507710">
      <w:pPr>
        <w:pStyle w:val="a7"/>
        <w:numPr>
          <w:ilvl w:val="0"/>
          <w:numId w:val="12"/>
        </w:numPr>
        <w:spacing w:line="480" w:lineRule="auto"/>
        <w:jc w:val="both"/>
        <w:rPr>
          <w:rFonts w:cs="Times New Roman"/>
          <w:bCs/>
          <w:i/>
          <w:sz w:val="20"/>
          <w:szCs w:val="18"/>
        </w:rPr>
      </w:pPr>
      <m:oMath>
        <m:sSub>
          <m:sSubPr>
            <m:ctrlPr>
              <w:rPr>
                <w:rFonts w:ascii="Cambria Math" w:hAnsi="Cambria Math" w:cs="Times New Roman"/>
                <w:bCs/>
                <w:sz w:val="20"/>
                <w:szCs w:val="18"/>
              </w:rPr>
            </m:ctrlPr>
          </m:sSubPr>
          <m:e>
            <m:r>
              <w:rPr>
                <w:rFonts w:ascii="Cambria Math" w:hAnsi="Cambria Math" w:cs="Times New Roman"/>
                <w:sz w:val="20"/>
                <w:szCs w:val="18"/>
              </w:rPr>
              <m:t>U</m:t>
            </m:r>
          </m:e>
          <m:sub>
            <m:r>
              <w:rPr>
                <w:rFonts w:ascii="Cambria Math" w:hAnsi="Cambria Math" w:cs="Times New Roman"/>
                <w:sz w:val="20"/>
                <w:szCs w:val="18"/>
              </w:rPr>
              <m:t>c</m:t>
            </m:r>
            <m:r>
              <m:rPr>
                <m:sty m:val="p"/>
              </m:rPr>
              <w:rPr>
                <w:rFonts w:ascii="Cambria Math" w:hAnsi="Cambria Math" w:cs="Times New Roman" w:hint="eastAsia"/>
                <w:sz w:val="20"/>
                <w:szCs w:val="18"/>
              </w:rPr>
              <m:t>→</m:t>
            </m:r>
            <m:r>
              <m:rPr>
                <m:sty m:val="p"/>
              </m:rPr>
              <w:rPr>
                <w:rFonts w:ascii="Cambria Math" w:hAnsi="Cambria Math" w:cs="Times New Roman"/>
                <w:sz w:val="20"/>
                <w:szCs w:val="18"/>
              </w:rPr>
              <m:t>3.0</m:t>
            </m:r>
            <m:r>
              <w:rPr>
                <w:rFonts w:ascii="Cambria Math" w:hAnsi="Cambria Math" w:cs="Times New Roman"/>
                <w:sz w:val="20"/>
                <w:szCs w:val="18"/>
              </w:rPr>
              <m:t>m</m:t>
            </m:r>
          </m:sub>
        </m:sSub>
        <m:r>
          <m:rPr>
            <m:sty m:val="p"/>
          </m:rPr>
          <w:rPr>
            <w:rFonts w:ascii="Cambria Math" w:hAnsi="Cambria Math" w:cs="Times New Roman"/>
            <w:sz w:val="20"/>
            <w:szCs w:val="18"/>
          </w:rPr>
          <m:t>*</m:t>
        </m:r>
        <m:sSub>
          <m:sSubPr>
            <m:ctrlPr>
              <w:rPr>
                <w:rFonts w:ascii="Cambria Math" w:hAnsi="Cambria Math" w:cs="Times New Roman"/>
                <w:bCs/>
                <w:sz w:val="20"/>
                <w:szCs w:val="18"/>
              </w:rPr>
            </m:ctrlPr>
          </m:sSubPr>
          <m:e>
            <m:r>
              <w:rPr>
                <w:rFonts w:ascii="Cambria Math" w:hAnsi="Cambria Math" w:cs="Times New Roman"/>
                <w:sz w:val="20"/>
                <w:szCs w:val="18"/>
              </w:rPr>
              <m:t>U</m:t>
            </m:r>
          </m:e>
          <m:sub>
            <m:r>
              <m:rPr>
                <m:sty m:val="p"/>
              </m:rPr>
              <w:rPr>
                <w:rFonts w:ascii="Cambria Math" w:hAnsi="Cambria Math" w:cs="Times New Roman"/>
                <w:sz w:val="20"/>
                <w:szCs w:val="18"/>
              </w:rPr>
              <m:t>3.0</m:t>
            </m:r>
            <m:r>
              <w:rPr>
                <w:rFonts w:ascii="Cambria Math" w:hAnsi="Cambria Math" w:cs="Times New Roman"/>
                <w:sz w:val="20"/>
                <w:szCs w:val="18"/>
              </w:rPr>
              <m:t>m</m:t>
            </m:r>
            <m:r>
              <m:rPr>
                <m:sty m:val="p"/>
              </m:rPr>
              <w:rPr>
                <w:rFonts w:ascii="Cambria Math" w:hAnsi="Cambria Math" w:cs="Times New Roman" w:hint="eastAsia"/>
                <w:sz w:val="20"/>
                <w:szCs w:val="18"/>
              </w:rPr>
              <m:t>→</m:t>
            </m:r>
            <m:r>
              <m:rPr>
                <m:sty m:val="p"/>
              </m:rPr>
              <w:rPr>
                <w:rFonts w:ascii="Cambria Math" w:hAnsi="Cambria Math" w:cs="Times New Roman"/>
                <w:sz w:val="20"/>
                <w:szCs w:val="18"/>
              </w:rPr>
              <m:t>3.5</m:t>
            </m:r>
            <m:r>
              <w:rPr>
                <w:rFonts w:ascii="Cambria Math" w:hAnsi="Cambria Math" w:cs="Times New Roman"/>
                <w:sz w:val="20"/>
                <w:szCs w:val="18"/>
              </w:rPr>
              <m:t>m</m:t>
            </m:r>
          </m:sub>
        </m:sSub>
      </m:oMath>
    </w:p>
    <w:p w14:paraId="4CDC65D3" w14:textId="77777777" w:rsidR="00507710" w:rsidRPr="006912F6" w:rsidRDefault="00507710" w:rsidP="00D1263A">
      <w:pPr>
        <w:jc w:val="both"/>
        <w:rPr>
          <w:rFonts w:cs="Times New Roman"/>
          <w:sz w:val="20"/>
          <w:szCs w:val="18"/>
        </w:rPr>
      </w:pPr>
      <w:r w:rsidRPr="006912F6">
        <w:rPr>
          <w:rFonts w:cs="Times New Roman"/>
          <w:sz w:val="20"/>
          <w:szCs w:val="18"/>
        </w:rPr>
        <w:t>When the coastal defence is raised to 3.0 mAOD in the first stage, the optimal investment time occurs now (i.e. 2016) for all the SLR scenarios. It is because, as the initial investment cost in the first stage is the least among all the adaptation options, the investment now (NPV</w:t>
      </w:r>
      <w:r w:rsidRPr="006912F6">
        <w:rPr>
          <w:rFonts w:cs="Times New Roman"/>
          <w:sz w:val="20"/>
          <w:szCs w:val="18"/>
          <w:vertAlign w:val="subscript"/>
        </w:rPr>
        <w:t>now</w:t>
      </w:r>
      <w:r w:rsidRPr="006912F6">
        <w:rPr>
          <w:rFonts w:cs="Times New Roman"/>
          <w:sz w:val="20"/>
          <w:szCs w:val="18"/>
        </w:rPr>
        <w:t>) provides the highest option value. Thus, for the first stage adaptation (</w:t>
      </w:r>
      <m:oMath>
        <m:sSub>
          <m:sSubPr>
            <m:ctrlPr>
              <w:rPr>
                <w:rFonts w:ascii="Cambria Math" w:hAnsi="Cambria Math" w:cs="Times New Roman"/>
                <w:sz w:val="20"/>
                <w:szCs w:val="18"/>
              </w:rPr>
            </m:ctrlPr>
          </m:sSubPr>
          <m:e>
            <m:r>
              <w:rPr>
                <w:rFonts w:ascii="Cambria Math" w:hAnsi="Cambria Math" w:cs="Times New Roman"/>
                <w:sz w:val="20"/>
                <w:szCs w:val="18"/>
              </w:rPr>
              <m:t>U</m:t>
            </m:r>
          </m:e>
          <m:sub>
            <m:r>
              <w:rPr>
                <w:rFonts w:ascii="Cambria Math" w:hAnsi="Cambria Math" w:cs="Times New Roman"/>
                <w:sz w:val="20"/>
                <w:szCs w:val="18"/>
              </w:rPr>
              <m:t>c</m:t>
            </m:r>
            <m:r>
              <m:rPr>
                <m:sty m:val="p"/>
              </m:rPr>
              <w:rPr>
                <w:rFonts w:ascii="Cambria Math" w:hAnsi="Cambria Math" w:cs="Times New Roman" w:hint="eastAsia"/>
                <w:sz w:val="20"/>
                <w:szCs w:val="18"/>
              </w:rPr>
              <m:t>→</m:t>
            </m:r>
            <m:r>
              <m:rPr>
                <m:sty m:val="p"/>
              </m:rPr>
              <w:rPr>
                <w:rFonts w:ascii="Cambria Math" w:hAnsi="Cambria Math" w:cs="Times New Roman"/>
                <w:sz w:val="20"/>
                <w:szCs w:val="18"/>
              </w:rPr>
              <m:t>3.</m:t>
            </m:r>
            <m:r>
              <m:rPr>
                <m:sty m:val="p"/>
              </m:rPr>
              <w:rPr>
                <w:rFonts w:ascii="Cambria Math" w:hAnsi="Cambria Math" w:cs="Times New Roman" w:hint="eastAsia"/>
                <w:sz w:val="20"/>
                <w:szCs w:val="18"/>
              </w:rPr>
              <m:t>0</m:t>
            </m:r>
            <m:r>
              <w:rPr>
                <w:rFonts w:ascii="Cambria Math" w:hAnsi="Cambria Math" w:cs="Times New Roman" w:hint="eastAsia"/>
                <w:sz w:val="20"/>
                <w:szCs w:val="18"/>
              </w:rPr>
              <m:t>m</m:t>
            </m:r>
          </m:sub>
        </m:sSub>
      </m:oMath>
      <w:r w:rsidRPr="006912F6">
        <w:rPr>
          <w:rFonts w:cs="Times New Roman"/>
          <w:sz w:val="20"/>
          <w:szCs w:val="18"/>
        </w:rPr>
        <w:t>), the investment now is optimal (i.e. NPV</w:t>
      </w:r>
      <w:r w:rsidRPr="006912F6">
        <w:rPr>
          <w:rFonts w:cs="Times New Roman"/>
          <w:sz w:val="20"/>
          <w:szCs w:val="18"/>
          <w:vertAlign w:val="subscript"/>
        </w:rPr>
        <w:t>now</w:t>
      </w:r>
      <w:r w:rsidRPr="006912F6">
        <w:rPr>
          <w:rFonts w:cs="Times New Roman"/>
          <w:sz w:val="20"/>
          <w:szCs w:val="18"/>
        </w:rPr>
        <w:t xml:space="preserve"> = NPV</w:t>
      </w:r>
      <w:r w:rsidRPr="006912F6">
        <w:rPr>
          <w:rFonts w:cs="Times New Roman"/>
          <w:sz w:val="20"/>
          <w:szCs w:val="18"/>
          <w:vertAlign w:val="subscript"/>
        </w:rPr>
        <w:t>opt</w:t>
      </w:r>
      <w:r w:rsidRPr="006912F6">
        <w:rPr>
          <w:rFonts w:cs="Times New Roman"/>
          <w:sz w:val="20"/>
          <w:szCs w:val="18"/>
        </w:rPr>
        <w:t xml:space="preserve">). However, in the Historical SLR scenario, </w:t>
      </w:r>
      <m:oMath>
        <m:sSub>
          <m:sSubPr>
            <m:ctrlPr>
              <w:rPr>
                <w:rFonts w:ascii="Cambria Math" w:hAnsi="Cambria Math" w:cs="Times New Roman"/>
                <w:sz w:val="20"/>
                <w:szCs w:val="18"/>
              </w:rPr>
            </m:ctrlPr>
          </m:sSubPr>
          <m:e>
            <m:r>
              <w:rPr>
                <w:rFonts w:ascii="Cambria Math" w:hAnsi="Cambria Math" w:cs="Times New Roman"/>
                <w:sz w:val="20"/>
                <w:szCs w:val="18"/>
              </w:rPr>
              <m:t>U</m:t>
            </m:r>
          </m:e>
          <m:sub>
            <m:r>
              <w:rPr>
                <w:rFonts w:ascii="Cambria Math" w:hAnsi="Cambria Math" w:cs="Times New Roman"/>
                <w:sz w:val="20"/>
                <w:szCs w:val="18"/>
              </w:rPr>
              <m:t>c</m:t>
            </m:r>
            <m:r>
              <m:rPr>
                <m:sty m:val="p"/>
              </m:rPr>
              <w:rPr>
                <w:rFonts w:ascii="Cambria Math" w:hAnsi="Cambria Math" w:cs="Times New Roman" w:hint="eastAsia"/>
                <w:sz w:val="20"/>
                <w:szCs w:val="18"/>
              </w:rPr>
              <m:t>→</m:t>
            </m:r>
            <m:r>
              <m:rPr>
                <m:sty m:val="p"/>
              </m:rPr>
              <w:rPr>
                <w:rFonts w:ascii="Cambria Math" w:hAnsi="Cambria Math" w:cs="Times New Roman"/>
                <w:sz w:val="20"/>
                <w:szCs w:val="18"/>
              </w:rPr>
              <m:t>3.</m:t>
            </m:r>
            <m:r>
              <m:rPr>
                <m:sty m:val="p"/>
              </m:rPr>
              <w:rPr>
                <w:rFonts w:ascii="Cambria Math" w:hAnsi="Cambria Math" w:cs="Times New Roman" w:hint="eastAsia"/>
                <w:sz w:val="20"/>
                <w:szCs w:val="18"/>
              </w:rPr>
              <m:t>0</m:t>
            </m:r>
            <m:r>
              <w:rPr>
                <w:rFonts w:ascii="Cambria Math" w:hAnsi="Cambria Math" w:cs="Times New Roman" w:hint="eastAsia"/>
                <w:sz w:val="20"/>
                <w:szCs w:val="18"/>
              </w:rPr>
              <m:t>m</m:t>
            </m:r>
          </m:sub>
        </m:sSub>
      </m:oMath>
      <w:r w:rsidRPr="006912F6">
        <w:rPr>
          <w:rFonts w:cs="Times New Roman"/>
          <w:sz w:val="20"/>
          <w:szCs w:val="18"/>
        </w:rPr>
        <w:t xml:space="preserve"> needs to be deferred a little as this option is also excessive. In this mildest scenario, the optimal investment is to invest in 2025, 2033 and 2042 for 30%, 40% and 50% flexibility costs, respectively. </w:t>
      </w:r>
    </w:p>
    <w:p w14:paraId="24ED480B" w14:textId="5356608B" w:rsidR="00D1263A" w:rsidRPr="006912F6" w:rsidRDefault="00507710" w:rsidP="00D1263A">
      <w:pPr>
        <w:jc w:val="both"/>
        <w:rPr>
          <w:rFonts w:cs="Times New Roman"/>
          <w:sz w:val="20"/>
          <w:szCs w:val="18"/>
        </w:rPr>
      </w:pPr>
      <w:r w:rsidRPr="006912F6">
        <w:rPr>
          <w:rFonts w:cs="Times New Roman"/>
          <w:sz w:val="20"/>
          <w:szCs w:val="18"/>
        </w:rPr>
        <w:t>For the H++ SLR scenario, coastal flooding over the surge level of 3.0 mAOD are expected to occur more frequently from 2050 onwards. As sea-level rise reaches 1.75m at the end of the 21st century in this scenario, the second upgrade (</w:t>
      </w:r>
      <m:oMath>
        <m:sSub>
          <m:sSubPr>
            <m:ctrlPr>
              <w:rPr>
                <w:rFonts w:ascii="Cambria Math" w:hAnsi="Cambria Math" w:cs="Times New Roman"/>
                <w:sz w:val="20"/>
                <w:szCs w:val="18"/>
              </w:rPr>
            </m:ctrlPr>
          </m:sSubPr>
          <m:e>
            <m:r>
              <w:rPr>
                <w:rFonts w:ascii="Cambria Math" w:hAnsi="Cambria Math" w:cs="Times New Roman"/>
                <w:sz w:val="20"/>
                <w:szCs w:val="18"/>
              </w:rPr>
              <m:t>U</m:t>
            </m:r>
          </m:e>
          <m:sub>
            <m:r>
              <m:rPr>
                <m:sty m:val="p"/>
              </m:rPr>
              <w:rPr>
                <w:rFonts w:ascii="Cambria Math" w:hAnsi="Cambria Math" w:cs="Times New Roman"/>
                <w:sz w:val="20"/>
                <w:szCs w:val="18"/>
              </w:rPr>
              <m:t>3.0</m:t>
            </m:r>
            <m:r>
              <w:rPr>
                <w:rFonts w:ascii="Cambria Math" w:hAnsi="Cambria Math" w:cs="Times New Roman"/>
                <w:sz w:val="20"/>
                <w:szCs w:val="18"/>
              </w:rPr>
              <m:t>m</m:t>
            </m:r>
            <m:r>
              <m:rPr>
                <m:sty m:val="p"/>
              </m:rPr>
              <w:rPr>
                <w:rFonts w:ascii="Cambria Math" w:hAnsi="Cambria Math" w:cs="Times New Roman" w:hint="eastAsia"/>
                <w:sz w:val="20"/>
                <w:szCs w:val="18"/>
              </w:rPr>
              <m:t>→</m:t>
            </m:r>
            <m:r>
              <m:rPr>
                <m:sty m:val="p"/>
              </m:rPr>
              <w:rPr>
                <w:rFonts w:ascii="Cambria Math" w:hAnsi="Cambria Math" w:cs="Times New Roman" w:hint="eastAsia"/>
                <w:sz w:val="20"/>
                <w:szCs w:val="18"/>
              </w:rPr>
              <m:t>3.5</m:t>
            </m:r>
            <m:r>
              <w:rPr>
                <w:rFonts w:ascii="Cambria Math" w:hAnsi="Cambria Math" w:cs="Times New Roman" w:hint="eastAsia"/>
                <w:sz w:val="20"/>
                <w:szCs w:val="18"/>
              </w:rPr>
              <m:t>m</m:t>
            </m:r>
          </m:sub>
        </m:sSub>
      </m:oMath>
      <w:r w:rsidRPr="006912F6">
        <w:rPr>
          <w:rFonts w:cs="Times New Roman"/>
          <w:sz w:val="20"/>
          <w:szCs w:val="18"/>
        </w:rPr>
        <w:t>) will be needed to protect Lymington in a short period. On the contrary, for other SLR scenarios, coastal flooding over 3.0 mAOD will rarely occur during the 21st century. Thus, the adaptation measure (</w:t>
      </w:r>
      <m:oMath>
        <m:sSub>
          <m:sSubPr>
            <m:ctrlPr>
              <w:rPr>
                <w:rFonts w:ascii="Cambria Math" w:hAnsi="Cambria Math" w:cs="Times New Roman"/>
                <w:sz w:val="20"/>
                <w:szCs w:val="18"/>
              </w:rPr>
            </m:ctrlPr>
          </m:sSubPr>
          <m:e>
            <m:r>
              <w:rPr>
                <w:rFonts w:ascii="Cambria Math" w:hAnsi="Cambria Math" w:cs="Times New Roman"/>
                <w:sz w:val="20"/>
                <w:szCs w:val="18"/>
              </w:rPr>
              <m:t>U</m:t>
            </m:r>
          </m:e>
          <m:sub>
            <m:r>
              <m:rPr>
                <m:sty m:val="p"/>
              </m:rPr>
              <w:rPr>
                <w:rFonts w:ascii="Cambria Math" w:hAnsi="Cambria Math" w:cs="Times New Roman"/>
                <w:sz w:val="20"/>
                <w:szCs w:val="18"/>
              </w:rPr>
              <m:t>3.0</m:t>
            </m:r>
            <m:r>
              <w:rPr>
                <w:rFonts w:ascii="Cambria Math" w:hAnsi="Cambria Math" w:cs="Times New Roman"/>
                <w:sz w:val="20"/>
                <w:szCs w:val="18"/>
              </w:rPr>
              <m:t>m</m:t>
            </m:r>
            <m:r>
              <m:rPr>
                <m:sty m:val="p"/>
              </m:rPr>
              <w:rPr>
                <w:rFonts w:ascii="Cambria Math" w:hAnsi="Cambria Math" w:cs="Times New Roman" w:hint="eastAsia"/>
                <w:sz w:val="20"/>
                <w:szCs w:val="18"/>
              </w:rPr>
              <m:t>→</m:t>
            </m:r>
            <m:r>
              <m:rPr>
                <m:sty m:val="p"/>
              </m:rPr>
              <w:rPr>
                <w:rFonts w:ascii="Cambria Math" w:hAnsi="Cambria Math" w:cs="Times New Roman" w:hint="eastAsia"/>
                <w:sz w:val="20"/>
                <w:szCs w:val="18"/>
              </w:rPr>
              <m:t>3.5</m:t>
            </m:r>
            <m:r>
              <w:rPr>
                <w:rFonts w:ascii="Cambria Math" w:hAnsi="Cambria Math" w:cs="Times New Roman" w:hint="eastAsia"/>
                <w:sz w:val="20"/>
                <w:szCs w:val="18"/>
              </w:rPr>
              <m:t>m</m:t>
            </m:r>
          </m:sub>
        </m:sSub>
      </m:oMath>
      <w:r w:rsidRPr="006912F6">
        <w:rPr>
          <w:rFonts w:cs="Times New Roman"/>
          <w:sz w:val="20"/>
          <w:szCs w:val="18"/>
        </w:rPr>
        <w:t>) may be considered to be excessive or inefficient in these mild SLR scenarios. For instance, if the High SLR scenario realise, the implementation of the second adaptation option will just be needed at the end of 21st century (i.e. 2100). In SLR scenario milder than the High SLR scenario, the optimal investment for the second adaptation option is to do nothing. The option values and the optimal investment times of the second adaptation option (</w:t>
      </w:r>
      <m:oMath>
        <m:sSub>
          <m:sSubPr>
            <m:ctrlPr>
              <w:rPr>
                <w:rFonts w:ascii="Cambria Math" w:hAnsi="Cambria Math" w:cs="Times New Roman"/>
                <w:sz w:val="20"/>
                <w:szCs w:val="18"/>
              </w:rPr>
            </m:ctrlPr>
          </m:sSubPr>
          <m:e>
            <m:r>
              <w:rPr>
                <w:rFonts w:ascii="Cambria Math" w:hAnsi="Cambria Math" w:cs="Times New Roman"/>
                <w:sz w:val="20"/>
                <w:szCs w:val="18"/>
              </w:rPr>
              <m:t>U</m:t>
            </m:r>
          </m:e>
          <m:sub>
            <m:r>
              <m:rPr>
                <m:sty m:val="p"/>
              </m:rPr>
              <w:rPr>
                <w:rFonts w:ascii="Cambria Math" w:hAnsi="Cambria Math" w:cs="Times New Roman"/>
                <w:sz w:val="20"/>
                <w:szCs w:val="18"/>
              </w:rPr>
              <m:t>3.0</m:t>
            </m:r>
            <m:r>
              <w:rPr>
                <w:rFonts w:ascii="Cambria Math" w:hAnsi="Cambria Math" w:cs="Times New Roman"/>
                <w:sz w:val="20"/>
                <w:szCs w:val="18"/>
              </w:rPr>
              <m:t>m</m:t>
            </m:r>
            <m:r>
              <m:rPr>
                <m:sty m:val="p"/>
              </m:rPr>
              <w:rPr>
                <w:rFonts w:ascii="Cambria Math" w:hAnsi="Cambria Math" w:cs="Times New Roman" w:hint="eastAsia"/>
                <w:sz w:val="20"/>
                <w:szCs w:val="18"/>
              </w:rPr>
              <m:t>→</m:t>
            </m:r>
            <m:r>
              <m:rPr>
                <m:sty m:val="p"/>
              </m:rPr>
              <w:rPr>
                <w:rFonts w:ascii="Cambria Math" w:hAnsi="Cambria Math" w:cs="Times New Roman"/>
                <w:sz w:val="20"/>
                <w:szCs w:val="18"/>
              </w:rPr>
              <m:t>3.5</m:t>
            </m:r>
            <m:r>
              <w:rPr>
                <w:rFonts w:ascii="Cambria Math" w:hAnsi="Cambria Math" w:cs="Times New Roman" w:hint="eastAsia"/>
                <w:sz w:val="20"/>
                <w:szCs w:val="18"/>
              </w:rPr>
              <m:t>m</m:t>
            </m:r>
          </m:sub>
        </m:sSub>
      </m:oMath>
      <w:r w:rsidRPr="006912F6">
        <w:rPr>
          <w:rFonts w:cs="Times New Roman"/>
          <w:sz w:val="20"/>
          <w:szCs w:val="18"/>
        </w:rPr>
        <w:t xml:space="preserve">) have also been estimated under different SLR scenarios. The overall results of option evaluations are shown in Table </w:t>
      </w:r>
      <w:r w:rsidR="00B41568" w:rsidRPr="006912F6">
        <w:rPr>
          <w:rFonts w:cs="Times New Roman"/>
          <w:sz w:val="20"/>
          <w:szCs w:val="18"/>
        </w:rPr>
        <w:t>3.4.</w:t>
      </w:r>
      <w:r w:rsidRPr="006912F6">
        <w:rPr>
          <w:rFonts w:cs="Times New Roman"/>
          <w:sz w:val="20"/>
          <w:szCs w:val="18"/>
        </w:rPr>
        <w:t xml:space="preserve"> Generally, the faster sea levels rise, the higher the option values of adaptation options are. In addition, as the cost of flexibility increases, the overall option value decreases.   </w:t>
      </w:r>
    </w:p>
    <w:p w14:paraId="13A96658" w14:textId="40E28E50" w:rsidR="001B757C" w:rsidRPr="006912F6" w:rsidRDefault="001B757C" w:rsidP="001B757C">
      <w:pPr>
        <w:spacing w:after="240"/>
        <w:rPr>
          <w:rFonts w:cs="Times New Roman"/>
          <w:iCs/>
          <w:sz w:val="20"/>
          <w:szCs w:val="18"/>
        </w:rPr>
      </w:pPr>
      <w:bookmarkStart w:id="714" w:name="_Toc18071469"/>
      <w:r w:rsidRPr="006912F6">
        <w:rPr>
          <w:rFonts w:cs="Times New Roman"/>
          <w:b/>
          <w:bCs/>
          <w:iCs/>
          <w:sz w:val="20"/>
          <w:szCs w:val="18"/>
        </w:rPr>
        <w:lastRenderedPageBreak/>
        <w:t xml:space="preserve">Table </w:t>
      </w:r>
      <w:r w:rsidR="00B41568" w:rsidRPr="006912F6">
        <w:rPr>
          <w:rFonts w:cs="Times New Roman"/>
          <w:b/>
          <w:bCs/>
          <w:iCs/>
          <w:sz w:val="20"/>
          <w:szCs w:val="18"/>
        </w:rPr>
        <w:t>3.4</w:t>
      </w:r>
      <w:r w:rsidRPr="006912F6">
        <w:rPr>
          <w:rFonts w:cs="Times New Roman"/>
          <w:b/>
          <w:bCs/>
          <w:iCs/>
          <w:sz w:val="20"/>
          <w:szCs w:val="18"/>
        </w:rPr>
        <w:t xml:space="preserve">. </w:t>
      </w:r>
      <w:r w:rsidRPr="006912F6">
        <w:rPr>
          <w:rFonts w:cs="Times New Roman"/>
          <w:iCs/>
          <w:sz w:val="20"/>
          <w:szCs w:val="18"/>
        </w:rPr>
        <w:t>Option values (NPV</w:t>
      </w:r>
      <w:r w:rsidRPr="006912F6">
        <w:rPr>
          <w:rFonts w:cs="Times New Roman"/>
          <w:iCs/>
          <w:sz w:val="20"/>
          <w:szCs w:val="18"/>
          <w:vertAlign w:val="subscript"/>
        </w:rPr>
        <w:t>opt</w:t>
      </w:r>
      <w:r w:rsidRPr="006912F6">
        <w:rPr>
          <w:rFonts w:cs="Times New Roman"/>
          <w:iCs/>
          <w:sz w:val="20"/>
          <w:szCs w:val="18"/>
        </w:rPr>
        <w:t xml:space="preserve">) and optimal investment times (OIT) by different premium costs in different SLR scenarios for the adaptation path of </w:t>
      </w:r>
      <m:oMath>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c→3.0m</m:t>
            </m:r>
          </m:sub>
        </m:sSub>
        <m:r>
          <w:rPr>
            <w:rFonts w:ascii="Cambria Math" w:hAnsi="Cambria Math" w:cs="Times New Roman"/>
            <w:sz w:val="20"/>
            <w:szCs w:val="18"/>
          </w:rPr>
          <m:t>*</m:t>
        </m:r>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3.0m→3.5m</m:t>
            </m:r>
          </m:sub>
        </m:sSub>
      </m:oMath>
      <w:r w:rsidRPr="006912F6">
        <w:rPr>
          <w:rFonts w:cs="Times New Roman"/>
          <w:iCs/>
          <w:sz w:val="20"/>
          <w:szCs w:val="18"/>
        </w:rPr>
        <w:t>.</w:t>
      </w:r>
      <w:bookmarkEnd w:id="714"/>
    </w:p>
    <w:tbl>
      <w:tblPr>
        <w:tblStyle w:val="a3"/>
        <w:tblW w:w="0" w:type="auto"/>
        <w:tblBorders>
          <w:left w:val="none" w:sz="0" w:space="0" w:color="auto"/>
          <w:right w:val="none" w:sz="0" w:space="0" w:color="auto"/>
        </w:tblBorders>
        <w:tblLook w:val="04A0" w:firstRow="1" w:lastRow="0" w:firstColumn="1" w:lastColumn="0" w:noHBand="0" w:noVBand="1"/>
      </w:tblPr>
      <w:tblGrid>
        <w:gridCol w:w="1029"/>
        <w:gridCol w:w="1049"/>
        <w:gridCol w:w="885"/>
        <w:gridCol w:w="976"/>
        <w:gridCol w:w="742"/>
        <w:gridCol w:w="885"/>
        <w:gridCol w:w="976"/>
        <w:gridCol w:w="742"/>
        <w:gridCol w:w="885"/>
        <w:gridCol w:w="976"/>
      </w:tblGrid>
      <w:tr w:rsidR="006912F6" w:rsidRPr="006912F6" w14:paraId="6CE05F25" w14:textId="77777777" w:rsidTr="001E39A4">
        <w:trPr>
          <w:trHeight w:val="645"/>
        </w:trPr>
        <w:tc>
          <w:tcPr>
            <w:tcW w:w="1029" w:type="dxa"/>
            <w:vMerge w:val="restart"/>
            <w:vAlign w:val="center"/>
          </w:tcPr>
          <w:p w14:paraId="64C7EFCC"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SLR scenario</w:t>
            </w:r>
          </w:p>
        </w:tc>
        <w:tc>
          <w:tcPr>
            <w:tcW w:w="1049" w:type="dxa"/>
            <w:vMerge w:val="restart"/>
            <w:vAlign w:val="center"/>
          </w:tcPr>
          <w:p w14:paraId="65474DEF"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Premium scenario</w:t>
            </w:r>
          </w:p>
        </w:tc>
        <w:tc>
          <w:tcPr>
            <w:tcW w:w="2603" w:type="dxa"/>
            <w:gridSpan w:val="3"/>
            <w:vAlign w:val="center"/>
          </w:tcPr>
          <w:p w14:paraId="7B85A815"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The first phase adaptation (</w:t>
            </w:r>
            <m:oMath>
              <m:sSub>
                <m:sSubPr>
                  <m:ctrlPr>
                    <w:rPr>
                      <w:rFonts w:ascii="Cambria Math" w:hAnsi="Cambria Math" w:cstheme="majorHAnsi"/>
                      <w:i/>
                      <w:sz w:val="20"/>
                    </w:rPr>
                  </m:ctrlPr>
                </m:sSubPr>
                <m:e>
                  <m:r>
                    <w:rPr>
                      <w:rFonts w:ascii="Cambria Math" w:hAnsi="Cambria Math" w:cstheme="majorHAnsi"/>
                      <w:sz w:val="20"/>
                    </w:rPr>
                    <m:t>U</m:t>
                  </m:r>
                </m:e>
                <m:sub>
                  <m:r>
                    <w:rPr>
                      <w:rFonts w:ascii="Cambria Math" w:hAnsi="Cambria Math" w:cstheme="majorHAnsi"/>
                      <w:sz w:val="20"/>
                    </w:rPr>
                    <m:t>c→3.0m</m:t>
                  </m:r>
                </m:sub>
              </m:sSub>
              <m:r>
                <w:rPr>
                  <w:rFonts w:ascii="Cambria Math" w:hAnsi="Cambria Math" w:cstheme="majorHAnsi"/>
                  <w:sz w:val="20"/>
                </w:rPr>
                <m:t>)</m:t>
              </m:r>
            </m:oMath>
          </w:p>
        </w:tc>
        <w:tc>
          <w:tcPr>
            <w:tcW w:w="2603" w:type="dxa"/>
            <w:gridSpan w:val="3"/>
            <w:vAlign w:val="center"/>
          </w:tcPr>
          <w:p w14:paraId="518E1ACC"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The second phase adaptation (</w:t>
            </w:r>
            <m:oMath>
              <m:sSub>
                <m:sSubPr>
                  <m:ctrlPr>
                    <w:rPr>
                      <w:rFonts w:ascii="Cambria Math" w:hAnsi="Cambria Math" w:cstheme="majorHAnsi"/>
                      <w:i/>
                      <w:sz w:val="20"/>
                    </w:rPr>
                  </m:ctrlPr>
                </m:sSubPr>
                <m:e>
                  <m:r>
                    <w:rPr>
                      <w:rFonts w:ascii="Cambria Math" w:hAnsi="Cambria Math" w:cstheme="majorHAnsi"/>
                      <w:sz w:val="20"/>
                    </w:rPr>
                    <m:t>U</m:t>
                  </m:r>
                </m:e>
                <m:sub>
                  <m:r>
                    <w:rPr>
                      <w:rFonts w:ascii="Cambria Math" w:hAnsi="Cambria Math" w:cstheme="majorHAnsi"/>
                      <w:sz w:val="20"/>
                    </w:rPr>
                    <m:t>3.0m→3.5m</m:t>
                  </m:r>
                </m:sub>
              </m:sSub>
              <m:r>
                <w:rPr>
                  <w:rFonts w:ascii="Cambria Math" w:hAnsi="Cambria Math" w:cstheme="majorHAnsi"/>
                  <w:sz w:val="20"/>
                </w:rPr>
                <m:t>)</m:t>
              </m:r>
            </m:oMath>
          </w:p>
        </w:tc>
        <w:tc>
          <w:tcPr>
            <w:tcW w:w="1861" w:type="dxa"/>
            <w:gridSpan w:val="2"/>
            <w:vAlign w:val="center"/>
          </w:tcPr>
          <w:p w14:paraId="53A6F6F9"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The overall adaptations</w:t>
            </w:r>
          </w:p>
          <w:p w14:paraId="475D99C1"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w:t>
            </w:r>
            <m:oMath>
              <m:sSub>
                <m:sSubPr>
                  <m:ctrlPr>
                    <w:rPr>
                      <w:rFonts w:ascii="Cambria Math" w:hAnsi="Cambria Math" w:cstheme="majorHAnsi"/>
                      <w:i/>
                      <w:sz w:val="16"/>
                    </w:rPr>
                  </m:ctrlPr>
                </m:sSubPr>
                <m:e>
                  <m:r>
                    <w:rPr>
                      <w:rFonts w:ascii="Cambria Math" w:hAnsi="Cambria Math" w:cstheme="majorHAnsi"/>
                      <w:sz w:val="16"/>
                    </w:rPr>
                    <m:t>U</m:t>
                  </m:r>
                </m:e>
                <m:sub>
                  <m:r>
                    <w:rPr>
                      <w:rFonts w:ascii="Cambria Math" w:hAnsi="Cambria Math" w:cstheme="majorHAnsi"/>
                      <w:sz w:val="16"/>
                    </w:rPr>
                    <m:t>c→3.0m</m:t>
                  </m:r>
                </m:sub>
              </m:sSub>
              <m:r>
                <w:rPr>
                  <w:rFonts w:ascii="Cambria Math" w:hAnsi="Cambria Math" w:cstheme="majorHAnsi"/>
                  <w:sz w:val="16"/>
                </w:rPr>
                <m:t>*</m:t>
              </m:r>
              <m:sSub>
                <m:sSubPr>
                  <m:ctrlPr>
                    <w:rPr>
                      <w:rFonts w:ascii="Cambria Math" w:hAnsi="Cambria Math" w:cstheme="majorHAnsi"/>
                      <w:i/>
                      <w:sz w:val="16"/>
                    </w:rPr>
                  </m:ctrlPr>
                </m:sSubPr>
                <m:e>
                  <m:r>
                    <w:rPr>
                      <w:rFonts w:ascii="Cambria Math" w:hAnsi="Cambria Math" w:cstheme="majorHAnsi"/>
                      <w:sz w:val="16"/>
                    </w:rPr>
                    <m:t>U</m:t>
                  </m:r>
                </m:e>
                <m:sub>
                  <m:r>
                    <w:rPr>
                      <w:rFonts w:ascii="Cambria Math" w:hAnsi="Cambria Math" w:cstheme="majorHAnsi"/>
                      <w:sz w:val="16"/>
                    </w:rPr>
                    <m:t>3.0m→3.5m</m:t>
                  </m:r>
                </m:sub>
              </m:sSub>
              <m:r>
                <w:rPr>
                  <w:rFonts w:ascii="Cambria Math" w:hAnsi="Cambria Math" w:cstheme="majorHAnsi"/>
                  <w:sz w:val="16"/>
                </w:rPr>
                <m:t>)</m:t>
              </m:r>
            </m:oMath>
          </w:p>
        </w:tc>
      </w:tr>
      <w:tr w:rsidR="006912F6" w:rsidRPr="006912F6" w14:paraId="1D245BBE" w14:textId="77777777" w:rsidTr="001E39A4">
        <w:trPr>
          <w:trHeight w:val="622"/>
        </w:trPr>
        <w:tc>
          <w:tcPr>
            <w:tcW w:w="1029" w:type="dxa"/>
            <w:vMerge/>
            <w:vAlign w:val="center"/>
          </w:tcPr>
          <w:p w14:paraId="76AF0D11" w14:textId="77777777" w:rsidR="001B757C" w:rsidRPr="006912F6" w:rsidRDefault="001B757C" w:rsidP="000C4BE5">
            <w:pPr>
              <w:spacing w:before="0" w:line="240" w:lineRule="auto"/>
              <w:rPr>
                <w:rFonts w:asciiTheme="majorHAnsi" w:hAnsiTheme="majorHAnsi" w:cstheme="majorHAnsi"/>
                <w:sz w:val="20"/>
              </w:rPr>
            </w:pPr>
          </w:p>
        </w:tc>
        <w:tc>
          <w:tcPr>
            <w:tcW w:w="1049" w:type="dxa"/>
            <w:vMerge/>
            <w:tcBorders>
              <w:bottom w:val="single" w:sz="4" w:space="0" w:color="auto"/>
            </w:tcBorders>
            <w:vAlign w:val="center"/>
          </w:tcPr>
          <w:p w14:paraId="3495447B" w14:textId="77777777" w:rsidR="001B757C" w:rsidRPr="006912F6" w:rsidRDefault="001B757C" w:rsidP="000C4BE5">
            <w:pPr>
              <w:spacing w:before="0" w:line="240" w:lineRule="auto"/>
              <w:rPr>
                <w:rFonts w:asciiTheme="majorHAnsi" w:hAnsiTheme="majorHAnsi" w:cstheme="majorHAnsi"/>
                <w:sz w:val="20"/>
              </w:rPr>
            </w:pPr>
          </w:p>
        </w:tc>
        <w:tc>
          <w:tcPr>
            <w:tcW w:w="885" w:type="dxa"/>
            <w:tcBorders>
              <w:bottom w:val="single" w:sz="4" w:space="0" w:color="auto"/>
            </w:tcBorders>
            <w:vAlign w:val="center"/>
          </w:tcPr>
          <w:p w14:paraId="5D70ED89" w14:textId="3C96F50B" w:rsidR="001B757C" w:rsidRPr="006912F6" w:rsidRDefault="001B757C" w:rsidP="000C4BE5">
            <w:pPr>
              <w:spacing w:before="0" w:line="240" w:lineRule="auto"/>
              <w:jc w:val="center"/>
              <w:rPr>
                <w:rFonts w:asciiTheme="majorHAnsi" w:hAnsiTheme="majorHAnsi" w:cstheme="majorHAnsi"/>
                <w:i/>
                <w:sz w:val="20"/>
              </w:rPr>
            </w:pPr>
            <w:r w:rsidRPr="006912F6">
              <w:rPr>
                <w:rFonts w:asciiTheme="majorHAnsi" w:hAnsiTheme="majorHAnsi" w:cstheme="majorHAnsi"/>
                <w:i/>
                <w:sz w:val="20"/>
              </w:rPr>
              <w:t>I+</w:t>
            </w:r>
            <w:r w:rsidR="006912F6" w:rsidRPr="006912F6">
              <w:rPr>
                <w:rFonts w:asciiTheme="majorHAnsi" w:hAnsiTheme="majorHAnsi" w:cstheme="majorHAnsi"/>
                <w:i/>
                <w:sz w:val="20"/>
              </w:rPr>
              <w:t>I</w:t>
            </w:r>
            <w:r w:rsidR="006912F6" w:rsidRPr="006912F6">
              <w:rPr>
                <w:rFonts w:asciiTheme="majorHAnsi" w:hAnsiTheme="majorHAnsi" w:cstheme="majorHAnsi"/>
                <w:i/>
                <w:sz w:val="20"/>
                <w:vertAlign w:val="subscript"/>
              </w:rPr>
              <w:t>f</w:t>
            </w:r>
          </w:p>
          <w:p w14:paraId="50558C37"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 M)</w:t>
            </w:r>
          </w:p>
        </w:tc>
        <w:tc>
          <w:tcPr>
            <w:tcW w:w="976" w:type="dxa"/>
            <w:tcBorders>
              <w:bottom w:val="single" w:sz="4" w:space="0" w:color="auto"/>
            </w:tcBorders>
            <w:vAlign w:val="center"/>
          </w:tcPr>
          <w:p w14:paraId="7CF105F3"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NPV</w:t>
            </w:r>
            <w:r w:rsidRPr="006912F6">
              <w:rPr>
                <w:rFonts w:asciiTheme="majorHAnsi" w:hAnsiTheme="majorHAnsi" w:cstheme="majorHAnsi"/>
                <w:sz w:val="20"/>
                <w:vertAlign w:val="subscript"/>
              </w:rPr>
              <w:t>OPT</w:t>
            </w:r>
            <w:r w:rsidRPr="006912F6">
              <w:rPr>
                <w:rFonts w:asciiTheme="majorHAnsi" w:hAnsiTheme="majorHAnsi" w:cstheme="majorHAnsi"/>
                <w:sz w:val="20"/>
              </w:rPr>
              <w:t xml:space="preserve"> </w:t>
            </w:r>
          </w:p>
          <w:p w14:paraId="457E31AA"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 M)</w:t>
            </w:r>
          </w:p>
        </w:tc>
        <w:tc>
          <w:tcPr>
            <w:tcW w:w="741" w:type="dxa"/>
            <w:tcBorders>
              <w:bottom w:val="single" w:sz="4" w:space="0" w:color="auto"/>
            </w:tcBorders>
            <w:vAlign w:val="center"/>
          </w:tcPr>
          <w:p w14:paraId="1544204D"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OIT</w:t>
            </w:r>
          </w:p>
        </w:tc>
        <w:tc>
          <w:tcPr>
            <w:tcW w:w="885" w:type="dxa"/>
            <w:tcBorders>
              <w:bottom w:val="single" w:sz="4" w:space="0" w:color="auto"/>
            </w:tcBorders>
            <w:vAlign w:val="center"/>
          </w:tcPr>
          <w:p w14:paraId="7197DFC5" w14:textId="64F1F796" w:rsidR="001B757C" w:rsidRPr="006912F6" w:rsidRDefault="001B757C" w:rsidP="000C4BE5">
            <w:pPr>
              <w:spacing w:before="0" w:line="240" w:lineRule="auto"/>
              <w:jc w:val="center"/>
              <w:rPr>
                <w:rFonts w:asciiTheme="majorHAnsi" w:hAnsiTheme="majorHAnsi" w:cstheme="majorHAnsi"/>
                <w:i/>
                <w:sz w:val="20"/>
              </w:rPr>
            </w:pPr>
            <w:r w:rsidRPr="006912F6">
              <w:rPr>
                <w:rFonts w:asciiTheme="majorHAnsi" w:hAnsiTheme="majorHAnsi" w:cstheme="majorHAnsi"/>
                <w:i/>
                <w:sz w:val="20"/>
              </w:rPr>
              <w:t>I+</w:t>
            </w:r>
            <w:r w:rsidR="006912F6" w:rsidRPr="006912F6">
              <w:rPr>
                <w:rFonts w:asciiTheme="majorHAnsi" w:hAnsiTheme="majorHAnsi" w:cstheme="majorHAnsi"/>
                <w:i/>
                <w:sz w:val="20"/>
              </w:rPr>
              <w:t>I</w:t>
            </w:r>
            <w:r w:rsidR="006912F6" w:rsidRPr="006912F6">
              <w:rPr>
                <w:rFonts w:asciiTheme="majorHAnsi" w:hAnsiTheme="majorHAnsi" w:cstheme="majorHAnsi"/>
                <w:i/>
                <w:sz w:val="20"/>
                <w:vertAlign w:val="subscript"/>
              </w:rPr>
              <w:t>f</w:t>
            </w:r>
          </w:p>
          <w:p w14:paraId="6A707270"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 M)</w:t>
            </w:r>
          </w:p>
        </w:tc>
        <w:tc>
          <w:tcPr>
            <w:tcW w:w="976" w:type="dxa"/>
            <w:tcBorders>
              <w:bottom w:val="single" w:sz="4" w:space="0" w:color="auto"/>
            </w:tcBorders>
            <w:vAlign w:val="center"/>
          </w:tcPr>
          <w:p w14:paraId="76E325D9"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NPV</w:t>
            </w:r>
            <w:r w:rsidRPr="006912F6">
              <w:rPr>
                <w:rFonts w:asciiTheme="majorHAnsi" w:hAnsiTheme="majorHAnsi" w:cstheme="majorHAnsi"/>
                <w:sz w:val="20"/>
                <w:vertAlign w:val="subscript"/>
              </w:rPr>
              <w:t>OPT</w:t>
            </w:r>
            <w:r w:rsidRPr="006912F6">
              <w:rPr>
                <w:rFonts w:asciiTheme="majorHAnsi" w:hAnsiTheme="majorHAnsi" w:cstheme="majorHAnsi"/>
                <w:sz w:val="20"/>
              </w:rPr>
              <w:t xml:space="preserve"> </w:t>
            </w:r>
          </w:p>
          <w:p w14:paraId="032FFD02"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 M)</w:t>
            </w:r>
          </w:p>
        </w:tc>
        <w:tc>
          <w:tcPr>
            <w:tcW w:w="741" w:type="dxa"/>
            <w:tcBorders>
              <w:bottom w:val="single" w:sz="4" w:space="0" w:color="auto"/>
            </w:tcBorders>
            <w:vAlign w:val="center"/>
          </w:tcPr>
          <w:p w14:paraId="6309DCEA"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OIT</w:t>
            </w:r>
          </w:p>
        </w:tc>
        <w:tc>
          <w:tcPr>
            <w:tcW w:w="885" w:type="dxa"/>
            <w:tcBorders>
              <w:bottom w:val="single" w:sz="4" w:space="0" w:color="auto"/>
            </w:tcBorders>
            <w:vAlign w:val="center"/>
          </w:tcPr>
          <w:p w14:paraId="0C6CD6C7" w14:textId="68071025" w:rsidR="001B757C" w:rsidRPr="006912F6" w:rsidRDefault="001B757C" w:rsidP="000C4BE5">
            <w:pPr>
              <w:spacing w:before="0" w:line="240" w:lineRule="auto"/>
              <w:jc w:val="center"/>
              <w:rPr>
                <w:rFonts w:asciiTheme="majorHAnsi" w:hAnsiTheme="majorHAnsi" w:cstheme="majorHAnsi"/>
                <w:i/>
                <w:sz w:val="20"/>
              </w:rPr>
            </w:pPr>
            <w:r w:rsidRPr="006912F6">
              <w:rPr>
                <w:rFonts w:asciiTheme="majorHAnsi" w:hAnsiTheme="majorHAnsi" w:cstheme="majorHAnsi"/>
                <w:i/>
                <w:sz w:val="20"/>
              </w:rPr>
              <w:t>I+</w:t>
            </w:r>
            <w:r w:rsidR="006912F6" w:rsidRPr="006912F6">
              <w:rPr>
                <w:rFonts w:asciiTheme="majorHAnsi" w:hAnsiTheme="majorHAnsi" w:cstheme="majorHAnsi"/>
                <w:i/>
                <w:sz w:val="20"/>
              </w:rPr>
              <w:t>I</w:t>
            </w:r>
            <w:r w:rsidR="006912F6" w:rsidRPr="006912F6">
              <w:rPr>
                <w:rFonts w:asciiTheme="majorHAnsi" w:hAnsiTheme="majorHAnsi" w:cstheme="majorHAnsi"/>
                <w:i/>
                <w:sz w:val="20"/>
                <w:vertAlign w:val="subscript"/>
              </w:rPr>
              <w:t>f</w:t>
            </w:r>
          </w:p>
          <w:p w14:paraId="46784BA3"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 M)</w:t>
            </w:r>
          </w:p>
        </w:tc>
        <w:tc>
          <w:tcPr>
            <w:tcW w:w="976" w:type="dxa"/>
            <w:tcBorders>
              <w:bottom w:val="single" w:sz="4" w:space="0" w:color="auto"/>
            </w:tcBorders>
            <w:vAlign w:val="center"/>
          </w:tcPr>
          <w:p w14:paraId="0FFA80AA"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NPV</w:t>
            </w:r>
            <w:r w:rsidRPr="006912F6">
              <w:rPr>
                <w:rFonts w:asciiTheme="majorHAnsi" w:hAnsiTheme="majorHAnsi" w:cstheme="majorHAnsi"/>
                <w:sz w:val="20"/>
                <w:vertAlign w:val="subscript"/>
              </w:rPr>
              <w:t>OPT</w:t>
            </w:r>
            <w:r w:rsidRPr="006912F6">
              <w:rPr>
                <w:rFonts w:asciiTheme="majorHAnsi" w:hAnsiTheme="majorHAnsi" w:cstheme="majorHAnsi"/>
                <w:sz w:val="20"/>
              </w:rPr>
              <w:t xml:space="preserve"> </w:t>
            </w:r>
          </w:p>
          <w:p w14:paraId="1826A212"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 M)</w:t>
            </w:r>
          </w:p>
        </w:tc>
      </w:tr>
      <w:tr w:rsidR="006912F6" w:rsidRPr="006912F6" w14:paraId="273D946C" w14:textId="77777777" w:rsidTr="001E39A4">
        <w:trPr>
          <w:trHeight w:val="358"/>
        </w:trPr>
        <w:tc>
          <w:tcPr>
            <w:tcW w:w="1029" w:type="dxa"/>
            <w:vMerge w:val="restart"/>
            <w:vAlign w:val="center"/>
          </w:tcPr>
          <w:p w14:paraId="16E03B4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H++</w:t>
            </w:r>
          </w:p>
        </w:tc>
        <w:tc>
          <w:tcPr>
            <w:tcW w:w="1049" w:type="dxa"/>
            <w:tcBorders>
              <w:bottom w:val="nil"/>
            </w:tcBorders>
            <w:vAlign w:val="center"/>
          </w:tcPr>
          <w:p w14:paraId="334ECF9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885" w:type="dxa"/>
            <w:tcBorders>
              <w:bottom w:val="nil"/>
            </w:tcBorders>
            <w:vAlign w:val="center"/>
          </w:tcPr>
          <w:p w14:paraId="717D86B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38.52</w:t>
            </w:r>
          </w:p>
        </w:tc>
        <w:tc>
          <w:tcPr>
            <w:tcW w:w="976" w:type="dxa"/>
            <w:tcBorders>
              <w:bottom w:val="nil"/>
            </w:tcBorders>
            <w:vAlign w:val="center"/>
          </w:tcPr>
          <w:p w14:paraId="77A5747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118.4</w:t>
            </w:r>
          </w:p>
        </w:tc>
        <w:tc>
          <w:tcPr>
            <w:tcW w:w="741" w:type="dxa"/>
            <w:tcBorders>
              <w:bottom w:val="nil"/>
            </w:tcBorders>
            <w:vAlign w:val="center"/>
          </w:tcPr>
          <w:p w14:paraId="2172DC2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5" w:type="dxa"/>
            <w:tcBorders>
              <w:bottom w:val="nil"/>
            </w:tcBorders>
            <w:vAlign w:val="center"/>
          </w:tcPr>
          <w:p w14:paraId="4E7521B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38.52</w:t>
            </w:r>
          </w:p>
        </w:tc>
        <w:tc>
          <w:tcPr>
            <w:tcW w:w="976" w:type="dxa"/>
            <w:tcBorders>
              <w:bottom w:val="nil"/>
            </w:tcBorders>
            <w:vAlign w:val="center"/>
          </w:tcPr>
          <w:p w14:paraId="7E9BE10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38.2</w:t>
            </w:r>
          </w:p>
        </w:tc>
        <w:tc>
          <w:tcPr>
            <w:tcW w:w="741" w:type="dxa"/>
            <w:tcBorders>
              <w:bottom w:val="nil"/>
            </w:tcBorders>
            <w:vAlign w:val="center"/>
          </w:tcPr>
          <w:p w14:paraId="3D15423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2048</w:t>
            </w:r>
          </w:p>
        </w:tc>
        <w:tc>
          <w:tcPr>
            <w:tcW w:w="885" w:type="dxa"/>
            <w:tcBorders>
              <w:bottom w:val="nil"/>
            </w:tcBorders>
            <w:vAlign w:val="center"/>
          </w:tcPr>
          <w:p w14:paraId="739AA62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77.04</w:t>
            </w:r>
          </w:p>
        </w:tc>
        <w:tc>
          <w:tcPr>
            <w:tcW w:w="976" w:type="dxa"/>
            <w:tcBorders>
              <w:bottom w:val="nil"/>
            </w:tcBorders>
            <w:vAlign w:val="center"/>
          </w:tcPr>
          <w:p w14:paraId="0EE5F6E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156.6</w:t>
            </w:r>
          </w:p>
        </w:tc>
      </w:tr>
      <w:tr w:rsidR="006912F6" w:rsidRPr="006912F6" w14:paraId="24E81840" w14:textId="77777777" w:rsidTr="001E39A4">
        <w:trPr>
          <w:trHeight w:val="358"/>
        </w:trPr>
        <w:tc>
          <w:tcPr>
            <w:tcW w:w="1029" w:type="dxa"/>
            <w:vMerge/>
          </w:tcPr>
          <w:p w14:paraId="0073B5ED" w14:textId="77777777" w:rsidR="001B757C" w:rsidRPr="006912F6" w:rsidRDefault="001B757C" w:rsidP="000C4BE5">
            <w:pPr>
              <w:spacing w:before="0" w:line="240" w:lineRule="auto"/>
              <w:rPr>
                <w:rFonts w:asciiTheme="majorHAnsi" w:hAnsiTheme="majorHAnsi" w:cstheme="majorHAnsi"/>
                <w:sz w:val="18"/>
                <w:szCs w:val="20"/>
              </w:rPr>
            </w:pPr>
          </w:p>
        </w:tc>
        <w:tc>
          <w:tcPr>
            <w:tcW w:w="1049" w:type="dxa"/>
            <w:tcBorders>
              <w:top w:val="nil"/>
              <w:bottom w:val="nil"/>
            </w:tcBorders>
            <w:vAlign w:val="center"/>
          </w:tcPr>
          <w:p w14:paraId="7216EB8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885" w:type="dxa"/>
            <w:tcBorders>
              <w:top w:val="nil"/>
              <w:bottom w:val="nil"/>
            </w:tcBorders>
            <w:vAlign w:val="center"/>
          </w:tcPr>
          <w:p w14:paraId="7456C79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41.73</w:t>
            </w:r>
          </w:p>
        </w:tc>
        <w:tc>
          <w:tcPr>
            <w:tcW w:w="976" w:type="dxa"/>
            <w:tcBorders>
              <w:top w:val="nil"/>
              <w:bottom w:val="nil"/>
            </w:tcBorders>
            <w:vAlign w:val="center"/>
          </w:tcPr>
          <w:p w14:paraId="403351D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115.3</w:t>
            </w:r>
          </w:p>
        </w:tc>
        <w:tc>
          <w:tcPr>
            <w:tcW w:w="741" w:type="dxa"/>
            <w:tcBorders>
              <w:top w:val="nil"/>
              <w:bottom w:val="nil"/>
            </w:tcBorders>
            <w:vAlign w:val="center"/>
          </w:tcPr>
          <w:p w14:paraId="0BD8175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5" w:type="dxa"/>
            <w:tcBorders>
              <w:top w:val="nil"/>
              <w:bottom w:val="nil"/>
            </w:tcBorders>
            <w:vAlign w:val="center"/>
          </w:tcPr>
          <w:p w14:paraId="7C04948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41.73</w:t>
            </w:r>
          </w:p>
        </w:tc>
        <w:tc>
          <w:tcPr>
            <w:tcW w:w="976" w:type="dxa"/>
            <w:tcBorders>
              <w:top w:val="nil"/>
              <w:bottom w:val="nil"/>
            </w:tcBorders>
            <w:vAlign w:val="center"/>
          </w:tcPr>
          <w:p w14:paraId="56C3387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37.6</w:t>
            </w:r>
          </w:p>
        </w:tc>
        <w:tc>
          <w:tcPr>
            <w:tcW w:w="741" w:type="dxa"/>
            <w:tcBorders>
              <w:top w:val="nil"/>
              <w:bottom w:val="nil"/>
            </w:tcBorders>
            <w:vAlign w:val="center"/>
          </w:tcPr>
          <w:p w14:paraId="1A5B02D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2049</w:t>
            </w:r>
          </w:p>
        </w:tc>
        <w:tc>
          <w:tcPr>
            <w:tcW w:w="885" w:type="dxa"/>
            <w:tcBorders>
              <w:top w:val="nil"/>
              <w:bottom w:val="nil"/>
            </w:tcBorders>
            <w:vAlign w:val="center"/>
          </w:tcPr>
          <w:p w14:paraId="30885CA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83.46</w:t>
            </w:r>
          </w:p>
        </w:tc>
        <w:tc>
          <w:tcPr>
            <w:tcW w:w="976" w:type="dxa"/>
            <w:tcBorders>
              <w:top w:val="nil"/>
              <w:bottom w:val="nil"/>
            </w:tcBorders>
            <w:vAlign w:val="center"/>
          </w:tcPr>
          <w:p w14:paraId="7A5834A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152.9</w:t>
            </w:r>
          </w:p>
        </w:tc>
      </w:tr>
      <w:tr w:rsidR="006912F6" w:rsidRPr="006912F6" w14:paraId="7FD23441" w14:textId="77777777" w:rsidTr="001E39A4">
        <w:trPr>
          <w:trHeight w:val="358"/>
        </w:trPr>
        <w:tc>
          <w:tcPr>
            <w:tcW w:w="1029" w:type="dxa"/>
            <w:vMerge/>
          </w:tcPr>
          <w:p w14:paraId="76F70A37" w14:textId="77777777" w:rsidR="001B757C" w:rsidRPr="006912F6" w:rsidRDefault="001B757C" w:rsidP="000C4BE5">
            <w:pPr>
              <w:spacing w:before="0" w:line="240" w:lineRule="auto"/>
              <w:rPr>
                <w:rFonts w:asciiTheme="majorHAnsi" w:hAnsiTheme="majorHAnsi" w:cstheme="majorHAnsi"/>
                <w:sz w:val="18"/>
                <w:szCs w:val="20"/>
              </w:rPr>
            </w:pPr>
          </w:p>
        </w:tc>
        <w:tc>
          <w:tcPr>
            <w:tcW w:w="1049" w:type="dxa"/>
            <w:tcBorders>
              <w:top w:val="nil"/>
              <w:bottom w:val="nil"/>
            </w:tcBorders>
            <w:vAlign w:val="center"/>
          </w:tcPr>
          <w:p w14:paraId="7E4FDE4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885" w:type="dxa"/>
            <w:tcBorders>
              <w:top w:val="nil"/>
              <w:bottom w:val="nil"/>
            </w:tcBorders>
            <w:vAlign w:val="center"/>
          </w:tcPr>
          <w:p w14:paraId="5910602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44.94</w:t>
            </w:r>
          </w:p>
        </w:tc>
        <w:tc>
          <w:tcPr>
            <w:tcW w:w="976" w:type="dxa"/>
            <w:tcBorders>
              <w:top w:val="nil"/>
              <w:bottom w:val="nil"/>
            </w:tcBorders>
            <w:vAlign w:val="center"/>
          </w:tcPr>
          <w:p w14:paraId="6444AD5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112.0</w:t>
            </w:r>
          </w:p>
        </w:tc>
        <w:tc>
          <w:tcPr>
            <w:tcW w:w="741" w:type="dxa"/>
            <w:tcBorders>
              <w:top w:val="nil"/>
              <w:bottom w:val="nil"/>
            </w:tcBorders>
            <w:vAlign w:val="center"/>
          </w:tcPr>
          <w:p w14:paraId="39BA331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5" w:type="dxa"/>
            <w:tcBorders>
              <w:top w:val="nil"/>
              <w:bottom w:val="nil"/>
            </w:tcBorders>
            <w:vAlign w:val="center"/>
          </w:tcPr>
          <w:p w14:paraId="3747402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44.94</w:t>
            </w:r>
          </w:p>
        </w:tc>
        <w:tc>
          <w:tcPr>
            <w:tcW w:w="976" w:type="dxa"/>
            <w:tcBorders>
              <w:top w:val="nil"/>
              <w:bottom w:val="nil"/>
            </w:tcBorders>
            <w:vAlign w:val="center"/>
          </w:tcPr>
          <w:p w14:paraId="43747AC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36.6</w:t>
            </w:r>
          </w:p>
        </w:tc>
        <w:tc>
          <w:tcPr>
            <w:tcW w:w="741" w:type="dxa"/>
            <w:tcBorders>
              <w:top w:val="nil"/>
              <w:bottom w:val="nil"/>
            </w:tcBorders>
            <w:vAlign w:val="center"/>
          </w:tcPr>
          <w:p w14:paraId="6697B62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2051</w:t>
            </w:r>
          </w:p>
        </w:tc>
        <w:tc>
          <w:tcPr>
            <w:tcW w:w="885" w:type="dxa"/>
            <w:tcBorders>
              <w:top w:val="nil"/>
              <w:bottom w:val="nil"/>
            </w:tcBorders>
            <w:vAlign w:val="center"/>
          </w:tcPr>
          <w:p w14:paraId="6533F26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89.88</w:t>
            </w:r>
          </w:p>
        </w:tc>
        <w:tc>
          <w:tcPr>
            <w:tcW w:w="976" w:type="dxa"/>
            <w:tcBorders>
              <w:top w:val="nil"/>
              <w:bottom w:val="nil"/>
            </w:tcBorders>
            <w:vAlign w:val="center"/>
          </w:tcPr>
          <w:p w14:paraId="14E7130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148.6</w:t>
            </w:r>
          </w:p>
        </w:tc>
      </w:tr>
      <w:tr w:rsidR="006912F6" w:rsidRPr="006912F6" w14:paraId="7C89D5AC" w14:textId="77777777" w:rsidTr="001E39A4">
        <w:trPr>
          <w:trHeight w:val="358"/>
        </w:trPr>
        <w:tc>
          <w:tcPr>
            <w:tcW w:w="1029" w:type="dxa"/>
            <w:vMerge/>
          </w:tcPr>
          <w:p w14:paraId="3E2BA8B6" w14:textId="77777777" w:rsidR="001B757C" w:rsidRPr="006912F6" w:rsidRDefault="001B757C" w:rsidP="000C4BE5">
            <w:pPr>
              <w:spacing w:before="0" w:line="240" w:lineRule="auto"/>
              <w:rPr>
                <w:rFonts w:asciiTheme="majorHAnsi" w:hAnsiTheme="majorHAnsi" w:cstheme="majorHAnsi"/>
                <w:sz w:val="18"/>
                <w:szCs w:val="20"/>
              </w:rPr>
            </w:pPr>
          </w:p>
        </w:tc>
        <w:tc>
          <w:tcPr>
            <w:tcW w:w="1049" w:type="dxa"/>
            <w:tcBorders>
              <w:top w:val="nil"/>
              <w:bottom w:val="single" w:sz="4" w:space="0" w:color="auto"/>
            </w:tcBorders>
            <w:vAlign w:val="center"/>
          </w:tcPr>
          <w:p w14:paraId="2BF414C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885" w:type="dxa"/>
            <w:tcBorders>
              <w:top w:val="nil"/>
              <w:bottom w:val="single" w:sz="4" w:space="0" w:color="auto"/>
            </w:tcBorders>
            <w:vAlign w:val="center"/>
          </w:tcPr>
          <w:p w14:paraId="4DCDD4C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48.16</w:t>
            </w:r>
          </w:p>
        </w:tc>
        <w:tc>
          <w:tcPr>
            <w:tcW w:w="976" w:type="dxa"/>
            <w:tcBorders>
              <w:top w:val="nil"/>
              <w:bottom w:val="single" w:sz="4" w:space="0" w:color="auto"/>
            </w:tcBorders>
            <w:vAlign w:val="center"/>
          </w:tcPr>
          <w:p w14:paraId="6C68E93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108.8</w:t>
            </w:r>
          </w:p>
        </w:tc>
        <w:tc>
          <w:tcPr>
            <w:tcW w:w="741" w:type="dxa"/>
            <w:tcBorders>
              <w:top w:val="nil"/>
              <w:bottom w:val="single" w:sz="4" w:space="0" w:color="auto"/>
            </w:tcBorders>
            <w:vAlign w:val="center"/>
          </w:tcPr>
          <w:p w14:paraId="0FC8377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5" w:type="dxa"/>
            <w:tcBorders>
              <w:top w:val="nil"/>
              <w:bottom w:val="single" w:sz="4" w:space="0" w:color="auto"/>
            </w:tcBorders>
            <w:vAlign w:val="center"/>
          </w:tcPr>
          <w:p w14:paraId="0F05224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48.16</w:t>
            </w:r>
          </w:p>
        </w:tc>
        <w:tc>
          <w:tcPr>
            <w:tcW w:w="976" w:type="dxa"/>
            <w:tcBorders>
              <w:top w:val="nil"/>
              <w:bottom w:val="single" w:sz="4" w:space="0" w:color="auto"/>
            </w:tcBorders>
            <w:vAlign w:val="center"/>
          </w:tcPr>
          <w:p w14:paraId="52FFF6C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35.7</w:t>
            </w:r>
          </w:p>
        </w:tc>
        <w:tc>
          <w:tcPr>
            <w:tcW w:w="741" w:type="dxa"/>
            <w:tcBorders>
              <w:top w:val="nil"/>
              <w:bottom w:val="single" w:sz="4" w:space="0" w:color="auto"/>
            </w:tcBorders>
            <w:vAlign w:val="center"/>
          </w:tcPr>
          <w:p w14:paraId="40AAD7A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2052</w:t>
            </w:r>
          </w:p>
        </w:tc>
        <w:tc>
          <w:tcPr>
            <w:tcW w:w="885" w:type="dxa"/>
            <w:tcBorders>
              <w:top w:val="nil"/>
              <w:bottom w:val="single" w:sz="4" w:space="0" w:color="auto"/>
            </w:tcBorders>
            <w:vAlign w:val="center"/>
          </w:tcPr>
          <w:p w14:paraId="751F233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96.33</w:t>
            </w:r>
          </w:p>
        </w:tc>
        <w:tc>
          <w:tcPr>
            <w:tcW w:w="976" w:type="dxa"/>
            <w:tcBorders>
              <w:top w:val="nil"/>
              <w:bottom w:val="single" w:sz="4" w:space="0" w:color="auto"/>
            </w:tcBorders>
            <w:vAlign w:val="center"/>
          </w:tcPr>
          <w:p w14:paraId="4695D14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144.5</w:t>
            </w:r>
          </w:p>
        </w:tc>
      </w:tr>
      <w:tr w:rsidR="006912F6" w:rsidRPr="006912F6" w14:paraId="6E7B4F72" w14:textId="77777777" w:rsidTr="001E39A4">
        <w:trPr>
          <w:trHeight w:val="358"/>
        </w:trPr>
        <w:tc>
          <w:tcPr>
            <w:tcW w:w="1029" w:type="dxa"/>
            <w:vMerge w:val="restart"/>
            <w:vAlign w:val="center"/>
          </w:tcPr>
          <w:p w14:paraId="4ED71B9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H1</w:t>
            </w:r>
          </w:p>
        </w:tc>
        <w:tc>
          <w:tcPr>
            <w:tcW w:w="1049" w:type="dxa"/>
            <w:tcBorders>
              <w:bottom w:val="nil"/>
            </w:tcBorders>
            <w:vAlign w:val="center"/>
          </w:tcPr>
          <w:p w14:paraId="2D4B919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885" w:type="dxa"/>
            <w:tcBorders>
              <w:bottom w:val="nil"/>
            </w:tcBorders>
            <w:vAlign w:val="center"/>
          </w:tcPr>
          <w:p w14:paraId="471CCD6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38.52</w:t>
            </w:r>
          </w:p>
        </w:tc>
        <w:tc>
          <w:tcPr>
            <w:tcW w:w="976" w:type="dxa"/>
            <w:tcBorders>
              <w:bottom w:val="nil"/>
            </w:tcBorders>
            <w:vAlign w:val="center"/>
          </w:tcPr>
          <w:p w14:paraId="3700E52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125.0</w:t>
            </w:r>
          </w:p>
        </w:tc>
        <w:tc>
          <w:tcPr>
            <w:tcW w:w="741" w:type="dxa"/>
            <w:tcBorders>
              <w:bottom w:val="nil"/>
            </w:tcBorders>
            <w:vAlign w:val="center"/>
          </w:tcPr>
          <w:p w14:paraId="3864B36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5" w:type="dxa"/>
            <w:tcBorders>
              <w:bottom w:val="nil"/>
            </w:tcBorders>
            <w:vAlign w:val="center"/>
          </w:tcPr>
          <w:p w14:paraId="0A428DB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38.52</w:t>
            </w:r>
          </w:p>
        </w:tc>
        <w:tc>
          <w:tcPr>
            <w:tcW w:w="976" w:type="dxa"/>
            <w:tcBorders>
              <w:bottom w:val="nil"/>
            </w:tcBorders>
            <w:vAlign w:val="center"/>
          </w:tcPr>
          <w:p w14:paraId="3644956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26.3</w:t>
            </w:r>
          </w:p>
        </w:tc>
        <w:tc>
          <w:tcPr>
            <w:tcW w:w="741" w:type="dxa"/>
            <w:tcBorders>
              <w:bottom w:val="nil"/>
            </w:tcBorders>
            <w:vAlign w:val="center"/>
          </w:tcPr>
          <w:p w14:paraId="00237E8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2060</w:t>
            </w:r>
          </w:p>
        </w:tc>
        <w:tc>
          <w:tcPr>
            <w:tcW w:w="885" w:type="dxa"/>
            <w:tcBorders>
              <w:bottom w:val="nil"/>
            </w:tcBorders>
            <w:vAlign w:val="center"/>
          </w:tcPr>
          <w:p w14:paraId="6CBA0E8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77.04</w:t>
            </w:r>
          </w:p>
        </w:tc>
        <w:tc>
          <w:tcPr>
            <w:tcW w:w="976" w:type="dxa"/>
            <w:tcBorders>
              <w:bottom w:val="nil"/>
            </w:tcBorders>
            <w:vAlign w:val="center"/>
          </w:tcPr>
          <w:p w14:paraId="38CB68A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151.3</w:t>
            </w:r>
          </w:p>
        </w:tc>
      </w:tr>
      <w:tr w:rsidR="006912F6" w:rsidRPr="006912F6" w14:paraId="578C6BA8" w14:textId="77777777" w:rsidTr="001E39A4">
        <w:trPr>
          <w:trHeight w:val="358"/>
        </w:trPr>
        <w:tc>
          <w:tcPr>
            <w:tcW w:w="1029" w:type="dxa"/>
            <w:vMerge/>
          </w:tcPr>
          <w:p w14:paraId="0BA3B4C4" w14:textId="77777777" w:rsidR="001B757C" w:rsidRPr="006912F6" w:rsidRDefault="001B757C" w:rsidP="000C4BE5">
            <w:pPr>
              <w:spacing w:before="0" w:line="240" w:lineRule="auto"/>
              <w:rPr>
                <w:rFonts w:asciiTheme="majorHAnsi" w:hAnsiTheme="majorHAnsi" w:cstheme="majorHAnsi"/>
                <w:sz w:val="18"/>
                <w:szCs w:val="20"/>
              </w:rPr>
            </w:pPr>
          </w:p>
        </w:tc>
        <w:tc>
          <w:tcPr>
            <w:tcW w:w="1049" w:type="dxa"/>
            <w:tcBorders>
              <w:top w:val="nil"/>
              <w:bottom w:val="nil"/>
            </w:tcBorders>
            <w:vAlign w:val="center"/>
          </w:tcPr>
          <w:p w14:paraId="225A697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885" w:type="dxa"/>
            <w:tcBorders>
              <w:top w:val="nil"/>
              <w:bottom w:val="nil"/>
            </w:tcBorders>
            <w:vAlign w:val="center"/>
          </w:tcPr>
          <w:p w14:paraId="018DD9A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41.73</w:t>
            </w:r>
          </w:p>
        </w:tc>
        <w:tc>
          <w:tcPr>
            <w:tcW w:w="976" w:type="dxa"/>
            <w:tcBorders>
              <w:top w:val="nil"/>
              <w:bottom w:val="nil"/>
            </w:tcBorders>
            <w:vAlign w:val="center"/>
          </w:tcPr>
          <w:p w14:paraId="39E364B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121.8</w:t>
            </w:r>
          </w:p>
        </w:tc>
        <w:tc>
          <w:tcPr>
            <w:tcW w:w="741" w:type="dxa"/>
            <w:tcBorders>
              <w:top w:val="nil"/>
              <w:bottom w:val="nil"/>
            </w:tcBorders>
            <w:vAlign w:val="center"/>
          </w:tcPr>
          <w:p w14:paraId="639C595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5" w:type="dxa"/>
            <w:tcBorders>
              <w:top w:val="nil"/>
              <w:bottom w:val="nil"/>
            </w:tcBorders>
            <w:vAlign w:val="center"/>
          </w:tcPr>
          <w:p w14:paraId="001B2F4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41.73</w:t>
            </w:r>
          </w:p>
        </w:tc>
        <w:tc>
          <w:tcPr>
            <w:tcW w:w="976" w:type="dxa"/>
            <w:tcBorders>
              <w:top w:val="nil"/>
              <w:bottom w:val="nil"/>
            </w:tcBorders>
            <w:vAlign w:val="center"/>
          </w:tcPr>
          <w:p w14:paraId="2DF168C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25.6</w:t>
            </w:r>
          </w:p>
        </w:tc>
        <w:tc>
          <w:tcPr>
            <w:tcW w:w="741" w:type="dxa"/>
            <w:tcBorders>
              <w:top w:val="nil"/>
              <w:bottom w:val="nil"/>
            </w:tcBorders>
            <w:vAlign w:val="center"/>
          </w:tcPr>
          <w:p w14:paraId="214D2D5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2062</w:t>
            </w:r>
          </w:p>
        </w:tc>
        <w:tc>
          <w:tcPr>
            <w:tcW w:w="885" w:type="dxa"/>
            <w:tcBorders>
              <w:top w:val="nil"/>
              <w:bottom w:val="nil"/>
            </w:tcBorders>
            <w:vAlign w:val="center"/>
          </w:tcPr>
          <w:p w14:paraId="28D0B6A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83.46</w:t>
            </w:r>
          </w:p>
        </w:tc>
        <w:tc>
          <w:tcPr>
            <w:tcW w:w="976" w:type="dxa"/>
            <w:tcBorders>
              <w:top w:val="nil"/>
              <w:bottom w:val="nil"/>
            </w:tcBorders>
            <w:vAlign w:val="center"/>
          </w:tcPr>
          <w:p w14:paraId="69FADA0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147.4</w:t>
            </w:r>
          </w:p>
        </w:tc>
      </w:tr>
      <w:tr w:rsidR="006912F6" w:rsidRPr="006912F6" w14:paraId="45433625" w14:textId="77777777" w:rsidTr="001E39A4">
        <w:trPr>
          <w:trHeight w:val="358"/>
        </w:trPr>
        <w:tc>
          <w:tcPr>
            <w:tcW w:w="1029" w:type="dxa"/>
            <w:vMerge/>
          </w:tcPr>
          <w:p w14:paraId="410AEFB0" w14:textId="77777777" w:rsidR="001B757C" w:rsidRPr="006912F6" w:rsidRDefault="001B757C" w:rsidP="000C4BE5">
            <w:pPr>
              <w:spacing w:before="0" w:line="240" w:lineRule="auto"/>
              <w:rPr>
                <w:rFonts w:asciiTheme="majorHAnsi" w:hAnsiTheme="majorHAnsi" w:cstheme="majorHAnsi"/>
                <w:sz w:val="18"/>
                <w:szCs w:val="20"/>
              </w:rPr>
            </w:pPr>
          </w:p>
        </w:tc>
        <w:tc>
          <w:tcPr>
            <w:tcW w:w="1049" w:type="dxa"/>
            <w:tcBorders>
              <w:top w:val="nil"/>
              <w:bottom w:val="nil"/>
            </w:tcBorders>
            <w:vAlign w:val="center"/>
          </w:tcPr>
          <w:p w14:paraId="5B99FCB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885" w:type="dxa"/>
            <w:tcBorders>
              <w:top w:val="nil"/>
              <w:bottom w:val="nil"/>
            </w:tcBorders>
            <w:vAlign w:val="center"/>
          </w:tcPr>
          <w:p w14:paraId="3D81DBA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44.94</w:t>
            </w:r>
          </w:p>
        </w:tc>
        <w:tc>
          <w:tcPr>
            <w:tcW w:w="976" w:type="dxa"/>
            <w:tcBorders>
              <w:top w:val="nil"/>
              <w:bottom w:val="nil"/>
            </w:tcBorders>
            <w:vAlign w:val="center"/>
          </w:tcPr>
          <w:p w14:paraId="39D3FB8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118.6</w:t>
            </w:r>
          </w:p>
        </w:tc>
        <w:tc>
          <w:tcPr>
            <w:tcW w:w="741" w:type="dxa"/>
            <w:tcBorders>
              <w:top w:val="nil"/>
              <w:bottom w:val="nil"/>
            </w:tcBorders>
            <w:vAlign w:val="center"/>
          </w:tcPr>
          <w:p w14:paraId="1464E81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5" w:type="dxa"/>
            <w:tcBorders>
              <w:top w:val="nil"/>
              <w:bottom w:val="nil"/>
            </w:tcBorders>
            <w:vAlign w:val="center"/>
          </w:tcPr>
          <w:p w14:paraId="7E28C53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44.94</w:t>
            </w:r>
          </w:p>
        </w:tc>
        <w:tc>
          <w:tcPr>
            <w:tcW w:w="976" w:type="dxa"/>
            <w:tcBorders>
              <w:top w:val="nil"/>
              <w:bottom w:val="nil"/>
            </w:tcBorders>
            <w:vAlign w:val="center"/>
          </w:tcPr>
          <w:p w14:paraId="7D21FF4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24.9</w:t>
            </w:r>
          </w:p>
        </w:tc>
        <w:tc>
          <w:tcPr>
            <w:tcW w:w="741" w:type="dxa"/>
            <w:tcBorders>
              <w:top w:val="nil"/>
              <w:bottom w:val="nil"/>
            </w:tcBorders>
            <w:vAlign w:val="center"/>
          </w:tcPr>
          <w:p w14:paraId="1C4A56A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2064</w:t>
            </w:r>
          </w:p>
        </w:tc>
        <w:tc>
          <w:tcPr>
            <w:tcW w:w="885" w:type="dxa"/>
            <w:tcBorders>
              <w:top w:val="nil"/>
              <w:bottom w:val="nil"/>
            </w:tcBorders>
            <w:vAlign w:val="center"/>
          </w:tcPr>
          <w:p w14:paraId="6AEA154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89.88</w:t>
            </w:r>
          </w:p>
        </w:tc>
        <w:tc>
          <w:tcPr>
            <w:tcW w:w="976" w:type="dxa"/>
            <w:tcBorders>
              <w:top w:val="nil"/>
              <w:bottom w:val="nil"/>
            </w:tcBorders>
            <w:vAlign w:val="center"/>
          </w:tcPr>
          <w:p w14:paraId="313E7CB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143.5</w:t>
            </w:r>
          </w:p>
        </w:tc>
      </w:tr>
      <w:tr w:rsidR="006912F6" w:rsidRPr="006912F6" w14:paraId="4FC33FE9" w14:textId="77777777" w:rsidTr="001E39A4">
        <w:trPr>
          <w:trHeight w:val="358"/>
        </w:trPr>
        <w:tc>
          <w:tcPr>
            <w:tcW w:w="1029" w:type="dxa"/>
            <w:vMerge/>
          </w:tcPr>
          <w:p w14:paraId="3E811616" w14:textId="77777777" w:rsidR="001B757C" w:rsidRPr="006912F6" w:rsidRDefault="001B757C" w:rsidP="000C4BE5">
            <w:pPr>
              <w:spacing w:before="0" w:line="240" w:lineRule="auto"/>
              <w:rPr>
                <w:rFonts w:asciiTheme="majorHAnsi" w:hAnsiTheme="majorHAnsi" w:cstheme="majorHAnsi"/>
                <w:sz w:val="18"/>
                <w:szCs w:val="20"/>
              </w:rPr>
            </w:pPr>
          </w:p>
        </w:tc>
        <w:tc>
          <w:tcPr>
            <w:tcW w:w="1049" w:type="dxa"/>
            <w:tcBorders>
              <w:top w:val="nil"/>
              <w:bottom w:val="single" w:sz="4" w:space="0" w:color="auto"/>
            </w:tcBorders>
            <w:vAlign w:val="center"/>
          </w:tcPr>
          <w:p w14:paraId="7939325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885" w:type="dxa"/>
            <w:tcBorders>
              <w:top w:val="nil"/>
              <w:bottom w:val="single" w:sz="4" w:space="0" w:color="auto"/>
            </w:tcBorders>
            <w:vAlign w:val="center"/>
          </w:tcPr>
          <w:p w14:paraId="224E1AF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48.16</w:t>
            </w:r>
          </w:p>
        </w:tc>
        <w:tc>
          <w:tcPr>
            <w:tcW w:w="976" w:type="dxa"/>
            <w:tcBorders>
              <w:top w:val="nil"/>
              <w:bottom w:val="single" w:sz="4" w:space="0" w:color="auto"/>
            </w:tcBorders>
            <w:vAlign w:val="center"/>
          </w:tcPr>
          <w:p w14:paraId="296D2EE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115.4</w:t>
            </w:r>
          </w:p>
        </w:tc>
        <w:tc>
          <w:tcPr>
            <w:tcW w:w="741" w:type="dxa"/>
            <w:tcBorders>
              <w:top w:val="nil"/>
              <w:bottom w:val="single" w:sz="4" w:space="0" w:color="auto"/>
            </w:tcBorders>
            <w:vAlign w:val="center"/>
          </w:tcPr>
          <w:p w14:paraId="5CAD1E1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5" w:type="dxa"/>
            <w:tcBorders>
              <w:top w:val="nil"/>
              <w:bottom w:val="single" w:sz="4" w:space="0" w:color="auto"/>
            </w:tcBorders>
            <w:vAlign w:val="center"/>
          </w:tcPr>
          <w:p w14:paraId="7868782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48.16</w:t>
            </w:r>
          </w:p>
        </w:tc>
        <w:tc>
          <w:tcPr>
            <w:tcW w:w="976" w:type="dxa"/>
            <w:tcBorders>
              <w:top w:val="nil"/>
              <w:bottom w:val="single" w:sz="4" w:space="0" w:color="auto"/>
            </w:tcBorders>
            <w:vAlign w:val="center"/>
          </w:tcPr>
          <w:p w14:paraId="5AD7410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24.3</w:t>
            </w:r>
          </w:p>
        </w:tc>
        <w:tc>
          <w:tcPr>
            <w:tcW w:w="741" w:type="dxa"/>
            <w:tcBorders>
              <w:top w:val="nil"/>
              <w:bottom w:val="single" w:sz="4" w:space="0" w:color="auto"/>
            </w:tcBorders>
            <w:vAlign w:val="center"/>
          </w:tcPr>
          <w:p w14:paraId="0EE7360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2065</w:t>
            </w:r>
          </w:p>
        </w:tc>
        <w:tc>
          <w:tcPr>
            <w:tcW w:w="885" w:type="dxa"/>
            <w:tcBorders>
              <w:top w:val="nil"/>
              <w:bottom w:val="single" w:sz="4" w:space="0" w:color="auto"/>
            </w:tcBorders>
            <w:vAlign w:val="center"/>
          </w:tcPr>
          <w:p w14:paraId="570FE3F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96.33</w:t>
            </w:r>
          </w:p>
        </w:tc>
        <w:tc>
          <w:tcPr>
            <w:tcW w:w="976" w:type="dxa"/>
            <w:tcBorders>
              <w:top w:val="nil"/>
              <w:bottom w:val="single" w:sz="4" w:space="0" w:color="auto"/>
            </w:tcBorders>
            <w:vAlign w:val="center"/>
          </w:tcPr>
          <w:p w14:paraId="17A92A2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139.7</w:t>
            </w:r>
          </w:p>
        </w:tc>
      </w:tr>
      <w:tr w:rsidR="006912F6" w:rsidRPr="006912F6" w14:paraId="3DA82408" w14:textId="77777777" w:rsidTr="001E39A4">
        <w:trPr>
          <w:trHeight w:val="358"/>
        </w:trPr>
        <w:tc>
          <w:tcPr>
            <w:tcW w:w="1029" w:type="dxa"/>
            <w:vMerge w:val="restart"/>
            <w:vAlign w:val="center"/>
          </w:tcPr>
          <w:p w14:paraId="10779F6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High</w:t>
            </w:r>
          </w:p>
        </w:tc>
        <w:tc>
          <w:tcPr>
            <w:tcW w:w="1049" w:type="dxa"/>
            <w:tcBorders>
              <w:bottom w:val="nil"/>
            </w:tcBorders>
            <w:vAlign w:val="center"/>
          </w:tcPr>
          <w:p w14:paraId="582A9FA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885" w:type="dxa"/>
            <w:tcBorders>
              <w:bottom w:val="nil"/>
            </w:tcBorders>
            <w:vAlign w:val="center"/>
          </w:tcPr>
          <w:p w14:paraId="763CED0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38.52</w:t>
            </w:r>
          </w:p>
        </w:tc>
        <w:tc>
          <w:tcPr>
            <w:tcW w:w="976" w:type="dxa"/>
            <w:tcBorders>
              <w:bottom w:val="nil"/>
            </w:tcBorders>
            <w:vAlign w:val="center"/>
          </w:tcPr>
          <w:p w14:paraId="1A5E8B2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60.6</w:t>
            </w:r>
          </w:p>
        </w:tc>
        <w:tc>
          <w:tcPr>
            <w:tcW w:w="741" w:type="dxa"/>
            <w:tcBorders>
              <w:bottom w:val="nil"/>
            </w:tcBorders>
            <w:vAlign w:val="center"/>
          </w:tcPr>
          <w:p w14:paraId="380C131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5" w:type="dxa"/>
            <w:tcBorders>
              <w:bottom w:val="nil"/>
            </w:tcBorders>
            <w:vAlign w:val="center"/>
          </w:tcPr>
          <w:p w14:paraId="4244D8E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38.52</w:t>
            </w:r>
          </w:p>
        </w:tc>
        <w:tc>
          <w:tcPr>
            <w:tcW w:w="976" w:type="dxa"/>
            <w:tcBorders>
              <w:bottom w:val="nil"/>
            </w:tcBorders>
            <w:vAlign w:val="center"/>
          </w:tcPr>
          <w:p w14:paraId="664212A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0.92</w:t>
            </w:r>
          </w:p>
        </w:tc>
        <w:tc>
          <w:tcPr>
            <w:tcW w:w="741" w:type="dxa"/>
            <w:tcBorders>
              <w:bottom w:val="nil"/>
            </w:tcBorders>
            <w:vAlign w:val="center"/>
          </w:tcPr>
          <w:p w14:paraId="0FD33AE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2100</w:t>
            </w:r>
          </w:p>
        </w:tc>
        <w:tc>
          <w:tcPr>
            <w:tcW w:w="885" w:type="dxa"/>
            <w:tcBorders>
              <w:bottom w:val="nil"/>
            </w:tcBorders>
            <w:vAlign w:val="center"/>
          </w:tcPr>
          <w:p w14:paraId="3586C73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77.04</w:t>
            </w:r>
          </w:p>
        </w:tc>
        <w:tc>
          <w:tcPr>
            <w:tcW w:w="976" w:type="dxa"/>
            <w:tcBorders>
              <w:bottom w:val="nil"/>
            </w:tcBorders>
            <w:vAlign w:val="center"/>
          </w:tcPr>
          <w:p w14:paraId="0E9678E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61.52</w:t>
            </w:r>
          </w:p>
        </w:tc>
      </w:tr>
      <w:tr w:rsidR="006912F6" w:rsidRPr="006912F6" w14:paraId="4D8E230F" w14:textId="77777777" w:rsidTr="001E39A4">
        <w:trPr>
          <w:trHeight w:val="358"/>
        </w:trPr>
        <w:tc>
          <w:tcPr>
            <w:tcW w:w="1029" w:type="dxa"/>
            <w:vMerge/>
          </w:tcPr>
          <w:p w14:paraId="767B2E01" w14:textId="77777777" w:rsidR="001B757C" w:rsidRPr="006912F6" w:rsidRDefault="001B757C" w:rsidP="000C4BE5">
            <w:pPr>
              <w:spacing w:before="0" w:line="240" w:lineRule="auto"/>
              <w:rPr>
                <w:rFonts w:asciiTheme="majorHAnsi" w:hAnsiTheme="majorHAnsi" w:cstheme="majorHAnsi"/>
                <w:sz w:val="18"/>
                <w:szCs w:val="20"/>
              </w:rPr>
            </w:pPr>
          </w:p>
        </w:tc>
        <w:tc>
          <w:tcPr>
            <w:tcW w:w="1049" w:type="dxa"/>
            <w:tcBorders>
              <w:top w:val="nil"/>
              <w:bottom w:val="nil"/>
            </w:tcBorders>
            <w:vAlign w:val="center"/>
          </w:tcPr>
          <w:p w14:paraId="6EA0DA2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885" w:type="dxa"/>
            <w:tcBorders>
              <w:top w:val="nil"/>
              <w:bottom w:val="nil"/>
            </w:tcBorders>
            <w:vAlign w:val="center"/>
          </w:tcPr>
          <w:p w14:paraId="2BDE7C9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41.73</w:t>
            </w:r>
          </w:p>
        </w:tc>
        <w:tc>
          <w:tcPr>
            <w:tcW w:w="976" w:type="dxa"/>
            <w:tcBorders>
              <w:top w:val="nil"/>
              <w:bottom w:val="nil"/>
            </w:tcBorders>
            <w:vAlign w:val="center"/>
          </w:tcPr>
          <w:p w14:paraId="115D6B2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57.4</w:t>
            </w:r>
          </w:p>
        </w:tc>
        <w:tc>
          <w:tcPr>
            <w:tcW w:w="741" w:type="dxa"/>
            <w:tcBorders>
              <w:top w:val="nil"/>
              <w:bottom w:val="nil"/>
            </w:tcBorders>
            <w:vAlign w:val="center"/>
          </w:tcPr>
          <w:p w14:paraId="47E515B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5" w:type="dxa"/>
            <w:tcBorders>
              <w:top w:val="nil"/>
              <w:bottom w:val="nil"/>
            </w:tcBorders>
            <w:vAlign w:val="center"/>
          </w:tcPr>
          <w:p w14:paraId="3A7E865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41.73</w:t>
            </w:r>
          </w:p>
        </w:tc>
        <w:tc>
          <w:tcPr>
            <w:tcW w:w="976" w:type="dxa"/>
            <w:tcBorders>
              <w:top w:val="nil"/>
              <w:bottom w:val="nil"/>
            </w:tcBorders>
            <w:vAlign w:val="center"/>
          </w:tcPr>
          <w:p w14:paraId="22F56DD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0.81</w:t>
            </w:r>
          </w:p>
        </w:tc>
        <w:tc>
          <w:tcPr>
            <w:tcW w:w="741" w:type="dxa"/>
            <w:tcBorders>
              <w:top w:val="nil"/>
              <w:bottom w:val="nil"/>
            </w:tcBorders>
            <w:vAlign w:val="center"/>
          </w:tcPr>
          <w:p w14:paraId="3C8277B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2100</w:t>
            </w:r>
          </w:p>
        </w:tc>
        <w:tc>
          <w:tcPr>
            <w:tcW w:w="885" w:type="dxa"/>
            <w:tcBorders>
              <w:top w:val="nil"/>
              <w:bottom w:val="nil"/>
            </w:tcBorders>
            <w:vAlign w:val="center"/>
          </w:tcPr>
          <w:p w14:paraId="743869D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83.46</w:t>
            </w:r>
          </w:p>
        </w:tc>
        <w:tc>
          <w:tcPr>
            <w:tcW w:w="976" w:type="dxa"/>
            <w:tcBorders>
              <w:top w:val="nil"/>
              <w:bottom w:val="nil"/>
            </w:tcBorders>
            <w:vAlign w:val="center"/>
          </w:tcPr>
          <w:p w14:paraId="3340872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58.21</w:t>
            </w:r>
          </w:p>
        </w:tc>
      </w:tr>
      <w:tr w:rsidR="006912F6" w:rsidRPr="006912F6" w14:paraId="2F7A6FE9" w14:textId="77777777" w:rsidTr="001E39A4">
        <w:trPr>
          <w:trHeight w:val="358"/>
        </w:trPr>
        <w:tc>
          <w:tcPr>
            <w:tcW w:w="1029" w:type="dxa"/>
            <w:vMerge/>
          </w:tcPr>
          <w:p w14:paraId="60E3D741" w14:textId="77777777" w:rsidR="001B757C" w:rsidRPr="006912F6" w:rsidRDefault="001B757C" w:rsidP="000C4BE5">
            <w:pPr>
              <w:spacing w:before="0" w:line="240" w:lineRule="auto"/>
              <w:rPr>
                <w:rFonts w:asciiTheme="majorHAnsi" w:hAnsiTheme="majorHAnsi" w:cstheme="majorHAnsi"/>
                <w:sz w:val="18"/>
                <w:szCs w:val="20"/>
              </w:rPr>
            </w:pPr>
          </w:p>
        </w:tc>
        <w:tc>
          <w:tcPr>
            <w:tcW w:w="1049" w:type="dxa"/>
            <w:tcBorders>
              <w:top w:val="nil"/>
              <w:bottom w:val="nil"/>
            </w:tcBorders>
            <w:vAlign w:val="center"/>
          </w:tcPr>
          <w:p w14:paraId="1FC5CC8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885" w:type="dxa"/>
            <w:tcBorders>
              <w:top w:val="nil"/>
              <w:bottom w:val="nil"/>
            </w:tcBorders>
            <w:vAlign w:val="center"/>
          </w:tcPr>
          <w:p w14:paraId="024430D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44.94</w:t>
            </w:r>
          </w:p>
        </w:tc>
        <w:tc>
          <w:tcPr>
            <w:tcW w:w="976" w:type="dxa"/>
            <w:tcBorders>
              <w:top w:val="nil"/>
              <w:bottom w:val="nil"/>
            </w:tcBorders>
            <w:vAlign w:val="center"/>
          </w:tcPr>
          <w:p w14:paraId="0D113FE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54.32</w:t>
            </w:r>
          </w:p>
        </w:tc>
        <w:tc>
          <w:tcPr>
            <w:tcW w:w="741" w:type="dxa"/>
            <w:tcBorders>
              <w:top w:val="nil"/>
              <w:bottom w:val="nil"/>
            </w:tcBorders>
            <w:vAlign w:val="center"/>
          </w:tcPr>
          <w:p w14:paraId="69CD5E6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5" w:type="dxa"/>
            <w:tcBorders>
              <w:top w:val="nil"/>
              <w:bottom w:val="nil"/>
            </w:tcBorders>
            <w:vAlign w:val="center"/>
          </w:tcPr>
          <w:p w14:paraId="06AC86C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44.94</w:t>
            </w:r>
          </w:p>
        </w:tc>
        <w:tc>
          <w:tcPr>
            <w:tcW w:w="976" w:type="dxa"/>
            <w:tcBorders>
              <w:top w:val="nil"/>
              <w:bottom w:val="nil"/>
            </w:tcBorders>
            <w:vAlign w:val="center"/>
          </w:tcPr>
          <w:p w14:paraId="23BC6A2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0.64</w:t>
            </w:r>
          </w:p>
        </w:tc>
        <w:tc>
          <w:tcPr>
            <w:tcW w:w="741" w:type="dxa"/>
            <w:tcBorders>
              <w:top w:val="nil"/>
              <w:bottom w:val="nil"/>
            </w:tcBorders>
            <w:vAlign w:val="center"/>
          </w:tcPr>
          <w:p w14:paraId="0E40069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2100</w:t>
            </w:r>
          </w:p>
        </w:tc>
        <w:tc>
          <w:tcPr>
            <w:tcW w:w="885" w:type="dxa"/>
            <w:tcBorders>
              <w:top w:val="nil"/>
              <w:bottom w:val="nil"/>
            </w:tcBorders>
            <w:vAlign w:val="center"/>
          </w:tcPr>
          <w:p w14:paraId="4948EAA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89.88</w:t>
            </w:r>
          </w:p>
        </w:tc>
        <w:tc>
          <w:tcPr>
            <w:tcW w:w="976" w:type="dxa"/>
            <w:tcBorders>
              <w:top w:val="nil"/>
              <w:bottom w:val="nil"/>
            </w:tcBorders>
            <w:vAlign w:val="center"/>
          </w:tcPr>
          <w:p w14:paraId="0D5FCE4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54.96</w:t>
            </w:r>
          </w:p>
        </w:tc>
      </w:tr>
      <w:tr w:rsidR="006912F6" w:rsidRPr="006912F6" w14:paraId="416E1582" w14:textId="77777777" w:rsidTr="001E39A4">
        <w:trPr>
          <w:trHeight w:val="358"/>
        </w:trPr>
        <w:tc>
          <w:tcPr>
            <w:tcW w:w="1029" w:type="dxa"/>
            <w:vMerge/>
          </w:tcPr>
          <w:p w14:paraId="072414DD" w14:textId="77777777" w:rsidR="001B757C" w:rsidRPr="006912F6" w:rsidRDefault="001B757C" w:rsidP="000C4BE5">
            <w:pPr>
              <w:spacing w:before="0" w:line="240" w:lineRule="auto"/>
              <w:rPr>
                <w:rFonts w:asciiTheme="majorHAnsi" w:hAnsiTheme="majorHAnsi" w:cstheme="majorHAnsi"/>
                <w:sz w:val="18"/>
                <w:szCs w:val="20"/>
              </w:rPr>
            </w:pPr>
          </w:p>
        </w:tc>
        <w:tc>
          <w:tcPr>
            <w:tcW w:w="1049" w:type="dxa"/>
            <w:tcBorders>
              <w:top w:val="nil"/>
              <w:bottom w:val="single" w:sz="4" w:space="0" w:color="auto"/>
            </w:tcBorders>
            <w:vAlign w:val="center"/>
          </w:tcPr>
          <w:p w14:paraId="0E41264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885" w:type="dxa"/>
            <w:tcBorders>
              <w:top w:val="nil"/>
              <w:bottom w:val="single" w:sz="4" w:space="0" w:color="auto"/>
            </w:tcBorders>
            <w:vAlign w:val="center"/>
          </w:tcPr>
          <w:p w14:paraId="74650F0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48.16</w:t>
            </w:r>
          </w:p>
        </w:tc>
        <w:tc>
          <w:tcPr>
            <w:tcW w:w="976" w:type="dxa"/>
            <w:tcBorders>
              <w:top w:val="nil"/>
              <w:bottom w:val="single" w:sz="4" w:space="0" w:color="auto"/>
            </w:tcBorders>
            <w:vAlign w:val="center"/>
          </w:tcPr>
          <w:p w14:paraId="63FF99E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50.9</w:t>
            </w:r>
          </w:p>
        </w:tc>
        <w:tc>
          <w:tcPr>
            <w:tcW w:w="741" w:type="dxa"/>
            <w:tcBorders>
              <w:top w:val="nil"/>
              <w:bottom w:val="single" w:sz="4" w:space="0" w:color="auto"/>
            </w:tcBorders>
            <w:vAlign w:val="center"/>
          </w:tcPr>
          <w:p w14:paraId="5FC0ED1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5" w:type="dxa"/>
            <w:tcBorders>
              <w:top w:val="nil"/>
              <w:bottom w:val="single" w:sz="4" w:space="0" w:color="auto"/>
            </w:tcBorders>
            <w:vAlign w:val="center"/>
          </w:tcPr>
          <w:p w14:paraId="07547CF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48.16</w:t>
            </w:r>
          </w:p>
        </w:tc>
        <w:tc>
          <w:tcPr>
            <w:tcW w:w="976" w:type="dxa"/>
            <w:tcBorders>
              <w:top w:val="nil"/>
              <w:bottom w:val="single" w:sz="4" w:space="0" w:color="auto"/>
            </w:tcBorders>
            <w:vAlign w:val="center"/>
          </w:tcPr>
          <w:p w14:paraId="4F4A37D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0.46</w:t>
            </w:r>
          </w:p>
        </w:tc>
        <w:tc>
          <w:tcPr>
            <w:tcW w:w="741" w:type="dxa"/>
            <w:tcBorders>
              <w:top w:val="nil"/>
              <w:bottom w:val="single" w:sz="4" w:space="0" w:color="auto"/>
            </w:tcBorders>
            <w:vAlign w:val="center"/>
          </w:tcPr>
          <w:p w14:paraId="6D4D0A7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2100</w:t>
            </w:r>
          </w:p>
        </w:tc>
        <w:tc>
          <w:tcPr>
            <w:tcW w:w="885" w:type="dxa"/>
            <w:tcBorders>
              <w:top w:val="nil"/>
              <w:bottom w:val="single" w:sz="4" w:space="0" w:color="auto"/>
            </w:tcBorders>
            <w:vAlign w:val="center"/>
          </w:tcPr>
          <w:p w14:paraId="3F9795D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96.33</w:t>
            </w:r>
          </w:p>
        </w:tc>
        <w:tc>
          <w:tcPr>
            <w:tcW w:w="976" w:type="dxa"/>
            <w:tcBorders>
              <w:top w:val="nil"/>
              <w:bottom w:val="single" w:sz="4" w:space="0" w:color="auto"/>
            </w:tcBorders>
            <w:vAlign w:val="center"/>
          </w:tcPr>
          <w:p w14:paraId="355CBA9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51.36</w:t>
            </w:r>
          </w:p>
        </w:tc>
      </w:tr>
      <w:tr w:rsidR="006912F6" w:rsidRPr="006912F6" w14:paraId="0E905852" w14:textId="77777777" w:rsidTr="001E39A4">
        <w:trPr>
          <w:trHeight w:val="358"/>
        </w:trPr>
        <w:tc>
          <w:tcPr>
            <w:tcW w:w="1029" w:type="dxa"/>
            <w:vMerge w:val="restart"/>
            <w:vAlign w:val="center"/>
          </w:tcPr>
          <w:p w14:paraId="373BE4F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Medium</w:t>
            </w:r>
          </w:p>
        </w:tc>
        <w:tc>
          <w:tcPr>
            <w:tcW w:w="1049" w:type="dxa"/>
            <w:tcBorders>
              <w:bottom w:val="nil"/>
            </w:tcBorders>
            <w:vAlign w:val="center"/>
          </w:tcPr>
          <w:p w14:paraId="0FCC595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885" w:type="dxa"/>
            <w:tcBorders>
              <w:bottom w:val="nil"/>
            </w:tcBorders>
            <w:vAlign w:val="center"/>
          </w:tcPr>
          <w:p w14:paraId="2D8BFE2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38.52</w:t>
            </w:r>
          </w:p>
        </w:tc>
        <w:tc>
          <w:tcPr>
            <w:tcW w:w="976" w:type="dxa"/>
            <w:tcBorders>
              <w:bottom w:val="nil"/>
            </w:tcBorders>
            <w:vAlign w:val="center"/>
          </w:tcPr>
          <w:p w14:paraId="6EA1E3B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48.5</w:t>
            </w:r>
          </w:p>
        </w:tc>
        <w:tc>
          <w:tcPr>
            <w:tcW w:w="741" w:type="dxa"/>
            <w:tcBorders>
              <w:bottom w:val="nil"/>
            </w:tcBorders>
            <w:vAlign w:val="center"/>
          </w:tcPr>
          <w:p w14:paraId="53A9397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5" w:type="dxa"/>
            <w:tcBorders>
              <w:bottom w:val="nil"/>
            </w:tcBorders>
            <w:vAlign w:val="center"/>
          </w:tcPr>
          <w:p w14:paraId="1E0DA82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38.52(0)</w:t>
            </w:r>
          </w:p>
        </w:tc>
        <w:tc>
          <w:tcPr>
            <w:tcW w:w="976" w:type="dxa"/>
            <w:tcBorders>
              <w:bottom w:val="nil"/>
            </w:tcBorders>
            <w:vAlign w:val="center"/>
          </w:tcPr>
          <w:p w14:paraId="0CF89C9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-1.0 (0)</w:t>
            </w:r>
          </w:p>
        </w:tc>
        <w:tc>
          <w:tcPr>
            <w:tcW w:w="741" w:type="dxa"/>
            <w:tcBorders>
              <w:bottom w:val="nil"/>
            </w:tcBorders>
            <w:vAlign w:val="center"/>
          </w:tcPr>
          <w:p w14:paraId="389B033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5" w:type="dxa"/>
            <w:tcBorders>
              <w:bottom w:val="nil"/>
            </w:tcBorders>
            <w:vAlign w:val="center"/>
          </w:tcPr>
          <w:p w14:paraId="2DD7836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38.52</w:t>
            </w:r>
          </w:p>
        </w:tc>
        <w:tc>
          <w:tcPr>
            <w:tcW w:w="976" w:type="dxa"/>
            <w:tcBorders>
              <w:bottom w:val="nil"/>
            </w:tcBorders>
            <w:vAlign w:val="center"/>
          </w:tcPr>
          <w:p w14:paraId="3FD94DF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48.5</w:t>
            </w:r>
          </w:p>
        </w:tc>
      </w:tr>
      <w:tr w:rsidR="006912F6" w:rsidRPr="006912F6" w14:paraId="347A53D6" w14:textId="77777777" w:rsidTr="001E39A4">
        <w:trPr>
          <w:trHeight w:val="358"/>
        </w:trPr>
        <w:tc>
          <w:tcPr>
            <w:tcW w:w="1029" w:type="dxa"/>
            <w:vMerge/>
          </w:tcPr>
          <w:p w14:paraId="5298EAA0" w14:textId="77777777" w:rsidR="001B757C" w:rsidRPr="006912F6" w:rsidRDefault="001B757C" w:rsidP="000C4BE5">
            <w:pPr>
              <w:spacing w:before="0" w:line="240" w:lineRule="auto"/>
              <w:rPr>
                <w:rFonts w:asciiTheme="majorHAnsi" w:hAnsiTheme="majorHAnsi" w:cstheme="majorHAnsi"/>
                <w:sz w:val="18"/>
                <w:szCs w:val="20"/>
              </w:rPr>
            </w:pPr>
          </w:p>
        </w:tc>
        <w:tc>
          <w:tcPr>
            <w:tcW w:w="1049" w:type="dxa"/>
            <w:tcBorders>
              <w:top w:val="nil"/>
              <w:bottom w:val="nil"/>
            </w:tcBorders>
            <w:vAlign w:val="center"/>
          </w:tcPr>
          <w:p w14:paraId="4F6DD5B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885" w:type="dxa"/>
            <w:tcBorders>
              <w:top w:val="nil"/>
              <w:bottom w:val="nil"/>
            </w:tcBorders>
            <w:vAlign w:val="center"/>
          </w:tcPr>
          <w:p w14:paraId="43AD96C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41.73</w:t>
            </w:r>
          </w:p>
        </w:tc>
        <w:tc>
          <w:tcPr>
            <w:tcW w:w="976" w:type="dxa"/>
            <w:tcBorders>
              <w:top w:val="nil"/>
              <w:bottom w:val="nil"/>
            </w:tcBorders>
            <w:vAlign w:val="center"/>
          </w:tcPr>
          <w:p w14:paraId="757EA92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45.4</w:t>
            </w:r>
          </w:p>
        </w:tc>
        <w:tc>
          <w:tcPr>
            <w:tcW w:w="741" w:type="dxa"/>
            <w:tcBorders>
              <w:top w:val="nil"/>
              <w:bottom w:val="nil"/>
            </w:tcBorders>
            <w:vAlign w:val="center"/>
          </w:tcPr>
          <w:p w14:paraId="172B70D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5" w:type="dxa"/>
            <w:tcBorders>
              <w:top w:val="nil"/>
              <w:bottom w:val="nil"/>
            </w:tcBorders>
            <w:vAlign w:val="center"/>
          </w:tcPr>
          <w:p w14:paraId="7893D85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41.73(0)</w:t>
            </w:r>
          </w:p>
        </w:tc>
        <w:tc>
          <w:tcPr>
            <w:tcW w:w="976" w:type="dxa"/>
            <w:tcBorders>
              <w:top w:val="nil"/>
              <w:bottom w:val="nil"/>
            </w:tcBorders>
            <w:vAlign w:val="center"/>
          </w:tcPr>
          <w:p w14:paraId="5ADE85D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-1.1 (0)</w:t>
            </w:r>
          </w:p>
        </w:tc>
        <w:tc>
          <w:tcPr>
            <w:tcW w:w="741" w:type="dxa"/>
            <w:tcBorders>
              <w:top w:val="nil"/>
              <w:bottom w:val="nil"/>
            </w:tcBorders>
            <w:vAlign w:val="center"/>
          </w:tcPr>
          <w:p w14:paraId="25C0C6C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5" w:type="dxa"/>
            <w:tcBorders>
              <w:top w:val="nil"/>
              <w:bottom w:val="nil"/>
            </w:tcBorders>
            <w:vAlign w:val="center"/>
          </w:tcPr>
          <w:p w14:paraId="6F973D1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41.73</w:t>
            </w:r>
          </w:p>
        </w:tc>
        <w:tc>
          <w:tcPr>
            <w:tcW w:w="976" w:type="dxa"/>
            <w:tcBorders>
              <w:top w:val="nil"/>
              <w:bottom w:val="nil"/>
            </w:tcBorders>
            <w:vAlign w:val="center"/>
          </w:tcPr>
          <w:p w14:paraId="180FE2B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45.4</w:t>
            </w:r>
          </w:p>
        </w:tc>
      </w:tr>
      <w:tr w:rsidR="006912F6" w:rsidRPr="006912F6" w14:paraId="13A57D5A" w14:textId="77777777" w:rsidTr="001E39A4">
        <w:trPr>
          <w:trHeight w:val="358"/>
        </w:trPr>
        <w:tc>
          <w:tcPr>
            <w:tcW w:w="1029" w:type="dxa"/>
            <w:vMerge/>
          </w:tcPr>
          <w:p w14:paraId="53EF1727" w14:textId="77777777" w:rsidR="001B757C" w:rsidRPr="006912F6" w:rsidRDefault="001B757C" w:rsidP="000C4BE5">
            <w:pPr>
              <w:spacing w:before="0" w:line="240" w:lineRule="auto"/>
              <w:rPr>
                <w:rFonts w:asciiTheme="majorHAnsi" w:hAnsiTheme="majorHAnsi" w:cstheme="majorHAnsi"/>
                <w:sz w:val="18"/>
                <w:szCs w:val="20"/>
              </w:rPr>
            </w:pPr>
          </w:p>
        </w:tc>
        <w:tc>
          <w:tcPr>
            <w:tcW w:w="1049" w:type="dxa"/>
            <w:tcBorders>
              <w:top w:val="nil"/>
              <w:bottom w:val="nil"/>
            </w:tcBorders>
            <w:vAlign w:val="center"/>
          </w:tcPr>
          <w:p w14:paraId="165807E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885" w:type="dxa"/>
            <w:tcBorders>
              <w:top w:val="nil"/>
              <w:bottom w:val="nil"/>
            </w:tcBorders>
            <w:vAlign w:val="center"/>
          </w:tcPr>
          <w:p w14:paraId="4A34603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44.94</w:t>
            </w:r>
          </w:p>
        </w:tc>
        <w:tc>
          <w:tcPr>
            <w:tcW w:w="976" w:type="dxa"/>
            <w:tcBorders>
              <w:top w:val="nil"/>
              <w:bottom w:val="nil"/>
            </w:tcBorders>
            <w:vAlign w:val="center"/>
          </w:tcPr>
          <w:p w14:paraId="565B1CE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42.2</w:t>
            </w:r>
          </w:p>
        </w:tc>
        <w:tc>
          <w:tcPr>
            <w:tcW w:w="741" w:type="dxa"/>
            <w:tcBorders>
              <w:top w:val="nil"/>
              <w:bottom w:val="nil"/>
            </w:tcBorders>
            <w:vAlign w:val="center"/>
          </w:tcPr>
          <w:p w14:paraId="006FBED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5" w:type="dxa"/>
            <w:tcBorders>
              <w:top w:val="nil"/>
              <w:bottom w:val="nil"/>
            </w:tcBorders>
            <w:vAlign w:val="center"/>
          </w:tcPr>
          <w:p w14:paraId="59F9863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44.94(0)</w:t>
            </w:r>
          </w:p>
        </w:tc>
        <w:tc>
          <w:tcPr>
            <w:tcW w:w="976" w:type="dxa"/>
            <w:tcBorders>
              <w:top w:val="nil"/>
              <w:bottom w:val="nil"/>
            </w:tcBorders>
            <w:vAlign w:val="center"/>
          </w:tcPr>
          <w:p w14:paraId="549FB23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-1.3 (0)</w:t>
            </w:r>
          </w:p>
        </w:tc>
        <w:tc>
          <w:tcPr>
            <w:tcW w:w="741" w:type="dxa"/>
            <w:tcBorders>
              <w:top w:val="nil"/>
              <w:bottom w:val="nil"/>
            </w:tcBorders>
            <w:vAlign w:val="center"/>
          </w:tcPr>
          <w:p w14:paraId="0D84EE6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5" w:type="dxa"/>
            <w:tcBorders>
              <w:top w:val="nil"/>
              <w:bottom w:val="nil"/>
            </w:tcBorders>
            <w:vAlign w:val="center"/>
          </w:tcPr>
          <w:p w14:paraId="3FBABA0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44.94</w:t>
            </w:r>
          </w:p>
        </w:tc>
        <w:tc>
          <w:tcPr>
            <w:tcW w:w="976" w:type="dxa"/>
            <w:tcBorders>
              <w:top w:val="nil"/>
              <w:bottom w:val="nil"/>
            </w:tcBorders>
            <w:vAlign w:val="center"/>
          </w:tcPr>
          <w:p w14:paraId="797EE1B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42.2</w:t>
            </w:r>
          </w:p>
        </w:tc>
      </w:tr>
      <w:tr w:rsidR="006912F6" w:rsidRPr="006912F6" w14:paraId="179E03D8" w14:textId="77777777" w:rsidTr="001E39A4">
        <w:trPr>
          <w:trHeight w:val="358"/>
        </w:trPr>
        <w:tc>
          <w:tcPr>
            <w:tcW w:w="1029" w:type="dxa"/>
            <w:vMerge/>
          </w:tcPr>
          <w:p w14:paraId="4EC699C5" w14:textId="77777777" w:rsidR="001B757C" w:rsidRPr="006912F6" w:rsidRDefault="001B757C" w:rsidP="000C4BE5">
            <w:pPr>
              <w:spacing w:before="0" w:line="240" w:lineRule="auto"/>
              <w:rPr>
                <w:rFonts w:asciiTheme="majorHAnsi" w:hAnsiTheme="majorHAnsi" w:cstheme="majorHAnsi"/>
                <w:sz w:val="18"/>
                <w:szCs w:val="20"/>
              </w:rPr>
            </w:pPr>
          </w:p>
        </w:tc>
        <w:tc>
          <w:tcPr>
            <w:tcW w:w="1049" w:type="dxa"/>
            <w:tcBorders>
              <w:top w:val="nil"/>
              <w:bottom w:val="single" w:sz="4" w:space="0" w:color="auto"/>
            </w:tcBorders>
            <w:vAlign w:val="center"/>
          </w:tcPr>
          <w:p w14:paraId="3405FD9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885" w:type="dxa"/>
            <w:tcBorders>
              <w:top w:val="nil"/>
              <w:bottom w:val="single" w:sz="4" w:space="0" w:color="auto"/>
            </w:tcBorders>
            <w:vAlign w:val="center"/>
          </w:tcPr>
          <w:p w14:paraId="64DF9B8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48.16</w:t>
            </w:r>
          </w:p>
        </w:tc>
        <w:tc>
          <w:tcPr>
            <w:tcW w:w="976" w:type="dxa"/>
            <w:tcBorders>
              <w:top w:val="nil"/>
              <w:bottom w:val="single" w:sz="4" w:space="0" w:color="auto"/>
            </w:tcBorders>
            <w:vAlign w:val="center"/>
          </w:tcPr>
          <w:p w14:paraId="715F1B1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38.9</w:t>
            </w:r>
          </w:p>
        </w:tc>
        <w:tc>
          <w:tcPr>
            <w:tcW w:w="741" w:type="dxa"/>
            <w:tcBorders>
              <w:top w:val="nil"/>
              <w:bottom w:val="single" w:sz="4" w:space="0" w:color="auto"/>
            </w:tcBorders>
            <w:vAlign w:val="center"/>
          </w:tcPr>
          <w:p w14:paraId="689ECA9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5" w:type="dxa"/>
            <w:tcBorders>
              <w:top w:val="nil"/>
              <w:bottom w:val="single" w:sz="4" w:space="0" w:color="auto"/>
            </w:tcBorders>
            <w:vAlign w:val="center"/>
          </w:tcPr>
          <w:p w14:paraId="2ECE2A1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48.16(0)</w:t>
            </w:r>
          </w:p>
        </w:tc>
        <w:tc>
          <w:tcPr>
            <w:tcW w:w="976" w:type="dxa"/>
            <w:tcBorders>
              <w:top w:val="nil"/>
              <w:bottom w:val="single" w:sz="4" w:space="0" w:color="auto"/>
            </w:tcBorders>
            <w:vAlign w:val="center"/>
          </w:tcPr>
          <w:p w14:paraId="36309EA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-1.5 (0)</w:t>
            </w:r>
          </w:p>
        </w:tc>
        <w:tc>
          <w:tcPr>
            <w:tcW w:w="741" w:type="dxa"/>
            <w:tcBorders>
              <w:top w:val="nil"/>
              <w:bottom w:val="single" w:sz="4" w:space="0" w:color="auto"/>
            </w:tcBorders>
            <w:vAlign w:val="center"/>
          </w:tcPr>
          <w:p w14:paraId="0243234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5" w:type="dxa"/>
            <w:tcBorders>
              <w:top w:val="nil"/>
              <w:bottom w:val="single" w:sz="4" w:space="0" w:color="auto"/>
            </w:tcBorders>
            <w:vAlign w:val="center"/>
          </w:tcPr>
          <w:p w14:paraId="64ADB7A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48.16</w:t>
            </w:r>
          </w:p>
        </w:tc>
        <w:tc>
          <w:tcPr>
            <w:tcW w:w="976" w:type="dxa"/>
            <w:tcBorders>
              <w:top w:val="nil"/>
              <w:bottom w:val="single" w:sz="4" w:space="0" w:color="auto"/>
            </w:tcBorders>
            <w:vAlign w:val="center"/>
          </w:tcPr>
          <w:p w14:paraId="776C7A5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38.9</w:t>
            </w:r>
          </w:p>
        </w:tc>
      </w:tr>
      <w:tr w:rsidR="006912F6" w:rsidRPr="006912F6" w14:paraId="380A2774" w14:textId="77777777" w:rsidTr="001E39A4">
        <w:trPr>
          <w:trHeight w:val="358"/>
        </w:trPr>
        <w:tc>
          <w:tcPr>
            <w:tcW w:w="1029" w:type="dxa"/>
            <w:vMerge w:val="restart"/>
            <w:vAlign w:val="center"/>
          </w:tcPr>
          <w:p w14:paraId="24063DC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Low</w:t>
            </w:r>
          </w:p>
        </w:tc>
        <w:tc>
          <w:tcPr>
            <w:tcW w:w="1049" w:type="dxa"/>
            <w:tcBorders>
              <w:bottom w:val="nil"/>
            </w:tcBorders>
            <w:vAlign w:val="center"/>
          </w:tcPr>
          <w:p w14:paraId="1E7CB9A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885" w:type="dxa"/>
            <w:tcBorders>
              <w:bottom w:val="nil"/>
            </w:tcBorders>
            <w:vAlign w:val="center"/>
          </w:tcPr>
          <w:p w14:paraId="31EA5A7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38.52</w:t>
            </w:r>
          </w:p>
        </w:tc>
        <w:tc>
          <w:tcPr>
            <w:tcW w:w="976" w:type="dxa"/>
            <w:tcBorders>
              <w:bottom w:val="nil"/>
            </w:tcBorders>
            <w:vAlign w:val="center"/>
          </w:tcPr>
          <w:p w14:paraId="069E30B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39.3</w:t>
            </w:r>
          </w:p>
        </w:tc>
        <w:tc>
          <w:tcPr>
            <w:tcW w:w="741" w:type="dxa"/>
            <w:tcBorders>
              <w:bottom w:val="nil"/>
            </w:tcBorders>
            <w:vAlign w:val="center"/>
          </w:tcPr>
          <w:p w14:paraId="7DBEFAD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5" w:type="dxa"/>
            <w:tcBorders>
              <w:bottom w:val="nil"/>
            </w:tcBorders>
            <w:vAlign w:val="center"/>
          </w:tcPr>
          <w:p w14:paraId="22AA3D0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38.52(0)</w:t>
            </w:r>
          </w:p>
        </w:tc>
        <w:tc>
          <w:tcPr>
            <w:tcW w:w="976" w:type="dxa"/>
            <w:tcBorders>
              <w:bottom w:val="nil"/>
            </w:tcBorders>
            <w:vAlign w:val="center"/>
          </w:tcPr>
          <w:p w14:paraId="77F452D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-1.6 (0)</w:t>
            </w:r>
          </w:p>
        </w:tc>
        <w:tc>
          <w:tcPr>
            <w:tcW w:w="741" w:type="dxa"/>
            <w:tcBorders>
              <w:bottom w:val="nil"/>
            </w:tcBorders>
            <w:vAlign w:val="center"/>
          </w:tcPr>
          <w:p w14:paraId="7319FFE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5" w:type="dxa"/>
            <w:tcBorders>
              <w:bottom w:val="nil"/>
            </w:tcBorders>
            <w:vAlign w:val="center"/>
          </w:tcPr>
          <w:p w14:paraId="477A409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38.52</w:t>
            </w:r>
          </w:p>
        </w:tc>
        <w:tc>
          <w:tcPr>
            <w:tcW w:w="976" w:type="dxa"/>
            <w:tcBorders>
              <w:bottom w:val="nil"/>
            </w:tcBorders>
            <w:vAlign w:val="center"/>
          </w:tcPr>
          <w:p w14:paraId="380BCED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39.3</w:t>
            </w:r>
          </w:p>
        </w:tc>
      </w:tr>
      <w:tr w:rsidR="006912F6" w:rsidRPr="006912F6" w14:paraId="0092E745" w14:textId="77777777" w:rsidTr="001E39A4">
        <w:trPr>
          <w:trHeight w:val="358"/>
        </w:trPr>
        <w:tc>
          <w:tcPr>
            <w:tcW w:w="1029" w:type="dxa"/>
            <w:vMerge/>
          </w:tcPr>
          <w:p w14:paraId="78986CD2" w14:textId="77777777" w:rsidR="001B757C" w:rsidRPr="006912F6" w:rsidRDefault="001B757C" w:rsidP="000C4BE5">
            <w:pPr>
              <w:spacing w:before="0" w:line="240" w:lineRule="auto"/>
              <w:rPr>
                <w:rFonts w:asciiTheme="majorHAnsi" w:hAnsiTheme="majorHAnsi" w:cstheme="majorHAnsi"/>
                <w:sz w:val="18"/>
                <w:szCs w:val="20"/>
              </w:rPr>
            </w:pPr>
          </w:p>
        </w:tc>
        <w:tc>
          <w:tcPr>
            <w:tcW w:w="1049" w:type="dxa"/>
            <w:tcBorders>
              <w:top w:val="nil"/>
              <w:bottom w:val="nil"/>
            </w:tcBorders>
            <w:vAlign w:val="center"/>
          </w:tcPr>
          <w:p w14:paraId="0A93B2C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885" w:type="dxa"/>
            <w:tcBorders>
              <w:top w:val="nil"/>
              <w:bottom w:val="nil"/>
            </w:tcBorders>
            <w:vAlign w:val="center"/>
          </w:tcPr>
          <w:p w14:paraId="5F3DFA6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41.73</w:t>
            </w:r>
          </w:p>
        </w:tc>
        <w:tc>
          <w:tcPr>
            <w:tcW w:w="976" w:type="dxa"/>
            <w:tcBorders>
              <w:top w:val="nil"/>
              <w:bottom w:val="nil"/>
            </w:tcBorders>
            <w:vAlign w:val="center"/>
          </w:tcPr>
          <w:p w14:paraId="67BCC65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36.2</w:t>
            </w:r>
          </w:p>
        </w:tc>
        <w:tc>
          <w:tcPr>
            <w:tcW w:w="741" w:type="dxa"/>
            <w:tcBorders>
              <w:top w:val="nil"/>
              <w:bottom w:val="nil"/>
            </w:tcBorders>
            <w:vAlign w:val="center"/>
          </w:tcPr>
          <w:p w14:paraId="5010FD6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5" w:type="dxa"/>
            <w:tcBorders>
              <w:top w:val="nil"/>
              <w:bottom w:val="nil"/>
            </w:tcBorders>
            <w:vAlign w:val="center"/>
          </w:tcPr>
          <w:p w14:paraId="36D6021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41.73(0)</w:t>
            </w:r>
          </w:p>
        </w:tc>
        <w:tc>
          <w:tcPr>
            <w:tcW w:w="976" w:type="dxa"/>
            <w:tcBorders>
              <w:top w:val="nil"/>
              <w:bottom w:val="nil"/>
            </w:tcBorders>
            <w:vAlign w:val="center"/>
          </w:tcPr>
          <w:p w14:paraId="4B1A92C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-1.7 (0)</w:t>
            </w:r>
          </w:p>
        </w:tc>
        <w:tc>
          <w:tcPr>
            <w:tcW w:w="741" w:type="dxa"/>
            <w:tcBorders>
              <w:top w:val="nil"/>
              <w:bottom w:val="nil"/>
            </w:tcBorders>
            <w:vAlign w:val="center"/>
          </w:tcPr>
          <w:p w14:paraId="557EC4F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5" w:type="dxa"/>
            <w:tcBorders>
              <w:top w:val="nil"/>
              <w:bottom w:val="nil"/>
            </w:tcBorders>
            <w:vAlign w:val="center"/>
          </w:tcPr>
          <w:p w14:paraId="7B58548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41.73</w:t>
            </w:r>
          </w:p>
        </w:tc>
        <w:tc>
          <w:tcPr>
            <w:tcW w:w="976" w:type="dxa"/>
            <w:tcBorders>
              <w:top w:val="nil"/>
              <w:bottom w:val="nil"/>
            </w:tcBorders>
            <w:vAlign w:val="center"/>
          </w:tcPr>
          <w:p w14:paraId="06AEF25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36.2</w:t>
            </w:r>
          </w:p>
        </w:tc>
      </w:tr>
      <w:tr w:rsidR="006912F6" w:rsidRPr="006912F6" w14:paraId="0706F662" w14:textId="77777777" w:rsidTr="001E39A4">
        <w:trPr>
          <w:trHeight w:val="358"/>
        </w:trPr>
        <w:tc>
          <w:tcPr>
            <w:tcW w:w="1029" w:type="dxa"/>
            <w:vMerge/>
          </w:tcPr>
          <w:p w14:paraId="1EBEED61" w14:textId="77777777" w:rsidR="001B757C" w:rsidRPr="006912F6" w:rsidRDefault="001B757C" w:rsidP="000C4BE5">
            <w:pPr>
              <w:spacing w:before="0" w:line="240" w:lineRule="auto"/>
              <w:rPr>
                <w:rFonts w:asciiTheme="majorHAnsi" w:hAnsiTheme="majorHAnsi" w:cstheme="majorHAnsi"/>
                <w:sz w:val="18"/>
                <w:szCs w:val="20"/>
              </w:rPr>
            </w:pPr>
          </w:p>
        </w:tc>
        <w:tc>
          <w:tcPr>
            <w:tcW w:w="1049" w:type="dxa"/>
            <w:tcBorders>
              <w:top w:val="nil"/>
              <w:bottom w:val="nil"/>
            </w:tcBorders>
            <w:vAlign w:val="center"/>
          </w:tcPr>
          <w:p w14:paraId="1DA5554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885" w:type="dxa"/>
            <w:tcBorders>
              <w:top w:val="nil"/>
              <w:bottom w:val="nil"/>
            </w:tcBorders>
            <w:vAlign w:val="center"/>
          </w:tcPr>
          <w:p w14:paraId="6AC4EB6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44.94</w:t>
            </w:r>
          </w:p>
        </w:tc>
        <w:tc>
          <w:tcPr>
            <w:tcW w:w="976" w:type="dxa"/>
            <w:tcBorders>
              <w:top w:val="nil"/>
              <w:bottom w:val="nil"/>
            </w:tcBorders>
            <w:vAlign w:val="center"/>
          </w:tcPr>
          <w:p w14:paraId="1F88B55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32.9</w:t>
            </w:r>
          </w:p>
        </w:tc>
        <w:tc>
          <w:tcPr>
            <w:tcW w:w="741" w:type="dxa"/>
            <w:tcBorders>
              <w:top w:val="nil"/>
              <w:bottom w:val="nil"/>
            </w:tcBorders>
            <w:vAlign w:val="center"/>
          </w:tcPr>
          <w:p w14:paraId="5AA27D4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5" w:type="dxa"/>
            <w:tcBorders>
              <w:top w:val="nil"/>
              <w:bottom w:val="nil"/>
            </w:tcBorders>
            <w:vAlign w:val="center"/>
          </w:tcPr>
          <w:p w14:paraId="26AD44D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44.94(0)</w:t>
            </w:r>
          </w:p>
        </w:tc>
        <w:tc>
          <w:tcPr>
            <w:tcW w:w="976" w:type="dxa"/>
            <w:tcBorders>
              <w:top w:val="nil"/>
              <w:bottom w:val="nil"/>
            </w:tcBorders>
            <w:vAlign w:val="center"/>
          </w:tcPr>
          <w:p w14:paraId="6035E3F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-1.9 (0)</w:t>
            </w:r>
          </w:p>
        </w:tc>
        <w:tc>
          <w:tcPr>
            <w:tcW w:w="741" w:type="dxa"/>
            <w:tcBorders>
              <w:top w:val="nil"/>
              <w:bottom w:val="nil"/>
            </w:tcBorders>
            <w:vAlign w:val="center"/>
          </w:tcPr>
          <w:p w14:paraId="0E772CA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5" w:type="dxa"/>
            <w:tcBorders>
              <w:top w:val="nil"/>
              <w:bottom w:val="nil"/>
            </w:tcBorders>
            <w:vAlign w:val="center"/>
          </w:tcPr>
          <w:p w14:paraId="0CF81BA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44.94</w:t>
            </w:r>
          </w:p>
        </w:tc>
        <w:tc>
          <w:tcPr>
            <w:tcW w:w="976" w:type="dxa"/>
            <w:tcBorders>
              <w:top w:val="nil"/>
              <w:bottom w:val="nil"/>
            </w:tcBorders>
            <w:vAlign w:val="center"/>
          </w:tcPr>
          <w:p w14:paraId="254945C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32.9</w:t>
            </w:r>
          </w:p>
        </w:tc>
      </w:tr>
      <w:tr w:rsidR="006912F6" w:rsidRPr="006912F6" w14:paraId="7B35C8D6" w14:textId="77777777" w:rsidTr="001E39A4">
        <w:trPr>
          <w:trHeight w:val="358"/>
        </w:trPr>
        <w:tc>
          <w:tcPr>
            <w:tcW w:w="1029" w:type="dxa"/>
            <w:vMerge/>
          </w:tcPr>
          <w:p w14:paraId="3126B038" w14:textId="77777777" w:rsidR="001B757C" w:rsidRPr="006912F6" w:rsidRDefault="001B757C" w:rsidP="000C4BE5">
            <w:pPr>
              <w:spacing w:before="0" w:line="240" w:lineRule="auto"/>
              <w:rPr>
                <w:rFonts w:asciiTheme="majorHAnsi" w:hAnsiTheme="majorHAnsi" w:cstheme="majorHAnsi"/>
                <w:sz w:val="18"/>
                <w:szCs w:val="20"/>
              </w:rPr>
            </w:pPr>
          </w:p>
        </w:tc>
        <w:tc>
          <w:tcPr>
            <w:tcW w:w="1049" w:type="dxa"/>
            <w:tcBorders>
              <w:top w:val="nil"/>
              <w:bottom w:val="single" w:sz="4" w:space="0" w:color="auto"/>
            </w:tcBorders>
            <w:vAlign w:val="center"/>
          </w:tcPr>
          <w:p w14:paraId="34432B0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885" w:type="dxa"/>
            <w:tcBorders>
              <w:top w:val="nil"/>
              <w:bottom w:val="single" w:sz="4" w:space="0" w:color="auto"/>
            </w:tcBorders>
            <w:vAlign w:val="center"/>
          </w:tcPr>
          <w:p w14:paraId="0FD6D82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48.16</w:t>
            </w:r>
          </w:p>
        </w:tc>
        <w:tc>
          <w:tcPr>
            <w:tcW w:w="976" w:type="dxa"/>
            <w:tcBorders>
              <w:top w:val="nil"/>
              <w:bottom w:val="single" w:sz="4" w:space="0" w:color="auto"/>
            </w:tcBorders>
            <w:vAlign w:val="center"/>
          </w:tcPr>
          <w:p w14:paraId="4030235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29.6</w:t>
            </w:r>
          </w:p>
        </w:tc>
        <w:tc>
          <w:tcPr>
            <w:tcW w:w="741" w:type="dxa"/>
            <w:tcBorders>
              <w:top w:val="nil"/>
              <w:bottom w:val="single" w:sz="4" w:space="0" w:color="auto"/>
            </w:tcBorders>
            <w:vAlign w:val="center"/>
          </w:tcPr>
          <w:p w14:paraId="11C9B20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5" w:type="dxa"/>
            <w:tcBorders>
              <w:top w:val="nil"/>
              <w:bottom w:val="single" w:sz="4" w:space="0" w:color="auto"/>
            </w:tcBorders>
            <w:vAlign w:val="center"/>
          </w:tcPr>
          <w:p w14:paraId="01BE969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48.16(0)</w:t>
            </w:r>
          </w:p>
        </w:tc>
        <w:tc>
          <w:tcPr>
            <w:tcW w:w="976" w:type="dxa"/>
            <w:tcBorders>
              <w:top w:val="nil"/>
              <w:bottom w:val="single" w:sz="4" w:space="0" w:color="auto"/>
            </w:tcBorders>
            <w:vAlign w:val="center"/>
          </w:tcPr>
          <w:p w14:paraId="07A3407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 (0)</w:t>
            </w:r>
          </w:p>
        </w:tc>
        <w:tc>
          <w:tcPr>
            <w:tcW w:w="741" w:type="dxa"/>
            <w:tcBorders>
              <w:top w:val="nil"/>
              <w:bottom w:val="single" w:sz="4" w:space="0" w:color="auto"/>
            </w:tcBorders>
            <w:vAlign w:val="center"/>
          </w:tcPr>
          <w:p w14:paraId="1CEC345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5" w:type="dxa"/>
            <w:tcBorders>
              <w:top w:val="nil"/>
              <w:bottom w:val="single" w:sz="4" w:space="0" w:color="auto"/>
            </w:tcBorders>
            <w:vAlign w:val="center"/>
          </w:tcPr>
          <w:p w14:paraId="2CA1307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48.16</w:t>
            </w:r>
          </w:p>
        </w:tc>
        <w:tc>
          <w:tcPr>
            <w:tcW w:w="976" w:type="dxa"/>
            <w:tcBorders>
              <w:top w:val="nil"/>
              <w:bottom w:val="single" w:sz="4" w:space="0" w:color="auto"/>
            </w:tcBorders>
            <w:vAlign w:val="center"/>
          </w:tcPr>
          <w:p w14:paraId="3ECDE0C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29.6</w:t>
            </w:r>
          </w:p>
        </w:tc>
      </w:tr>
      <w:tr w:rsidR="006912F6" w:rsidRPr="006912F6" w14:paraId="65C7B026" w14:textId="77777777" w:rsidTr="001E39A4">
        <w:trPr>
          <w:trHeight w:val="358"/>
        </w:trPr>
        <w:tc>
          <w:tcPr>
            <w:tcW w:w="1029" w:type="dxa"/>
            <w:vMerge w:val="restart"/>
            <w:vAlign w:val="center"/>
          </w:tcPr>
          <w:p w14:paraId="5966B04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 xml:space="preserve">Historical </w:t>
            </w:r>
          </w:p>
          <w:p w14:paraId="53857B6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Trend</w:t>
            </w:r>
          </w:p>
        </w:tc>
        <w:tc>
          <w:tcPr>
            <w:tcW w:w="1049" w:type="dxa"/>
            <w:tcBorders>
              <w:bottom w:val="nil"/>
            </w:tcBorders>
            <w:vAlign w:val="center"/>
          </w:tcPr>
          <w:p w14:paraId="42DC99B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885" w:type="dxa"/>
            <w:tcBorders>
              <w:bottom w:val="nil"/>
            </w:tcBorders>
            <w:vAlign w:val="center"/>
          </w:tcPr>
          <w:p w14:paraId="240256F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38.52</w:t>
            </w:r>
          </w:p>
        </w:tc>
        <w:tc>
          <w:tcPr>
            <w:tcW w:w="976" w:type="dxa"/>
            <w:tcBorders>
              <w:bottom w:val="nil"/>
            </w:tcBorders>
            <w:vAlign w:val="center"/>
          </w:tcPr>
          <w:p w14:paraId="08CE951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10.9</w:t>
            </w:r>
          </w:p>
        </w:tc>
        <w:tc>
          <w:tcPr>
            <w:tcW w:w="741" w:type="dxa"/>
            <w:tcBorders>
              <w:bottom w:val="nil"/>
            </w:tcBorders>
            <w:vAlign w:val="center"/>
          </w:tcPr>
          <w:p w14:paraId="7839C9D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5" w:type="dxa"/>
            <w:tcBorders>
              <w:bottom w:val="nil"/>
            </w:tcBorders>
            <w:vAlign w:val="center"/>
          </w:tcPr>
          <w:p w14:paraId="5C0182C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38.52(0)</w:t>
            </w:r>
          </w:p>
        </w:tc>
        <w:tc>
          <w:tcPr>
            <w:tcW w:w="976" w:type="dxa"/>
            <w:tcBorders>
              <w:bottom w:val="nil"/>
            </w:tcBorders>
            <w:vAlign w:val="center"/>
          </w:tcPr>
          <w:p w14:paraId="410279A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-2.1 (0)</w:t>
            </w:r>
          </w:p>
        </w:tc>
        <w:tc>
          <w:tcPr>
            <w:tcW w:w="741" w:type="dxa"/>
            <w:tcBorders>
              <w:bottom w:val="nil"/>
            </w:tcBorders>
            <w:vAlign w:val="center"/>
          </w:tcPr>
          <w:p w14:paraId="1701334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5" w:type="dxa"/>
            <w:tcBorders>
              <w:bottom w:val="nil"/>
            </w:tcBorders>
            <w:vAlign w:val="center"/>
          </w:tcPr>
          <w:p w14:paraId="241965E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38.52</w:t>
            </w:r>
          </w:p>
        </w:tc>
        <w:tc>
          <w:tcPr>
            <w:tcW w:w="976" w:type="dxa"/>
            <w:tcBorders>
              <w:bottom w:val="nil"/>
            </w:tcBorders>
            <w:vAlign w:val="center"/>
          </w:tcPr>
          <w:p w14:paraId="7D66A4A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10.9</w:t>
            </w:r>
          </w:p>
        </w:tc>
      </w:tr>
      <w:tr w:rsidR="006912F6" w:rsidRPr="006912F6" w14:paraId="423361B1" w14:textId="77777777" w:rsidTr="001E39A4">
        <w:trPr>
          <w:trHeight w:val="358"/>
        </w:trPr>
        <w:tc>
          <w:tcPr>
            <w:tcW w:w="1029" w:type="dxa"/>
            <w:vMerge/>
          </w:tcPr>
          <w:p w14:paraId="38BD8A08" w14:textId="77777777" w:rsidR="001B757C" w:rsidRPr="006912F6" w:rsidRDefault="001B757C" w:rsidP="000C4BE5">
            <w:pPr>
              <w:spacing w:before="0" w:line="240" w:lineRule="auto"/>
              <w:rPr>
                <w:rFonts w:asciiTheme="majorHAnsi" w:hAnsiTheme="majorHAnsi" w:cstheme="majorHAnsi"/>
                <w:sz w:val="18"/>
                <w:szCs w:val="20"/>
              </w:rPr>
            </w:pPr>
          </w:p>
        </w:tc>
        <w:tc>
          <w:tcPr>
            <w:tcW w:w="1049" w:type="dxa"/>
            <w:tcBorders>
              <w:top w:val="nil"/>
              <w:bottom w:val="nil"/>
            </w:tcBorders>
            <w:vAlign w:val="center"/>
          </w:tcPr>
          <w:p w14:paraId="5A6521C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885" w:type="dxa"/>
            <w:tcBorders>
              <w:top w:val="nil"/>
              <w:bottom w:val="nil"/>
            </w:tcBorders>
            <w:vAlign w:val="center"/>
          </w:tcPr>
          <w:p w14:paraId="74CDDD6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41.73</w:t>
            </w:r>
          </w:p>
        </w:tc>
        <w:tc>
          <w:tcPr>
            <w:tcW w:w="976" w:type="dxa"/>
            <w:tcBorders>
              <w:top w:val="nil"/>
              <w:bottom w:val="nil"/>
            </w:tcBorders>
            <w:vAlign w:val="center"/>
          </w:tcPr>
          <w:p w14:paraId="18B4B4C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8.3</w:t>
            </w:r>
          </w:p>
        </w:tc>
        <w:tc>
          <w:tcPr>
            <w:tcW w:w="741" w:type="dxa"/>
            <w:tcBorders>
              <w:top w:val="nil"/>
              <w:bottom w:val="nil"/>
            </w:tcBorders>
            <w:vAlign w:val="center"/>
          </w:tcPr>
          <w:p w14:paraId="67872A4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2025</w:t>
            </w:r>
          </w:p>
        </w:tc>
        <w:tc>
          <w:tcPr>
            <w:tcW w:w="885" w:type="dxa"/>
            <w:tcBorders>
              <w:top w:val="nil"/>
              <w:bottom w:val="nil"/>
            </w:tcBorders>
            <w:vAlign w:val="center"/>
          </w:tcPr>
          <w:p w14:paraId="476CC6C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41.73(0)</w:t>
            </w:r>
          </w:p>
        </w:tc>
        <w:tc>
          <w:tcPr>
            <w:tcW w:w="976" w:type="dxa"/>
            <w:tcBorders>
              <w:top w:val="nil"/>
              <w:bottom w:val="nil"/>
            </w:tcBorders>
            <w:vAlign w:val="center"/>
          </w:tcPr>
          <w:p w14:paraId="3313490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-2.3 (0)</w:t>
            </w:r>
          </w:p>
        </w:tc>
        <w:tc>
          <w:tcPr>
            <w:tcW w:w="741" w:type="dxa"/>
            <w:tcBorders>
              <w:top w:val="nil"/>
              <w:bottom w:val="nil"/>
            </w:tcBorders>
            <w:vAlign w:val="center"/>
          </w:tcPr>
          <w:p w14:paraId="05E4EE2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5" w:type="dxa"/>
            <w:tcBorders>
              <w:top w:val="nil"/>
              <w:bottom w:val="nil"/>
            </w:tcBorders>
            <w:vAlign w:val="center"/>
          </w:tcPr>
          <w:p w14:paraId="3A92186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41.73</w:t>
            </w:r>
          </w:p>
        </w:tc>
        <w:tc>
          <w:tcPr>
            <w:tcW w:w="976" w:type="dxa"/>
            <w:tcBorders>
              <w:top w:val="nil"/>
              <w:bottom w:val="nil"/>
            </w:tcBorders>
            <w:vAlign w:val="center"/>
          </w:tcPr>
          <w:p w14:paraId="11BE078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8.3</w:t>
            </w:r>
          </w:p>
        </w:tc>
      </w:tr>
      <w:tr w:rsidR="006912F6" w:rsidRPr="006912F6" w14:paraId="3ADDD993" w14:textId="77777777" w:rsidTr="001E39A4">
        <w:trPr>
          <w:trHeight w:val="358"/>
        </w:trPr>
        <w:tc>
          <w:tcPr>
            <w:tcW w:w="1029" w:type="dxa"/>
            <w:vMerge/>
          </w:tcPr>
          <w:p w14:paraId="48379E1D" w14:textId="77777777" w:rsidR="001B757C" w:rsidRPr="006912F6" w:rsidRDefault="001B757C" w:rsidP="000C4BE5">
            <w:pPr>
              <w:spacing w:before="0" w:line="240" w:lineRule="auto"/>
              <w:rPr>
                <w:rFonts w:asciiTheme="majorHAnsi" w:hAnsiTheme="majorHAnsi" w:cstheme="majorHAnsi"/>
                <w:sz w:val="18"/>
                <w:szCs w:val="20"/>
              </w:rPr>
            </w:pPr>
          </w:p>
        </w:tc>
        <w:tc>
          <w:tcPr>
            <w:tcW w:w="1049" w:type="dxa"/>
            <w:tcBorders>
              <w:top w:val="nil"/>
              <w:bottom w:val="nil"/>
            </w:tcBorders>
            <w:vAlign w:val="center"/>
          </w:tcPr>
          <w:p w14:paraId="18B99E1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885" w:type="dxa"/>
            <w:tcBorders>
              <w:top w:val="nil"/>
              <w:bottom w:val="nil"/>
            </w:tcBorders>
            <w:vAlign w:val="center"/>
          </w:tcPr>
          <w:p w14:paraId="23F1E2B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44.94</w:t>
            </w:r>
          </w:p>
        </w:tc>
        <w:tc>
          <w:tcPr>
            <w:tcW w:w="976" w:type="dxa"/>
            <w:tcBorders>
              <w:top w:val="nil"/>
              <w:bottom w:val="nil"/>
            </w:tcBorders>
            <w:vAlign w:val="center"/>
          </w:tcPr>
          <w:p w14:paraId="11937FF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6.1</w:t>
            </w:r>
          </w:p>
        </w:tc>
        <w:tc>
          <w:tcPr>
            <w:tcW w:w="741" w:type="dxa"/>
            <w:tcBorders>
              <w:top w:val="nil"/>
              <w:bottom w:val="nil"/>
            </w:tcBorders>
            <w:vAlign w:val="center"/>
          </w:tcPr>
          <w:p w14:paraId="62A004E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2033</w:t>
            </w:r>
          </w:p>
        </w:tc>
        <w:tc>
          <w:tcPr>
            <w:tcW w:w="885" w:type="dxa"/>
            <w:tcBorders>
              <w:top w:val="nil"/>
              <w:bottom w:val="nil"/>
            </w:tcBorders>
            <w:vAlign w:val="center"/>
          </w:tcPr>
          <w:p w14:paraId="2FE8451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44.94(0)</w:t>
            </w:r>
          </w:p>
        </w:tc>
        <w:tc>
          <w:tcPr>
            <w:tcW w:w="976" w:type="dxa"/>
            <w:tcBorders>
              <w:top w:val="nil"/>
              <w:bottom w:val="nil"/>
            </w:tcBorders>
            <w:vAlign w:val="center"/>
          </w:tcPr>
          <w:p w14:paraId="7CB062C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-2.4 (0)</w:t>
            </w:r>
          </w:p>
        </w:tc>
        <w:tc>
          <w:tcPr>
            <w:tcW w:w="741" w:type="dxa"/>
            <w:tcBorders>
              <w:top w:val="nil"/>
              <w:bottom w:val="nil"/>
            </w:tcBorders>
            <w:vAlign w:val="center"/>
          </w:tcPr>
          <w:p w14:paraId="15C9F55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5" w:type="dxa"/>
            <w:tcBorders>
              <w:top w:val="nil"/>
              <w:bottom w:val="nil"/>
            </w:tcBorders>
            <w:vAlign w:val="center"/>
          </w:tcPr>
          <w:p w14:paraId="7FD6A38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44.94</w:t>
            </w:r>
          </w:p>
        </w:tc>
        <w:tc>
          <w:tcPr>
            <w:tcW w:w="976" w:type="dxa"/>
            <w:tcBorders>
              <w:top w:val="nil"/>
              <w:bottom w:val="nil"/>
            </w:tcBorders>
            <w:vAlign w:val="center"/>
          </w:tcPr>
          <w:p w14:paraId="684BB14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6.1</w:t>
            </w:r>
          </w:p>
        </w:tc>
      </w:tr>
      <w:tr w:rsidR="006912F6" w:rsidRPr="006912F6" w14:paraId="29709E15" w14:textId="77777777" w:rsidTr="001E39A4">
        <w:trPr>
          <w:trHeight w:val="358"/>
        </w:trPr>
        <w:tc>
          <w:tcPr>
            <w:tcW w:w="1029" w:type="dxa"/>
            <w:vMerge/>
          </w:tcPr>
          <w:p w14:paraId="6BF0A6E1" w14:textId="77777777" w:rsidR="001B757C" w:rsidRPr="006912F6" w:rsidRDefault="001B757C" w:rsidP="000C4BE5">
            <w:pPr>
              <w:spacing w:before="0" w:line="240" w:lineRule="auto"/>
              <w:rPr>
                <w:rFonts w:asciiTheme="majorHAnsi" w:hAnsiTheme="majorHAnsi" w:cstheme="majorHAnsi"/>
                <w:sz w:val="18"/>
                <w:szCs w:val="20"/>
              </w:rPr>
            </w:pPr>
          </w:p>
        </w:tc>
        <w:tc>
          <w:tcPr>
            <w:tcW w:w="1049" w:type="dxa"/>
            <w:tcBorders>
              <w:top w:val="nil"/>
            </w:tcBorders>
            <w:vAlign w:val="center"/>
          </w:tcPr>
          <w:p w14:paraId="0A3EF4B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885" w:type="dxa"/>
            <w:tcBorders>
              <w:top w:val="nil"/>
            </w:tcBorders>
            <w:vAlign w:val="center"/>
          </w:tcPr>
          <w:p w14:paraId="2C3E9E0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48.16</w:t>
            </w:r>
          </w:p>
        </w:tc>
        <w:tc>
          <w:tcPr>
            <w:tcW w:w="976" w:type="dxa"/>
            <w:tcBorders>
              <w:top w:val="nil"/>
            </w:tcBorders>
            <w:vAlign w:val="center"/>
          </w:tcPr>
          <w:p w14:paraId="7941E11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4.6</w:t>
            </w:r>
          </w:p>
        </w:tc>
        <w:tc>
          <w:tcPr>
            <w:tcW w:w="741" w:type="dxa"/>
            <w:tcBorders>
              <w:top w:val="nil"/>
            </w:tcBorders>
            <w:vAlign w:val="center"/>
          </w:tcPr>
          <w:p w14:paraId="6F65FC8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2042</w:t>
            </w:r>
          </w:p>
        </w:tc>
        <w:tc>
          <w:tcPr>
            <w:tcW w:w="885" w:type="dxa"/>
            <w:tcBorders>
              <w:top w:val="nil"/>
            </w:tcBorders>
            <w:vAlign w:val="center"/>
          </w:tcPr>
          <w:p w14:paraId="3696F0D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48.16(0)</w:t>
            </w:r>
          </w:p>
        </w:tc>
        <w:tc>
          <w:tcPr>
            <w:tcW w:w="976" w:type="dxa"/>
            <w:tcBorders>
              <w:top w:val="nil"/>
            </w:tcBorders>
            <w:vAlign w:val="center"/>
          </w:tcPr>
          <w:p w14:paraId="57A30BF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-2.6 (0)</w:t>
            </w:r>
          </w:p>
        </w:tc>
        <w:tc>
          <w:tcPr>
            <w:tcW w:w="741" w:type="dxa"/>
            <w:tcBorders>
              <w:top w:val="nil"/>
            </w:tcBorders>
            <w:vAlign w:val="center"/>
          </w:tcPr>
          <w:p w14:paraId="250E55E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5" w:type="dxa"/>
            <w:tcBorders>
              <w:top w:val="nil"/>
            </w:tcBorders>
            <w:vAlign w:val="center"/>
          </w:tcPr>
          <w:p w14:paraId="3203271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48.16</w:t>
            </w:r>
          </w:p>
        </w:tc>
        <w:tc>
          <w:tcPr>
            <w:tcW w:w="976" w:type="dxa"/>
            <w:tcBorders>
              <w:top w:val="nil"/>
            </w:tcBorders>
            <w:vAlign w:val="center"/>
          </w:tcPr>
          <w:p w14:paraId="3E0037F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4.6</w:t>
            </w:r>
          </w:p>
        </w:tc>
      </w:tr>
    </w:tbl>
    <w:p w14:paraId="0A05818E" w14:textId="77777777" w:rsidR="00507710" w:rsidRPr="006912F6" w:rsidRDefault="00507710" w:rsidP="00507710">
      <w:pPr>
        <w:rPr>
          <w:rFonts w:ascii="Calibri Light" w:hAnsi="Calibri Light" w:cs="Calibri Light"/>
          <w:sz w:val="18"/>
        </w:rPr>
      </w:pPr>
      <w:r w:rsidRPr="006912F6">
        <w:rPr>
          <w:rFonts w:ascii="Calibri Light" w:hAnsi="Calibri Light" w:cs="Calibri Light"/>
          <w:sz w:val="18"/>
        </w:rPr>
        <w:t>* In the second phase, if NPV</w:t>
      </w:r>
      <w:r w:rsidRPr="006912F6">
        <w:rPr>
          <w:rFonts w:ascii="Calibri Light" w:hAnsi="Calibri Light" w:cs="Calibri Light"/>
          <w:sz w:val="18"/>
          <w:vertAlign w:val="subscript"/>
        </w:rPr>
        <w:t>opt</w:t>
      </w:r>
      <w:r w:rsidRPr="006912F6">
        <w:rPr>
          <w:rFonts w:ascii="Calibri Light" w:hAnsi="Calibri Light" w:cs="Calibri Light"/>
          <w:sz w:val="18"/>
        </w:rPr>
        <w:t xml:space="preserve"> is estimated to be negative, there is no need to invest in the second phase upgrade. Thus, </w:t>
      </w:r>
      <w:r w:rsidRPr="006912F6">
        <w:rPr>
          <w:rFonts w:ascii="Calibri Light" w:hAnsi="Calibri Light" w:cs="Calibri Light"/>
          <w:sz w:val="18"/>
        </w:rPr>
        <w:br/>
        <w:t xml:space="preserve">   the investment cost and NPV</w:t>
      </w:r>
      <w:r w:rsidRPr="006912F6">
        <w:rPr>
          <w:rFonts w:ascii="Calibri Light" w:hAnsi="Calibri Light" w:cs="Calibri Light"/>
          <w:sz w:val="18"/>
          <w:vertAlign w:val="subscript"/>
        </w:rPr>
        <w:t>opt</w:t>
      </w:r>
      <w:r w:rsidRPr="006912F6">
        <w:rPr>
          <w:rFonts w:ascii="Calibri Light" w:hAnsi="Calibri Light" w:cs="Calibri Light"/>
          <w:sz w:val="18"/>
        </w:rPr>
        <w:t xml:space="preserve"> is represented to be zero with no investment in the column of optimal investment time.</w:t>
      </w:r>
    </w:p>
    <w:p w14:paraId="1047D7D7" w14:textId="77777777" w:rsidR="00507710" w:rsidRPr="006912F6" w:rsidRDefault="00507710" w:rsidP="00507710">
      <w:pPr>
        <w:rPr>
          <w:rFonts w:ascii="Calibri Light" w:hAnsi="Calibri Light" w:cs="Calibri Light"/>
          <w:sz w:val="18"/>
        </w:rPr>
      </w:pPr>
    </w:p>
    <w:p w14:paraId="50AE3B77" w14:textId="77777777" w:rsidR="00045770" w:rsidRPr="006912F6" w:rsidRDefault="003C7583" w:rsidP="00045770">
      <w:pPr>
        <w:pStyle w:val="a7"/>
        <w:numPr>
          <w:ilvl w:val="0"/>
          <w:numId w:val="12"/>
        </w:numPr>
        <w:spacing w:line="480" w:lineRule="auto"/>
        <w:jc w:val="both"/>
        <w:rPr>
          <w:rFonts w:ascii="Cambria Math" w:hAnsi="Cambria Math" w:cs="Times New Roman"/>
          <w:bCs/>
          <w:i/>
          <w:sz w:val="20"/>
          <w:szCs w:val="18"/>
        </w:rPr>
      </w:pPr>
      <m:oMath>
        <m:sSub>
          <m:sSubPr>
            <m:ctrlPr>
              <w:rPr>
                <w:rFonts w:ascii="Cambria Math" w:hAnsi="Cambria Math" w:cs="Times New Roman"/>
                <w:bCs/>
                <w:i/>
                <w:sz w:val="20"/>
                <w:szCs w:val="18"/>
              </w:rPr>
            </m:ctrlPr>
          </m:sSubPr>
          <m:e>
            <m:r>
              <w:rPr>
                <w:rFonts w:ascii="Cambria Math" w:hAnsi="Cambria Math" w:cs="Times New Roman"/>
                <w:sz w:val="20"/>
                <w:szCs w:val="18"/>
              </w:rPr>
              <m:t>U</m:t>
            </m:r>
          </m:e>
          <m:sub>
            <m:r>
              <w:rPr>
                <w:rFonts w:ascii="Cambria Math" w:hAnsi="Cambria Math" w:cs="Times New Roman"/>
                <w:sz w:val="20"/>
                <w:szCs w:val="18"/>
              </w:rPr>
              <m:t>c</m:t>
            </m:r>
            <m:r>
              <w:rPr>
                <w:rFonts w:ascii="Cambria Math" w:hAnsi="Cambria Math" w:cs="Times New Roman" w:hint="eastAsia"/>
                <w:sz w:val="20"/>
                <w:szCs w:val="18"/>
              </w:rPr>
              <m:t>→</m:t>
            </m:r>
            <m:r>
              <w:rPr>
                <w:rFonts w:ascii="Cambria Math" w:hAnsi="Cambria Math" w:cs="Times New Roman"/>
                <w:sz w:val="20"/>
                <w:szCs w:val="18"/>
              </w:rPr>
              <m:t>3.5m</m:t>
            </m:r>
          </m:sub>
        </m:sSub>
        <m:r>
          <w:rPr>
            <w:rFonts w:ascii="Cambria Math" w:hAnsi="Cambria Math" w:cs="Times New Roman"/>
            <w:sz w:val="20"/>
            <w:szCs w:val="18"/>
          </w:rPr>
          <m:t>*</m:t>
        </m:r>
        <m:sSub>
          <m:sSubPr>
            <m:ctrlPr>
              <w:rPr>
                <w:rFonts w:ascii="Cambria Math" w:hAnsi="Cambria Math" w:cs="Times New Roman"/>
                <w:bCs/>
                <w:i/>
                <w:sz w:val="20"/>
                <w:szCs w:val="18"/>
              </w:rPr>
            </m:ctrlPr>
          </m:sSubPr>
          <m:e>
            <m:r>
              <w:rPr>
                <w:rFonts w:ascii="Cambria Math" w:hAnsi="Cambria Math" w:cs="Times New Roman"/>
                <w:sz w:val="20"/>
                <w:szCs w:val="18"/>
              </w:rPr>
              <m:t>U</m:t>
            </m:r>
          </m:e>
          <m:sub>
            <m:r>
              <w:rPr>
                <w:rFonts w:ascii="Cambria Math" w:hAnsi="Cambria Math" w:cs="Times New Roman"/>
                <w:sz w:val="20"/>
                <w:szCs w:val="18"/>
              </w:rPr>
              <m:t>3.5m</m:t>
            </m:r>
            <m:r>
              <w:rPr>
                <w:rFonts w:ascii="Cambria Math" w:hAnsi="Cambria Math" w:cs="Times New Roman" w:hint="eastAsia"/>
                <w:sz w:val="20"/>
                <w:szCs w:val="18"/>
              </w:rPr>
              <m:t>→</m:t>
            </m:r>
            <m:r>
              <w:rPr>
                <w:rFonts w:ascii="Cambria Math" w:hAnsi="Cambria Math" w:cs="Times New Roman"/>
                <w:sz w:val="20"/>
                <w:szCs w:val="18"/>
              </w:rPr>
              <m:t>4.0m</m:t>
            </m:r>
          </m:sub>
        </m:sSub>
      </m:oMath>
    </w:p>
    <w:p w14:paraId="472C1621" w14:textId="5CF4E8FC" w:rsidR="00045770" w:rsidRPr="006912F6" w:rsidRDefault="00045770" w:rsidP="00045770">
      <w:pPr>
        <w:jc w:val="both"/>
        <w:rPr>
          <w:rFonts w:cs="Times New Roman"/>
          <w:sz w:val="20"/>
          <w:szCs w:val="20"/>
        </w:rPr>
      </w:pPr>
      <w:r w:rsidRPr="006912F6">
        <w:rPr>
          <w:rFonts w:cs="Times New Roman"/>
          <w:sz w:val="20"/>
          <w:szCs w:val="20"/>
        </w:rPr>
        <w:t>As investigated in the previous adaptation path, the two-stage upgrade up to 3.5 mAOD cannot protect Lymington in the H++ SLR scenario where extreme water levels above 3.5 mAOD are likely to occur. The higher level of coastal defence will be needed if this scenario is expected to occur. In the H++ SLR scenario, the adaptation path with the start of 3.5 mAOD level upgrade in the first stage may be more efficient than other adaptation paths including 3.0 mAOD level coastal defence in the first stage. The first adaptation option (</w:t>
      </w:r>
      <m:oMath>
        <m:sSub>
          <m:sSubPr>
            <m:ctrlPr>
              <w:rPr>
                <w:rFonts w:ascii="Cambria Math" w:hAnsi="Cambria Math" w:cs="Times New Roman"/>
                <w:sz w:val="20"/>
                <w:szCs w:val="18"/>
              </w:rPr>
            </m:ctrlPr>
          </m:sSubPr>
          <m:e>
            <m:r>
              <w:rPr>
                <w:rFonts w:ascii="Cambria Math" w:hAnsi="Cambria Math" w:cs="Times New Roman"/>
                <w:sz w:val="20"/>
                <w:szCs w:val="18"/>
              </w:rPr>
              <m:t>U</m:t>
            </m:r>
          </m:e>
          <m:sub>
            <m:r>
              <w:rPr>
                <w:rFonts w:ascii="Cambria Math" w:hAnsi="Cambria Math" w:cs="Times New Roman"/>
                <w:sz w:val="20"/>
                <w:szCs w:val="18"/>
              </w:rPr>
              <m:t>c</m:t>
            </m:r>
            <m:r>
              <m:rPr>
                <m:sty m:val="p"/>
              </m:rPr>
              <w:rPr>
                <w:rFonts w:ascii="Cambria Math" w:hAnsi="Cambria Math" w:cs="Times New Roman" w:hint="eastAsia"/>
                <w:sz w:val="20"/>
                <w:szCs w:val="18"/>
              </w:rPr>
              <m:t>→</m:t>
            </m:r>
            <m:r>
              <m:rPr>
                <m:sty m:val="p"/>
              </m:rPr>
              <w:rPr>
                <w:rFonts w:ascii="Cambria Math" w:hAnsi="Cambria Math" w:cs="Times New Roman"/>
                <w:sz w:val="20"/>
                <w:szCs w:val="18"/>
              </w:rPr>
              <m:t>3.5</m:t>
            </m:r>
            <m:r>
              <w:rPr>
                <w:rFonts w:ascii="Cambria Math" w:hAnsi="Cambria Math" w:cs="Times New Roman"/>
                <w:sz w:val="20"/>
                <w:szCs w:val="18"/>
              </w:rPr>
              <m:t>m</m:t>
            </m:r>
          </m:sub>
        </m:sSub>
      </m:oMath>
      <w:r w:rsidRPr="006912F6">
        <w:rPr>
          <w:rFonts w:cs="Times New Roman"/>
          <w:sz w:val="20"/>
          <w:szCs w:val="18"/>
        </w:rPr>
        <w:t>)</w:t>
      </w:r>
      <w:r w:rsidRPr="006912F6">
        <w:rPr>
          <w:rFonts w:cs="Times New Roman"/>
          <w:sz w:val="20"/>
          <w:szCs w:val="20"/>
        </w:rPr>
        <w:t xml:space="preserve"> of </w:t>
      </w:r>
      <m:oMath>
        <m:sSub>
          <m:sSubPr>
            <m:ctrlPr>
              <w:rPr>
                <w:rFonts w:ascii="Cambria Math" w:hAnsi="Cambria Math" w:cs="Times New Roman"/>
                <w:sz w:val="20"/>
                <w:szCs w:val="18"/>
              </w:rPr>
            </m:ctrlPr>
          </m:sSubPr>
          <m:e>
            <m:r>
              <w:rPr>
                <w:rFonts w:ascii="Cambria Math" w:hAnsi="Cambria Math" w:cs="Times New Roman"/>
                <w:sz w:val="20"/>
                <w:szCs w:val="18"/>
              </w:rPr>
              <m:t>U</m:t>
            </m:r>
          </m:e>
          <m:sub>
            <m:r>
              <w:rPr>
                <w:rFonts w:ascii="Cambria Math" w:hAnsi="Cambria Math" w:cs="Times New Roman"/>
                <w:sz w:val="20"/>
                <w:szCs w:val="18"/>
              </w:rPr>
              <m:t>c</m:t>
            </m:r>
            <m:r>
              <m:rPr>
                <m:sty m:val="p"/>
              </m:rPr>
              <w:rPr>
                <w:rFonts w:ascii="Cambria Math" w:hAnsi="Cambria Math" w:cs="Times New Roman" w:hint="eastAsia"/>
                <w:sz w:val="20"/>
                <w:szCs w:val="18"/>
              </w:rPr>
              <m:t>→</m:t>
            </m:r>
            <m:r>
              <m:rPr>
                <m:sty m:val="p"/>
              </m:rPr>
              <w:rPr>
                <w:rFonts w:ascii="Cambria Math" w:hAnsi="Cambria Math" w:cs="Times New Roman"/>
                <w:sz w:val="20"/>
                <w:szCs w:val="18"/>
              </w:rPr>
              <m:t>3.5</m:t>
            </m:r>
            <m:r>
              <w:rPr>
                <w:rFonts w:ascii="Cambria Math" w:hAnsi="Cambria Math" w:cs="Times New Roman"/>
                <w:sz w:val="20"/>
                <w:szCs w:val="18"/>
              </w:rPr>
              <m:t>m</m:t>
            </m:r>
          </m:sub>
        </m:sSub>
        <m:r>
          <m:rPr>
            <m:sty m:val="p"/>
          </m:rPr>
          <w:rPr>
            <w:rFonts w:ascii="Cambria Math" w:hAnsi="Cambria Math" w:cs="Times New Roman"/>
            <w:sz w:val="20"/>
            <w:szCs w:val="18"/>
          </w:rPr>
          <m:t>*</m:t>
        </m:r>
        <m:sSub>
          <m:sSubPr>
            <m:ctrlPr>
              <w:rPr>
                <w:rFonts w:ascii="Cambria Math" w:hAnsi="Cambria Math" w:cs="Times New Roman"/>
                <w:sz w:val="20"/>
                <w:szCs w:val="18"/>
              </w:rPr>
            </m:ctrlPr>
          </m:sSubPr>
          <m:e>
            <m:r>
              <w:rPr>
                <w:rFonts w:ascii="Cambria Math" w:hAnsi="Cambria Math" w:cs="Times New Roman"/>
                <w:sz w:val="20"/>
                <w:szCs w:val="18"/>
              </w:rPr>
              <m:t>U</m:t>
            </m:r>
          </m:e>
          <m:sub>
            <m:r>
              <m:rPr>
                <m:sty m:val="p"/>
              </m:rPr>
              <w:rPr>
                <w:rFonts w:ascii="Cambria Math" w:hAnsi="Cambria Math" w:cs="Times New Roman"/>
                <w:sz w:val="20"/>
                <w:szCs w:val="18"/>
              </w:rPr>
              <m:t>3.5</m:t>
            </m:r>
            <m:r>
              <w:rPr>
                <w:rFonts w:ascii="Cambria Math" w:hAnsi="Cambria Math" w:cs="Times New Roman"/>
                <w:sz w:val="20"/>
                <w:szCs w:val="18"/>
              </w:rPr>
              <m:t>m</m:t>
            </m:r>
            <m:r>
              <m:rPr>
                <m:sty m:val="p"/>
              </m:rPr>
              <w:rPr>
                <w:rFonts w:ascii="Cambria Math" w:hAnsi="Cambria Math" w:cs="Times New Roman" w:hint="eastAsia"/>
                <w:sz w:val="20"/>
                <w:szCs w:val="18"/>
              </w:rPr>
              <m:t>→</m:t>
            </m:r>
            <m:r>
              <m:rPr>
                <m:sty m:val="p"/>
              </m:rPr>
              <w:rPr>
                <w:rFonts w:ascii="Cambria Math" w:hAnsi="Cambria Math" w:cs="Times New Roman"/>
                <w:sz w:val="20"/>
                <w:szCs w:val="18"/>
              </w:rPr>
              <m:t>4.0</m:t>
            </m:r>
            <m:r>
              <w:rPr>
                <w:rFonts w:ascii="Cambria Math" w:hAnsi="Cambria Math" w:cs="Times New Roman" w:hint="eastAsia"/>
                <w:sz w:val="20"/>
                <w:szCs w:val="18"/>
              </w:rPr>
              <m:t>m</m:t>
            </m:r>
          </m:sub>
        </m:sSub>
      </m:oMath>
      <w:r w:rsidRPr="006912F6">
        <w:rPr>
          <w:rFonts w:cs="Times New Roman"/>
          <w:sz w:val="20"/>
          <w:szCs w:val="20"/>
        </w:rPr>
        <w:t xml:space="preserve"> is more costly than the equivalent single-stage adaptation option (</w:t>
      </w:r>
      <m:oMath>
        <m:sSub>
          <m:sSubPr>
            <m:ctrlPr>
              <w:rPr>
                <w:rFonts w:ascii="Cambria Math" w:hAnsi="Cambria Math" w:cs="Times New Roman"/>
                <w:sz w:val="20"/>
                <w:szCs w:val="18"/>
              </w:rPr>
            </m:ctrlPr>
          </m:sSubPr>
          <m:e>
            <m:r>
              <w:rPr>
                <w:rFonts w:ascii="Cambria Math" w:hAnsi="Cambria Math" w:cs="Times New Roman"/>
                <w:sz w:val="20"/>
                <w:szCs w:val="18"/>
              </w:rPr>
              <m:t>U</m:t>
            </m:r>
          </m:e>
          <m:sub>
            <m:r>
              <w:rPr>
                <w:rFonts w:ascii="Cambria Math" w:hAnsi="Cambria Math" w:cs="Times New Roman"/>
                <w:sz w:val="20"/>
                <w:szCs w:val="18"/>
              </w:rPr>
              <m:t>c</m:t>
            </m:r>
            <m:r>
              <m:rPr>
                <m:sty m:val="p"/>
              </m:rPr>
              <w:rPr>
                <w:rFonts w:ascii="Cambria Math" w:hAnsi="Cambria Math" w:cs="Times New Roman" w:hint="eastAsia"/>
                <w:sz w:val="20"/>
                <w:szCs w:val="18"/>
              </w:rPr>
              <m:t>→</m:t>
            </m:r>
            <m:r>
              <m:rPr>
                <m:sty m:val="p"/>
              </m:rPr>
              <w:rPr>
                <w:rFonts w:ascii="Cambria Math" w:hAnsi="Cambria Math" w:cs="Times New Roman"/>
                <w:sz w:val="20"/>
                <w:szCs w:val="18"/>
              </w:rPr>
              <m:t>3.5</m:t>
            </m:r>
            <m:r>
              <w:rPr>
                <w:rFonts w:ascii="Cambria Math" w:hAnsi="Cambria Math" w:cs="Times New Roman"/>
                <w:sz w:val="20"/>
                <w:szCs w:val="18"/>
              </w:rPr>
              <m:t>m</m:t>
            </m:r>
          </m:sub>
        </m:sSub>
      </m:oMath>
      <w:r w:rsidRPr="006912F6">
        <w:rPr>
          <w:rFonts w:cs="Times New Roman"/>
          <w:sz w:val="20"/>
          <w:szCs w:val="18"/>
        </w:rPr>
        <w:t>)</w:t>
      </w:r>
      <w:r w:rsidRPr="006912F6">
        <w:rPr>
          <w:rFonts w:cs="Times New Roman"/>
          <w:sz w:val="20"/>
          <w:szCs w:val="20"/>
        </w:rPr>
        <w:t xml:space="preserve"> due to the cost of flexibility. Table 3</w:t>
      </w:r>
      <w:r w:rsidR="00B41568" w:rsidRPr="006912F6">
        <w:rPr>
          <w:rFonts w:cs="Times New Roman"/>
          <w:sz w:val="20"/>
          <w:szCs w:val="20"/>
        </w:rPr>
        <w:t>.5</w:t>
      </w:r>
      <w:r w:rsidRPr="006912F6">
        <w:rPr>
          <w:rFonts w:cs="Times New Roman"/>
          <w:sz w:val="20"/>
          <w:szCs w:val="20"/>
        </w:rPr>
        <w:t xml:space="preserve"> shows the results of </w:t>
      </w:r>
      <m:oMath>
        <m:sSub>
          <m:sSubPr>
            <m:ctrlPr>
              <w:rPr>
                <w:rFonts w:ascii="Cambria Math" w:hAnsi="Cambria Math" w:cs="Times New Roman"/>
                <w:i/>
                <w:sz w:val="20"/>
                <w:szCs w:val="20"/>
              </w:rPr>
            </m:ctrlPr>
          </m:sSubPr>
          <m:e>
            <m:r>
              <w:rPr>
                <w:rFonts w:ascii="Cambria Math" w:hAnsi="Cambria Math" w:cs="Times New Roman"/>
                <w:sz w:val="20"/>
                <w:szCs w:val="20"/>
              </w:rPr>
              <m:t>U</m:t>
            </m:r>
          </m:e>
          <m:sub>
            <m:r>
              <w:rPr>
                <w:rFonts w:ascii="Cambria Math" w:hAnsi="Cambria Math" w:cs="Times New Roman"/>
                <w:sz w:val="20"/>
                <w:szCs w:val="20"/>
              </w:rPr>
              <m:t>c</m:t>
            </m:r>
            <m:r>
              <w:rPr>
                <w:rFonts w:ascii="Cambria Math" w:hAnsi="Cambria Math" w:cs="Times New Roman" w:hint="eastAsia"/>
                <w:sz w:val="20"/>
                <w:szCs w:val="20"/>
              </w:rPr>
              <m:t>→</m:t>
            </m:r>
            <m:r>
              <w:rPr>
                <w:rFonts w:ascii="Cambria Math" w:hAnsi="Cambria Math" w:cs="Times New Roman"/>
                <w:sz w:val="20"/>
                <w:szCs w:val="20"/>
              </w:rPr>
              <m:t>3.5</m:t>
            </m:r>
            <m:r>
              <w:rPr>
                <w:rFonts w:ascii="Cambria Math" w:hAnsi="Cambria Math" w:cs="Times New Roman" w:hint="eastAsia"/>
                <w:sz w:val="20"/>
                <w:szCs w:val="20"/>
              </w:rPr>
              <m:t>m</m:t>
            </m:r>
          </m:sub>
        </m:sSub>
        <m:r>
          <m:rPr>
            <m:sty m:val="p"/>
          </m:rPr>
          <w:rPr>
            <w:rFonts w:ascii="Cambria Math" w:hAnsi="Cambria Math" w:cs="Times New Roman"/>
            <w:sz w:val="20"/>
            <w:szCs w:val="20"/>
          </w:rPr>
          <m:t>*</m:t>
        </m:r>
      </m:oMath>
      <w:r w:rsidRPr="006912F6">
        <w:rPr>
          <w:rFonts w:cs="Times New Roman"/>
          <w:sz w:val="20"/>
          <w:szCs w:val="20"/>
        </w:rPr>
        <w:t xml:space="preserve"> </w:t>
      </w:r>
      <m:oMath>
        <m:sSub>
          <m:sSubPr>
            <m:ctrlPr>
              <w:rPr>
                <w:rFonts w:ascii="Cambria Math" w:hAnsi="Cambria Math" w:cs="Times New Roman"/>
                <w:i/>
                <w:sz w:val="20"/>
                <w:szCs w:val="20"/>
              </w:rPr>
            </m:ctrlPr>
          </m:sSubPr>
          <m:e>
            <m:r>
              <w:rPr>
                <w:rFonts w:ascii="Cambria Math" w:hAnsi="Cambria Math" w:cs="Times New Roman"/>
                <w:sz w:val="20"/>
                <w:szCs w:val="20"/>
              </w:rPr>
              <m:t>U</m:t>
            </m:r>
          </m:e>
          <m:sub>
            <m:r>
              <w:rPr>
                <w:rFonts w:ascii="Cambria Math" w:hAnsi="Cambria Math" w:cs="Times New Roman"/>
                <w:sz w:val="20"/>
                <w:szCs w:val="20"/>
              </w:rPr>
              <m:t>3.5m</m:t>
            </m:r>
            <m:r>
              <w:rPr>
                <w:rFonts w:ascii="Cambria Math" w:hAnsi="Cambria Math" w:cs="Times New Roman" w:hint="eastAsia"/>
                <w:sz w:val="20"/>
                <w:szCs w:val="20"/>
              </w:rPr>
              <m:t>→</m:t>
            </m:r>
            <m:r>
              <w:rPr>
                <w:rFonts w:ascii="Cambria Math" w:hAnsi="Cambria Math" w:cs="Times New Roman" w:hint="eastAsia"/>
                <w:sz w:val="20"/>
                <w:szCs w:val="20"/>
              </w:rPr>
              <m:t>4.0m</m:t>
            </m:r>
          </m:sub>
        </m:sSub>
      </m:oMath>
      <w:r w:rsidRPr="006912F6">
        <w:rPr>
          <w:rFonts w:cs="Times New Roman"/>
          <w:sz w:val="20"/>
          <w:szCs w:val="20"/>
        </w:rPr>
        <w:t xml:space="preserve"> by different costs of flexibility (</w:t>
      </w:r>
      <w:r w:rsidRPr="006912F6">
        <w:rPr>
          <w:rFonts w:cs="Times New Roman"/>
          <w:i/>
          <w:sz w:val="20"/>
          <w:szCs w:val="20"/>
        </w:rPr>
        <w:t>I</w:t>
      </w:r>
      <w:r w:rsidRPr="006912F6">
        <w:rPr>
          <w:rFonts w:cs="Times New Roman"/>
          <w:i/>
          <w:sz w:val="20"/>
          <w:szCs w:val="20"/>
          <w:vertAlign w:val="subscript"/>
        </w:rPr>
        <w:t>f</w:t>
      </w:r>
      <w:r w:rsidRPr="006912F6">
        <w:rPr>
          <w:rFonts w:cs="Times New Roman"/>
          <w:sz w:val="20"/>
          <w:szCs w:val="20"/>
        </w:rPr>
        <w:t>) in different SLR scenarios.</w:t>
      </w:r>
    </w:p>
    <w:p w14:paraId="1C8F538C" w14:textId="69793C5B" w:rsidR="00045770" w:rsidRPr="006912F6" w:rsidRDefault="00045770" w:rsidP="00045770">
      <w:pPr>
        <w:jc w:val="both"/>
        <w:rPr>
          <w:rFonts w:cs="Times New Roman"/>
          <w:sz w:val="20"/>
          <w:szCs w:val="18"/>
        </w:rPr>
      </w:pPr>
      <w:r w:rsidRPr="006912F6">
        <w:rPr>
          <w:rFonts w:cs="Times New Roman"/>
          <w:sz w:val="20"/>
          <w:szCs w:val="20"/>
        </w:rPr>
        <w:t xml:space="preserve">For the H++ SLR scenario, the optimal investment for the first adaptation option is to implement now. The second investment will follow in the second optimal investment time (i.e. 2068 to 2077) which depends on flexibility costs. The optimal investment in milder SLR scenarios (i.e. </w:t>
      </w:r>
      <w:r w:rsidRPr="006912F6">
        <w:rPr>
          <w:rFonts w:cs="Times New Roman"/>
          <w:sz w:val="20"/>
          <w:szCs w:val="18"/>
        </w:rPr>
        <w:t xml:space="preserve">High, Medium and Low SLR scenarios) differ form that in the H++ SLR scenario. The first adaptation option will be implemented in 2032 to 2058 or the no investment will be made in the Historical SLR scenario. Investment in the second adaption will not be made for any mild SLR scenarios as it is considered excessive. This is a case where the investment cost is inefficiently allocated for the first and second stage adaptations. It is because the costs of first and second adaptations are excessive and inefficient. </w:t>
      </w:r>
    </w:p>
    <w:p w14:paraId="6B0D612C" w14:textId="5890999B" w:rsidR="001E39A4" w:rsidRPr="006912F6" w:rsidRDefault="001E39A4" w:rsidP="00045770">
      <w:pPr>
        <w:jc w:val="both"/>
        <w:rPr>
          <w:rFonts w:cs="Times New Roman"/>
          <w:sz w:val="20"/>
          <w:szCs w:val="18"/>
        </w:rPr>
      </w:pPr>
    </w:p>
    <w:p w14:paraId="42D111EB" w14:textId="77777777" w:rsidR="001E39A4" w:rsidRPr="006912F6" w:rsidRDefault="001E39A4" w:rsidP="001E39A4">
      <w:pPr>
        <w:pStyle w:val="a7"/>
        <w:numPr>
          <w:ilvl w:val="0"/>
          <w:numId w:val="12"/>
        </w:numPr>
        <w:spacing w:line="480" w:lineRule="auto"/>
        <w:jc w:val="both"/>
        <w:rPr>
          <w:rFonts w:cs="Times New Roman"/>
          <w:bCs/>
          <w:i/>
          <w:sz w:val="20"/>
          <w:szCs w:val="18"/>
        </w:rPr>
      </w:pPr>
      <w:r w:rsidRPr="006912F6">
        <w:rPr>
          <w:rFonts w:cs="Times New Roman"/>
          <w:bCs/>
          <w:sz w:val="20"/>
          <w:szCs w:val="18"/>
        </w:rPr>
        <w:t xml:space="preserve">   </w:t>
      </w:r>
      <m:oMath>
        <m:sSub>
          <m:sSubPr>
            <m:ctrlPr>
              <w:rPr>
                <w:rFonts w:ascii="Cambria Math" w:hAnsi="Cambria Math" w:cs="Times New Roman"/>
                <w:bCs/>
                <w:sz w:val="20"/>
                <w:szCs w:val="18"/>
              </w:rPr>
            </m:ctrlPr>
          </m:sSubPr>
          <m:e>
            <m:r>
              <w:rPr>
                <w:rFonts w:ascii="Cambria Math" w:hAnsi="Cambria Math" w:cs="Times New Roman"/>
                <w:sz w:val="20"/>
                <w:szCs w:val="18"/>
              </w:rPr>
              <m:t>U</m:t>
            </m:r>
          </m:e>
          <m:sub>
            <m:r>
              <w:rPr>
                <w:rFonts w:ascii="Cambria Math" w:hAnsi="Cambria Math" w:cs="Times New Roman"/>
                <w:sz w:val="20"/>
                <w:szCs w:val="18"/>
              </w:rPr>
              <m:t>c</m:t>
            </m:r>
            <m:r>
              <m:rPr>
                <m:sty m:val="p"/>
              </m:rPr>
              <w:rPr>
                <w:rFonts w:ascii="Cambria Math" w:hAnsi="Cambria Math" w:cs="Times New Roman" w:hint="eastAsia"/>
                <w:sz w:val="20"/>
                <w:szCs w:val="18"/>
              </w:rPr>
              <m:t>→</m:t>
            </m:r>
            <m:r>
              <m:rPr>
                <m:sty m:val="p"/>
              </m:rPr>
              <w:rPr>
                <w:rFonts w:ascii="Cambria Math" w:hAnsi="Cambria Math" w:cs="Times New Roman"/>
                <w:sz w:val="20"/>
                <w:szCs w:val="18"/>
              </w:rPr>
              <m:t>3.0</m:t>
            </m:r>
            <m:r>
              <w:rPr>
                <w:rFonts w:ascii="Cambria Math" w:hAnsi="Cambria Math" w:cs="Times New Roman"/>
                <w:sz w:val="20"/>
                <w:szCs w:val="18"/>
              </w:rPr>
              <m:t>m</m:t>
            </m:r>
          </m:sub>
        </m:sSub>
        <m:r>
          <m:rPr>
            <m:sty m:val="p"/>
          </m:rPr>
          <w:rPr>
            <w:rFonts w:ascii="Cambria Math" w:hAnsi="Cambria Math" w:cs="Times New Roman"/>
            <w:sz w:val="20"/>
            <w:szCs w:val="18"/>
          </w:rPr>
          <m:t>*</m:t>
        </m:r>
        <m:sSub>
          <m:sSubPr>
            <m:ctrlPr>
              <w:rPr>
                <w:rFonts w:ascii="Cambria Math" w:hAnsi="Cambria Math" w:cs="Times New Roman"/>
                <w:bCs/>
                <w:sz w:val="20"/>
                <w:szCs w:val="18"/>
              </w:rPr>
            </m:ctrlPr>
          </m:sSubPr>
          <m:e>
            <m:r>
              <w:rPr>
                <w:rFonts w:ascii="Cambria Math" w:hAnsi="Cambria Math" w:cs="Times New Roman"/>
                <w:sz w:val="20"/>
                <w:szCs w:val="18"/>
              </w:rPr>
              <m:t>U</m:t>
            </m:r>
          </m:e>
          <m:sub>
            <m:r>
              <m:rPr>
                <m:sty m:val="p"/>
              </m:rPr>
              <w:rPr>
                <w:rFonts w:ascii="Cambria Math" w:hAnsi="Cambria Math" w:cs="Times New Roman"/>
                <w:sz w:val="20"/>
                <w:szCs w:val="18"/>
              </w:rPr>
              <m:t>3.0</m:t>
            </m:r>
            <m:r>
              <w:rPr>
                <w:rFonts w:ascii="Cambria Math" w:hAnsi="Cambria Math" w:cs="Times New Roman"/>
                <w:sz w:val="20"/>
                <w:szCs w:val="18"/>
              </w:rPr>
              <m:t>m</m:t>
            </m:r>
            <m:r>
              <m:rPr>
                <m:sty m:val="p"/>
              </m:rPr>
              <w:rPr>
                <w:rFonts w:ascii="Cambria Math" w:hAnsi="Cambria Math" w:cs="Times New Roman" w:hint="eastAsia"/>
                <w:sz w:val="20"/>
                <w:szCs w:val="18"/>
              </w:rPr>
              <m:t>→</m:t>
            </m:r>
            <m:r>
              <m:rPr>
                <m:sty m:val="p"/>
              </m:rPr>
              <w:rPr>
                <w:rFonts w:ascii="Cambria Math" w:hAnsi="Cambria Math" w:cs="Times New Roman"/>
                <w:sz w:val="20"/>
                <w:szCs w:val="18"/>
              </w:rPr>
              <m:t>4.0</m:t>
            </m:r>
            <m:r>
              <w:rPr>
                <w:rFonts w:ascii="Cambria Math" w:hAnsi="Cambria Math" w:cs="Times New Roman"/>
                <w:sz w:val="20"/>
                <w:szCs w:val="18"/>
              </w:rPr>
              <m:t>m</m:t>
            </m:r>
          </m:sub>
        </m:sSub>
      </m:oMath>
    </w:p>
    <w:p w14:paraId="69A937B0" w14:textId="38A405B5" w:rsidR="001E39A4" w:rsidRPr="006912F6" w:rsidRDefault="001E39A4" w:rsidP="001E39A4">
      <w:pPr>
        <w:jc w:val="both"/>
        <w:rPr>
          <w:rFonts w:cs="Times New Roman"/>
          <w:sz w:val="20"/>
          <w:szCs w:val="18"/>
        </w:rPr>
      </w:pPr>
      <w:r w:rsidRPr="006912F6">
        <w:rPr>
          <w:rFonts w:cs="Times New Roman"/>
          <w:sz w:val="20"/>
          <w:szCs w:val="18"/>
        </w:rPr>
        <w:t>The previous two-stage upgrades have evenly distributed the cost of flexibility into each stage of the adaptation path. When considering a higher standard-of-protection coastal defence in the final stage, the distribution rule for investment costs needs to be modified to allocate more costs in the first stage than in the later stage. For example, the first-stage investment which is extendable to 4.0 mAOD in all the stages should cost more than the investment extendable up to 3.5 mAOD. In practice, more extendable coastal adaptations may require stronger base and wider area than less extendable one. For simplicity, flexibility cost (</w:t>
      </w:r>
      <w:r w:rsidRPr="006912F6">
        <w:rPr>
          <w:rFonts w:cs="Times New Roman"/>
          <w:i/>
          <w:iCs/>
          <w:sz w:val="20"/>
          <w:szCs w:val="18"/>
        </w:rPr>
        <w:t>I</w:t>
      </w:r>
      <w:r w:rsidRPr="006912F6">
        <w:rPr>
          <w:rFonts w:cs="Times New Roman"/>
          <w:i/>
          <w:iCs/>
          <w:sz w:val="20"/>
          <w:szCs w:val="18"/>
          <w:vertAlign w:val="subscript"/>
        </w:rPr>
        <w:t>f</w:t>
      </w:r>
      <w:r w:rsidRPr="006912F6">
        <w:rPr>
          <w:rFonts w:cs="Times New Roman"/>
          <w:sz w:val="20"/>
          <w:szCs w:val="18"/>
        </w:rPr>
        <w:t xml:space="preserve">) has been added to the original cost of </w:t>
      </w:r>
      <m:oMath>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c</m:t>
            </m:r>
            <m:r>
              <w:rPr>
                <w:rFonts w:ascii="Cambria Math" w:hAnsi="Cambria Math" w:cs="Times New Roman" w:hint="eastAsia"/>
                <w:sz w:val="20"/>
                <w:szCs w:val="18"/>
              </w:rPr>
              <m:t>→</m:t>
            </m:r>
            <m:r>
              <w:rPr>
                <w:rFonts w:ascii="Cambria Math" w:hAnsi="Cambria Math" w:cs="Times New Roman"/>
                <w:sz w:val="20"/>
                <w:szCs w:val="18"/>
              </w:rPr>
              <m:t>4.0m</m:t>
            </m:r>
          </m:sub>
        </m:sSub>
      </m:oMath>
      <w:r w:rsidRPr="006912F6">
        <w:rPr>
          <w:rFonts w:cs="Times New Roman"/>
          <w:sz w:val="20"/>
          <w:szCs w:val="18"/>
        </w:rPr>
        <w:t xml:space="preserve"> and the overall cost including flexibility cost (</w:t>
      </w:r>
      <w:r w:rsidRPr="006912F6">
        <w:rPr>
          <w:rFonts w:cs="Times New Roman"/>
          <w:i/>
          <w:iCs/>
          <w:sz w:val="20"/>
          <w:szCs w:val="18"/>
        </w:rPr>
        <w:t>I</w:t>
      </w:r>
      <w:r w:rsidRPr="006912F6">
        <w:rPr>
          <w:rFonts w:cs="Times New Roman"/>
          <w:i/>
          <w:iCs/>
          <w:sz w:val="20"/>
          <w:szCs w:val="18"/>
          <w:vertAlign w:val="subscript"/>
        </w:rPr>
        <w:t>o</w:t>
      </w:r>
      <w:r w:rsidRPr="006912F6">
        <w:rPr>
          <w:rFonts w:cs="Times New Roman"/>
          <w:i/>
          <w:iCs/>
          <w:sz w:val="20"/>
          <w:szCs w:val="18"/>
        </w:rPr>
        <w:t>+I</w:t>
      </w:r>
      <w:r w:rsidRPr="006912F6">
        <w:rPr>
          <w:rFonts w:cs="Times New Roman"/>
          <w:i/>
          <w:iCs/>
          <w:sz w:val="20"/>
          <w:szCs w:val="18"/>
          <w:vertAlign w:val="subscript"/>
        </w:rPr>
        <w:t>f</w:t>
      </w:r>
      <w:r w:rsidRPr="006912F6">
        <w:rPr>
          <w:rFonts w:cs="Times New Roman"/>
          <w:sz w:val="20"/>
          <w:szCs w:val="18"/>
        </w:rPr>
        <w:t xml:space="preserve">) has been halved into the costs of </w:t>
      </w:r>
      <m:oMath>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c</m:t>
            </m:r>
            <m:r>
              <w:rPr>
                <w:rFonts w:ascii="Cambria Math" w:hAnsi="Cambria Math" w:cs="Times New Roman" w:hint="eastAsia"/>
                <w:sz w:val="20"/>
                <w:szCs w:val="18"/>
              </w:rPr>
              <m:t>→</m:t>
            </m:r>
            <m:r>
              <w:rPr>
                <w:rFonts w:ascii="Cambria Math" w:hAnsi="Cambria Math" w:cs="Times New Roman"/>
                <w:sz w:val="20"/>
                <w:szCs w:val="18"/>
              </w:rPr>
              <m:t>3.0m</m:t>
            </m:r>
          </m:sub>
        </m:sSub>
      </m:oMath>
      <w:r w:rsidRPr="006912F6">
        <w:rPr>
          <w:rFonts w:cs="Times New Roman"/>
          <w:sz w:val="20"/>
          <w:szCs w:val="18"/>
        </w:rPr>
        <w:t xml:space="preserve"> and </w:t>
      </w:r>
      <m:oMath>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3.0</m:t>
            </m:r>
            <m:r>
              <w:rPr>
                <w:rFonts w:ascii="Cambria Math" w:hAnsi="Cambria Math" w:cs="Times New Roman" w:hint="eastAsia"/>
                <w:sz w:val="20"/>
                <w:szCs w:val="18"/>
              </w:rPr>
              <m:t>→</m:t>
            </m:r>
            <m:r>
              <w:rPr>
                <w:rFonts w:ascii="Cambria Math" w:hAnsi="Cambria Math" w:cs="Times New Roman"/>
                <w:sz w:val="20"/>
                <w:szCs w:val="18"/>
              </w:rPr>
              <m:t>4.0m</m:t>
            </m:r>
          </m:sub>
        </m:sSub>
      </m:oMath>
      <w:r w:rsidRPr="006912F6">
        <w:rPr>
          <w:rFonts w:cs="Times New Roman"/>
          <w:sz w:val="20"/>
          <w:szCs w:val="18"/>
        </w:rPr>
        <w:t xml:space="preserve">.  Table </w:t>
      </w:r>
      <w:r w:rsidR="00B41568" w:rsidRPr="006912F6">
        <w:rPr>
          <w:rFonts w:cs="Times New Roman"/>
          <w:sz w:val="20"/>
          <w:szCs w:val="18"/>
        </w:rPr>
        <w:t>3.6</w:t>
      </w:r>
      <w:r w:rsidRPr="006912F6">
        <w:rPr>
          <w:rFonts w:cs="Times New Roman"/>
          <w:sz w:val="20"/>
          <w:szCs w:val="18"/>
        </w:rPr>
        <w:t xml:space="preserve"> shows the option values of </w:t>
      </w:r>
      <m:oMath>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c</m:t>
            </m:r>
            <m:r>
              <w:rPr>
                <w:rFonts w:ascii="Cambria Math" w:hAnsi="Cambria Math" w:cs="Times New Roman" w:hint="eastAsia"/>
                <w:sz w:val="20"/>
                <w:szCs w:val="18"/>
              </w:rPr>
              <m:t>→</m:t>
            </m:r>
            <m:r>
              <w:rPr>
                <w:rFonts w:ascii="Cambria Math" w:hAnsi="Cambria Math" w:cs="Times New Roman"/>
                <w:sz w:val="20"/>
                <w:szCs w:val="18"/>
              </w:rPr>
              <m:t>3.0m</m:t>
            </m:r>
          </m:sub>
        </m:sSub>
        <m:r>
          <w:rPr>
            <w:rFonts w:ascii="Cambria Math" w:hAnsi="Cambria Math" w:cs="Times New Roman"/>
            <w:sz w:val="20"/>
            <w:szCs w:val="18"/>
          </w:rPr>
          <m:t>*</m:t>
        </m:r>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3.0</m:t>
            </m:r>
            <m:r>
              <w:rPr>
                <w:rFonts w:ascii="Cambria Math" w:hAnsi="Cambria Math" w:cs="Times New Roman" w:hint="eastAsia"/>
                <w:sz w:val="20"/>
                <w:szCs w:val="18"/>
              </w:rPr>
              <m:t>→</m:t>
            </m:r>
            <m:r>
              <w:rPr>
                <w:rFonts w:ascii="Cambria Math" w:hAnsi="Cambria Math" w:cs="Times New Roman"/>
                <w:sz w:val="20"/>
                <w:szCs w:val="18"/>
              </w:rPr>
              <m:t>4.0m</m:t>
            </m:r>
          </m:sub>
        </m:sSub>
      </m:oMath>
      <w:r w:rsidRPr="006912F6">
        <w:rPr>
          <w:rFonts w:cs="Times New Roman"/>
          <w:sz w:val="20"/>
          <w:szCs w:val="18"/>
        </w:rPr>
        <w:t xml:space="preserve"> under different SLR scenarios and costs of flexibility. </w:t>
      </w:r>
    </w:p>
    <w:p w14:paraId="1BCA5A8B" w14:textId="77777777" w:rsidR="001E39A4" w:rsidRPr="006912F6" w:rsidRDefault="001E39A4" w:rsidP="001E39A4">
      <w:pPr>
        <w:jc w:val="both"/>
        <w:rPr>
          <w:sz w:val="20"/>
          <w:szCs w:val="18"/>
        </w:rPr>
      </w:pPr>
      <w:r w:rsidRPr="006912F6">
        <w:rPr>
          <w:sz w:val="20"/>
          <w:szCs w:val="18"/>
        </w:rPr>
        <w:t>In the H++ SLR scenario, the optimal investment for the first adaptation option is to implement immediately while the optimisation of the second adaptation option is to invest in 2050 to 2052. On the contrary, in other mild SLR scenarios (i.e. High, Medium and Low SLR scenarios), the first adaptation option has different optimal investment times (2019 to 2100) whereas the second adaptation option will not be made in the 21</w:t>
      </w:r>
      <w:r w:rsidRPr="006912F6">
        <w:rPr>
          <w:sz w:val="20"/>
          <w:szCs w:val="18"/>
          <w:vertAlign w:val="superscript"/>
        </w:rPr>
        <w:t>st</w:t>
      </w:r>
      <w:r w:rsidRPr="006912F6">
        <w:rPr>
          <w:sz w:val="20"/>
          <w:szCs w:val="18"/>
        </w:rPr>
        <w:t xml:space="preserve"> century. The overall investment cost will be spent on the first stage adaptation option in these mild scenarios.</w:t>
      </w:r>
    </w:p>
    <w:p w14:paraId="3E61A3AE" w14:textId="77777777" w:rsidR="001E39A4" w:rsidRPr="006912F6" w:rsidRDefault="001E39A4" w:rsidP="00045770">
      <w:pPr>
        <w:jc w:val="both"/>
        <w:rPr>
          <w:rFonts w:cs="Times New Roman"/>
          <w:sz w:val="20"/>
          <w:szCs w:val="20"/>
        </w:rPr>
      </w:pPr>
    </w:p>
    <w:p w14:paraId="24C75E91" w14:textId="28B6821F" w:rsidR="00045770" w:rsidRPr="006912F6" w:rsidRDefault="00045770" w:rsidP="001B757C">
      <w:pPr>
        <w:pStyle w:val="a4"/>
        <w:spacing w:after="240"/>
        <w:jc w:val="both"/>
        <w:rPr>
          <w:b/>
          <w:bCs/>
          <w:i w:val="0"/>
          <w:color w:val="auto"/>
        </w:rPr>
      </w:pPr>
    </w:p>
    <w:p w14:paraId="2BE7C78E" w14:textId="471009DA" w:rsidR="001B757C" w:rsidRPr="006912F6" w:rsidRDefault="001B757C" w:rsidP="001B757C">
      <w:pPr>
        <w:pStyle w:val="a4"/>
        <w:spacing w:after="240"/>
        <w:jc w:val="both"/>
        <w:rPr>
          <w:rFonts w:cs="Times New Roman"/>
          <w:i w:val="0"/>
          <w:color w:val="auto"/>
          <w:sz w:val="20"/>
          <w:szCs w:val="14"/>
        </w:rPr>
      </w:pPr>
      <w:r w:rsidRPr="006912F6">
        <w:rPr>
          <w:b/>
          <w:bCs/>
          <w:i w:val="0"/>
          <w:color w:val="auto"/>
          <w:sz w:val="20"/>
          <w:szCs w:val="14"/>
        </w:rPr>
        <w:lastRenderedPageBreak/>
        <w:t xml:space="preserve">Table </w:t>
      </w:r>
      <w:r w:rsidR="00B41568" w:rsidRPr="006912F6">
        <w:rPr>
          <w:b/>
          <w:bCs/>
          <w:i w:val="0"/>
          <w:color w:val="auto"/>
          <w:sz w:val="20"/>
          <w:szCs w:val="14"/>
        </w:rPr>
        <w:t>3.</w:t>
      </w:r>
      <w:r w:rsidR="00AC3AA0" w:rsidRPr="006912F6">
        <w:rPr>
          <w:b/>
          <w:bCs/>
          <w:i w:val="0"/>
          <w:color w:val="auto"/>
          <w:sz w:val="20"/>
          <w:szCs w:val="14"/>
        </w:rPr>
        <w:t>5</w:t>
      </w:r>
      <w:r w:rsidRPr="006912F6">
        <w:rPr>
          <w:b/>
          <w:bCs/>
          <w:i w:val="0"/>
          <w:color w:val="auto"/>
          <w:sz w:val="20"/>
          <w:szCs w:val="14"/>
        </w:rPr>
        <w:t xml:space="preserve">. </w:t>
      </w:r>
      <w:r w:rsidRPr="006912F6">
        <w:rPr>
          <w:rFonts w:cs="Times New Roman"/>
          <w:i w:val="0"/>
          <w:color w:val="auto"/>
          <w:sz w:val="20"/>
          <w:szCs w:val="14"/>
        </w:rPr>
        <w:t>Option values (NPV</w:t>
      </w:r>
      <w:r w:rsidRPr="006912F6">
        <w:rPr>
          <w:rFonts w:cs="Times New Roman"/>
          <w:i w:val="0"/>
          <w:color w:val="auto"/>
          <w:sz w:val="20"/>
          <w:szCs w:val="14"/>
          <w:vertAlign w:val="subscript"/>
        </w:rPr>
        <w:t>opt</w:t>
      </w:r>
      <w:r w:rsidRPr="006912F6">
        <w:rPr>
          <w:rFonts w:cs="Times New Roman"/>
          <w:i w:val="0"/>
          <w:color w:val="auto"/>
          <w:sz w:val="20"/>
          <w:szCs w:val="14"/>
        </w:rPr>
        <w:t xml:space="preserve">) and optimal investment times (OIT) by different premium values in different SLR scenarios for the adaptation path of </w:t>
      </w:r>
      <m:oMath>
        <m:sSub>
          <m:sSubPr>
            <m:ctrlPr>
              <w:rPr>
                <w:rFonts w:ascii="Cambria Math" w:hAnsi="Cambria Math" w:cs="Times New Roman"/>
                <w:i w:val="0"/>
                <w:color w:val="auto"/>
                <w:sz w:val="20"/>
                <w:szCs w:val="14"/>
              </w:rPr>
            </m:ctrlPr>
          </m:sSubPr>
          <m:e>
            <m:r>
              <w:rPr>
                <w:rFonts w:ascii="Cambria Math" w:hAnsi="Cambria Math" w:cs="Times New Roman" w:hint="eastAsia"/>
                <w:color w:val="auto"/>
                <w:sz w:val="20"/>
                <w:szCs w:val="14"/>
              </w:rPr>
              <m:t>U</m:t>
            </m:r>
          </m:e>
          <m:sub>
            <m:r>
              <w:rPr>
                <w:rFonts w:ascii="Cambria Math" w:hAnsi="Cambria Math" w:cs="Times New Roman" w:hint="eastAsia"/>
                <w:color w:val="auto"/>
                <w:sz w:val="20"/>
                <w:szCs w:val="14"/>
              </w:rPr>
              <m:t>c</m:t>
            </m:r>
            <m:r>
              <w:rPr>
                <w:rFonts w:ascii="Cambria Math" w:hAnsi="Cambria Math" w:cs="Times New Roman" w:hint="eastAsia"/>
                <w:color w:val="auto"/>
                <w:sz w:val="20"/>
                <w:szCs w:val="14"/>
              </w:rPr>
              <m:t>→</m:t>
            </m:r>
            <m:r>
              <w:rPr>
                <w:rFonts w:ascii="Cambria Math" w:hAnsi="Cambria Math" w:cs="Times New Roman" w:hint="eastAsia"/>
                <w:color w:val="auto"/>
                <w:sz w:val="20"/>
                <w:szCs w:val="14"/>
              </w:rPr>
              <m:t>3.5m</m:t>
            </m:r>
          </m:sub>
        </m:sSub>
        <m:r>
          <w:rPr>
            <w:rFonts w:ascii="Cambria Math" w:hAnsi="Cambria Math" w:cs="Times New Roman"/>
            <w:color w:val="auto"/>
            <w:sz w:val="20"/>
            <w:szCs w:val="14"/>
          </w:rPr>
          <m:t>*</m:t>
        </m:r>
        <m:sSub>
          <m:sSubPr>
            <m:ctrlPr>
              <w:rPr>
                <w:rFonts w:ascii="Cambria Math" w:hAnsi="Cambria Math" w:cs="Times New Roman"/>
                <w:i w:val="0"/>
                <w:color w:val="auto"/>
                <w:sz w:val="20"/>
                <w:szCs w:val="14"/>
              </w:rPr>
            </m:ctrlPr>
          </m:sSubPr>
          <m:e>
            <m:r>
              <w:rPr>
                <w:rFonts w:ascii="Cambria Math" w:hAnsi="Cambria Math" w:cs="Times New Roman" w:hint="eastAsia"/>
                <w:color w:val="auto"/>
                <w:sz w:val="20"/>
                <w:szCs w:val="14"/>
              </w:rPr>
              <m:t>U</m:t>
            </m:r>
          </m:e>
          <m:sub>
            <m:r>
              <w:rPr>
                <w:rFonts w:ascii="Cambria Math" w:hAnsi="Cambria Math" w:cs="Times New Roman" w:hint="eastAsia"/>
                <w:color w:val="auto"/>
                <w:sz w:val="20"/>
                <w:szCs w:val="14"/>
              </w:rPr>
              <m:t>3.5m</m:t>
            </m:r>
            <m:r>
              <w:rPr>
                <w:rFonts w:ascii="Cambria Math" w:hAnsi="Cambria Math" w:cs="Times New Roman" w:hint="eastAsia"/>
                <w:color w:val="auto"/>
                <w:sz w:val="20"/>
                <w:szCs w:val="14"/>
              </w:rPr>
              <m:t>→</m:t>
            </m:r>
            <m:r>
              <w:rPr>
                <w:rFonts w:ascii="Cambria Math" w:hAnsi="Cambria Math" w:cs="Times New Roman" w:hint="eastAsia"/>
                <w:color w:val="auto"/>
                <w:sz w:val="20"/>
                <w:szCs w:val="14"/>
              </w:rPr>
              <m:t>4.0m</m:t>
            </m:r>
          </m:sub>
        </m:sSub>
      </m:oMath>
    </w:p>
    <w:tbl>
      <w:tblPr>
        <w:tblStyle w:val="a3"/>
        <w:tblW w:w="0" w:type="auto"/>
        <w:tblBorders>
          <w:left w:val="none" w:sz="0" w:space="0" w:color="auto"/>
          <w:right w:val="none" w:sz="0" w:space="0" w:color="auto"/>
        </w:tblBorders>
        <w:tblLook w:val="04A0" w:firstRow="1" w:lastRow="0" w:firstColumn="1" w:lastColumn="0" w:noHBand="0" w:noVBand="1"/>
      </w:tblPr>
      <w:tblGrid>
        <w:gridCol w:w="1041"/>
        <w:gridCol w:w="1060"/>
        <w:gridCol w:w="895"/>
        <w:gridCol w:w="986"/>
        <w:gridCol w:w="751"/>
        <w:gridCol w:w="895"/>
        <w:gridCol w:w="986"/>
        <w:gridCol w:w="751"/>
        <w:gridCol w:w="895"/>
        <w:gridCol w:w="987"/>
      </w:tblGrid>
      <w:tr w:rsidR="006912F6" w:rsidRPr="006912F6" w14:paraId="41673B9A" w14:textId="77777777" w:rsidTr="001E39A4">
        <w:trPr>
          <w:trHeight w:val="678"/>
        </w:trPr>
        <w:tc>
          <w:tcPr>
            <w:tcW w:w="1041" w:type="dxa"/>
            <w:vMerge w:val="restart"/>
            <w:vAlign w:val="center"/>
          </w:tcPr>
          <w:p w14:paraId="75DF6740"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SLR scenario</w:t>
            </w:r>
          </w:p>
        </w:tc>
        <w:tc>
          <w:tcPr>
            <w:tcW w:w="1060" w:type="dxa"/>
            <w:vMerge w:val="restart"/>
            <w:vAlign w:val="center"/>
          </w:tcPr>
          <w:p w14:paraId="16890C32"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Premium scenario</w:t>
            </w:r>
          </w:p>
        </w:tc>
        <w:tc>
          <w:tcPr>
            <w:tcW w:w="2632" w:type="dxa"/>
            <w:gridSpan w:val="3"/>
            <w:vAlign w:val="center"/>
          </w:tcPr>
          <w:p w14:paraId="22A59D14"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 xml:space="preserve">The first phase adaptation </w:t>
            </w:r>
            <m:oMath>
              <m:r>
                <m:rPr>
                  <m:sty m:val="p"/>
                </m:rPr>
                <w:rPr>
                  <w:rFonts w:ascii="Cambria Math" w:hAnsi="Cambria Math" w:cstheme="majorHAnsi"/>
                  <w:sz w:val="20"/>
                </w:rPr>
                <m:t>(</m:t>
              </m:r>
              <m:sSub>
                <m:sSubPr>
                  <m:ctrlPr>
                    <w:rPr>
                      <w:rFonts w:ascii="Cambria Math" w:hAnsi="Cambria Math" w:cstheme="majorHAnsi"/>
                      <w:i/>
                      <w:sz w:val="20"/>
                    </w:rPr>
                  </m:ctrlPr>
                </m:sSubPr>
                <m:e>
                  <m:r>
                    <w:rPr>
                      <w:rFonts w:ascii="Cambria Math" w:hAnsi="Cambria Math" w:cstheme="majorHAnsi"/>
                      <w:sz w:val="20"/>
                    </w:rPr>
                    <m:t>U</m:t>
                  </m:r>
                </m:e>
                <m:sub>
                  <m:r>
                    <w:rPr>
                      <w:rFonts w:ascii="Cambria Math" w:hAnsi="Cambria Math" w:cstheme="majorHAnsi"/>
                      <w:sz w:val="20"/>
                    </w:rPr>
                    <m:t>c→3.5m</m:t>
                  </m:r>
                </m:sub>
              </m:sSub>
              <m:r>
                <w:rPr>
                  <w:rFonts w:ascii="Cambria Math" w:hAnsi="Cambria Math" w:cstheme="majorHAnsi"/>
                  <w:sz w:val="20"/>
                </w:rPr>
                <m:t>)</m:t>
              </m:r>
            </m:oMath>
          </w:p>
        </w:tc>
        <w:tc>
          <w:tcPr>
            <w:tcW w:w="2632" w:type="dxa"/>
            <w:gridSpan w:val="3"/>
            <w:vAlign w:val="center"/>
          </w:tcPr>
          <w:p w14:paraId="4687C39C"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The second phase adaptation (</w:t>
            </w:r>
            <m:oMath>
              <m:sSub>
                <m:sSubPr>
                  <m:ctrlPr>
                    <w:rPr>
                      <w:rFonts w:ascii="Cambria Math" w:hAnsi="Cambria Math" w:cstheme="majorHAnsi"/>
                      <w:i/>
                      <w:sz w:val="20"/>
                    </w:rPr>
                  </m:ctrlPr>
                </m:sSubPr>
                <m:e>
                  <m:r>
                    <w:rPr>
                      <w:rFonts w:ascii="Cambria Math" w:hAnsi="Cambria Math" w:cstheme="majorHAnsi"/>
                      <w:sz w:val="20"/>
                    </w:rPr>
                    <m:t>U</m:t>
                  </m:r>
                </m:e>
                <m:sub>
                  <m:r>
                    <w:rPr>
                      <w:rFonts w:ascii="Cambria Math" w:hAnsi="Cambria Math" w:cstheme="majorHAnsi"/>
                      <w:sz w:val="20"/>
                    </w:rPr>
                    <m:t>3.5m→4.0m</m:t>
                  </m:r>
                </m:sub>
              </m:sSub>
              <m:r>
                <w:rPr>
                  <w:rFonts w:ascii="Cambria Math" w:hAnsi="Cambria Math" w:cstheme="majorHAnsi"/>
                  <w:sz w:val="20"/>
                </w:rPr>
                <m:t>)</m:t>
              </m:r>
            </m:oMath>
          </w:p>
        </w:tc>
        <w:tc>
          <w:tcPr>
            <w:tcW w:w="1882" w:type="dxa"/>
            <w:gridSpan w:val="2"/>
            <w:vAlign w:val="center"/>
          </w:tcPr>
          <w:p w14:paraId="61680C1D"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The overall adaptations</w:t>
            </w:r>
          </w:p>
          <w:p w14:paraId="6FA5A992"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w:t>
            </w:r>
            <m:oMath>
              <m:sSub>
                <m:sSubPr>
                  <m:ctrlPr>
                    <w:rPr>
                      <w:rFonts w:ascii="Cambria Math" w:hAnsi="Cambria Math" w:cstheme="majorHAnsi"/>
                      <w:i/>
                      <w:sz w:val="16"/>
                    </w:rPr>
                  </m:ctrlPr>
                </m:sSubPr>
                <m:e>
                  <m:r>
                    <w:rPr>
                      <w:rFonts w:ascii="Cambria Math" w:hAnsi="Cambria Math" w:cstheme="majorHAnsi"/>
                      <w:sz w:val="16"/>
                    </w:rPr>
                    <m:t>U</m:t>
                  </m:r>
                </m:e>
                <m:sub>
                  <m:r>
                    <w:rPr>
                      <w:rFonts w:ascii="Cambria Math" w:hAnsi="Cambria Math" w:cstheme="majorHAnsi"/>
                      <w:sz w:val="16"/>
                    </w:rPr>
                    <m:t>c→3.5m</m:t>
                  </m:r>
                </m:sub>
              </m:sSub>
              <m:r>
                <w:rPr>
                  <w:rFonts w:ascii="Cambria Math" w:hAnsi="Cambria Math" w:cstheme="majorHAnsi"/>
                  <w:sz w:val="16"/>
                </w:rPr>
                <m:t>*</m:t>
              </m:r>
              <m:sSub>
                <m:sSubPr>
                  <m:ctrlPr>
                    <w:rPr>
                      <w:rFonts w:ascii="Cambria Math" w:hAnsi="Cambria Math" w:cstheme="majorHAnsi"/>
                      <w:i/>
                      <w:sz w:val="16"/>
                    </w:rPr>
                  </m:ctrlPr>
                </m:sSubPr>
                <m:e>
                  <m:r>
                    <w:rPr>
                      <w:rFonts w:ascii="Cambria Math" w:hAnsi="Cambria Math" w:cstheme="majorHAnsi"/>
                      <w:sz w:val="16"/>
                    </w:rPr>
                    <m:t>U</m:t>
                  </m:r>
                </m:e>
                <m:sub>
                  <m:r>
                    <w:rPr>
                      <w:rFonts w:ascii="Cambria Math" w:hAnsi="Cambria Math" w:cstheme="majorHAnsi"/>
                      <w:sz w:val="16"/>
                    </w:rPr>
                    <m:t>3.5m→4.0m</m:t>
                  </m:r>
                </m:sub>
              </m:sSub>
              <m:r>
                <w:rPr>
                  <w:rFonts w:ascii="Cambria Math" w:hAnsi="Cambria Math" w:cstheme="majorHAnsi"/>
                  <w:sz w:val="16"/>
                </w:rPr>
                <m:t>)</m:t>
              </m:r>
            </m:oMath>
          </w:p>
        </w:tc>
      </w:tr>
      <w:tr w:rsidR="006912F6" w:rsidRPr="006912F6" w14:paraId="0B6E61F4" w14:textId="77777777" w:rsidTr="001E39A4">
        <w:trPr>
          <w:trHeight w:val="653"/>
        </w:trPr>
        <w:tc>
          <w:tcPr>
            <w:tcW w:w="1041" w:type="dxa"/>
            <w:vMerge/>
            <w:vAlign w:val="center"/>
          </w:tcPr>
          <w:p w14:paraId="30665CA3" w14:textId="77777777" w:rsidR="001B757C" w:rsidRPr="006912F6" w:rsidRDefault="001B757C" w:rsidP="000C4BE5">
            <w:pPr>
              <w:spacing w:before="0" w:line="240" w:lineRule="auto"/>
              <w:rPr>
                <w:rFonts w:asciiTheme="majorHAnsi" w:hAnsiTheme="majorHAnsi" w:cstheme="majorHAnsi"/>
                <w:sz w:val="20"/>
              </w:rPr>
            </w:pPr>
          </w:p>
        </w:tc>
        <w:tc>
          <w:tcPr>
            <w:tcW w:w="1060" w:type="dxa"/>
            <w:vMerge/>
            <w:tcBorders>
              <w:bottom w:val="single" w:sz="4" w:space="0" w:color="auto"/>
            </w:tcBorders>
            <w:vAlign w:val="center"/>
          </w:tcPr>
          <w:p w14:paraId="61FC9CF3" w14:textId="77777777" w:rsidR="001B757C" w:rsidRPr="006912F6" w:rsidRDefault="001B757C" w:rsidP="000C4BE5">
            <w:pPr>
              <w:spacing w:before="0" w:line="240" w:lineRule="auto"/>
              <w:rPr>
                <w:rFonts w:asciiTheme="majorHAnsi" w:hAnsiTheme="majorHAnsi" w:cstheme="majorHAnsi"/>
                <w:sz w:val="20"/>
              </w:rPr>
            </w:pPr>
          </w:p>
        </w:tc>
        <w:tc>
          <w:tcPr>
            <w:tcW w:w="895" w:type="dxa"/>
            <w:tcBorders>
              <w:bottom w:val="single" w:sz="4" w:space="0" w:color="auto"/>
            </w:tcBorders>
            <w:vAlign w:val="center"/>
          </w:tcPr>
          <w:p w14:paraId="331DF7E9" w14:textId="059A9DB9" w:rsidR="001B757C" w:rsidRPr="006912F6" w:rsidRDefault="001B757C" w:rsidP="000C4BE5">
            <w:pPr>
              <w:spacing w:before="0" w:line="240" w:lineRule="auto"/>
              <w:jc w:val="center"/>
              <w:rPr>
                <w:rFonts w:asciiTheme="majorHAnsi" w:hAnsiTheme="majorHAnsi" w:cstheme="majorHAnsi"/>
                <w:i/>
                <w:sz w:val="20"/>
              </w:rPr>
            </w:pPr>
            <w:r w:rsidRPr="006912F6">
              <w:rPr>
                <w:rFonts w:asciiTheme="majorHAnsi" w:hAnsiTheme="majorHAnsi" w:cstheme="majorHAnsi"/>
                <w:i/>
                <w:sz w:val="20"/>
              </w:rPr>
              <w:t>I+</w:t>
            </w:r>
            <w:r w:rsidR="006912F6" w:rsidRPr="006912F6">
              <w:rPr>
                <w:rFonts w:asciiTheme="majorHAnsi" w:hAnsiTheme="majorHAnsi" w:cstheme="majorHAnsi"/>
                <w:i/>
                <w:sz w:val="20"/>
              </w:rPr>
              <w:t>I</w:t>
            </w:r>
            <w:r w:rsidR="006912F6" w:rsidRPr="006912F6">
              <w:rPr>
                <w:rFonts w:asciiTheme="majorHAnsi" w:hAnsiTheme="majorHAnsi" w:cstheme="majorHAnsi"/>
                <w:i/>
                <w:sz w:val="20"/>
                <w:vertAlign w:val="subscript"/>
              </w:rPr>
              <w:t>f</w:t>
            </w:r>
          </w:p>
          <w:p w14:paraId="1FBC731F"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 M)</w:t>
            </w:r>
          </w:p>
        </w:tc>
        <w:tc>
          <w:tcPr>
            <w:tcW w:w="986" w:type="dxa"/>
            <w:tcBorders>
              <w:bottom w:val="single" w:sz="4" w:space="0" w:color="auto"/>
            </w:tcBorders>
            <w:vAlign w:val="center"/>
          </w:tcPr>
          <w:p w14:paraId="1B993F0F"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NPV</w:t>
            </w:r>
            <w:r w:rsidRPr="006912F6">
              <w:rPr>
                <w:rFonts w:asciiTheme="majorHAnsi" w:hAnsiTheme="majorHAnsi" w:cstheme="majorHAnsi"/>
                <w:sz w:val="20"/>
                <w:vertAlign w:val="subscript"/>
              </w:rPr>
              <w:t>OPT</w:t>
            </w:r>
            <w:r w:rsidRPr="006912F6">
              <w:rPr>
                <w:rFonts w:asciiTheme="majorHAnsi" w:hAnsiTheme="majorHAnsi" w:cstheme="majorHAnsi"/>
                <w:sz w:val="20"/>
              </w:rPr>
              <w:t xml:space="preserve"> </w:t>
            </w:r>
          </w:p>
          <w:p w14:paraId="6114F146"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 M)</w:t>
            </w:r>
          </w:p>
        </w:tc>
        <w:tc>
          <w:tcPr>
            <w:tcW w:w="750" w:type="dxa"/>
            <w:tcBorders>
              <w:bottom w:val="single" w:sz="4" w:space="0" w:color="auto"/>
            </w:tcBorders>
            <w:vAlign w:val="center"/>
          </w:tcPr>
          <w:p w14:paraId="7B78E790"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OIT</w:t>
            </w:r>
          </w:p>
        </w:tc>
        <w:tc>
          <w:tcPr>
            <w:tcW w:w="895" w:type="dxa"/>
            <w:tcBorders>
              <w:bottom w:val="single" w:sz="4" w:space="0" w:color="auto"/>
            </w:tcBorders>
            <w:vAlign w:val="center"/>
          </w:tcPr>
          <w:p w14:paraId="6858770C" w14:textId="25B428B3" w:rsidR="001B757C" w:rsidRPr="006912F6" w:rsidRDefault="001B757C" w:rsidP="000C4BE5">
            <w:pPr>
              <w:spacing w:before="0" w:line="240" w:lineRule="auto"/>
              <w:jc w:val="center"/>
              <w:rPr>
                <w:rFonts w:asciiTheme="majorHAnsi" w:hAnsiTheme="majorHAnsi" w:cstheme="majorHAnsi"/>
                <w:i/>
                <w:sz w:val="20"/>
              </w:rPr>
            </w:pPr>
            <w:r w:rsidRPr="006912F6">
              <w:rPr>
                <w:rFonts w:asciiTheme="majorHAnsi" w:hAnsiTheme="majorHAnsi" w:cstheme="majorHAnsi"/>
                <w:i/>
                <w:sz w:val="20"/>
              </w:rPr>
              <w:t>I+</w:t>
            </w:r>
            <w:r w:rsidR="006912F6" w:rsidRPr="006912F6">
              <w:rPr>
                <w:rFonts w:asciiTheme="majorHAnsi" w:hAnsiTheme="majorHAnsi" w:cstheme="majorHAnsi"/>
                <w:i/>
                <w:sz w:val="20"/>
              </w:rPr>
              <w:t>I</w:t>
            </w:r>
            <w:r w:rsidR="006912F6" w:rsidRPr="006912F6">
              <w:rPr>
                <w:rFonts w:asciiTheme="majorHAnsi" w:hAnsiTheme="majorHAnsi" w:cstheme="majorHAnsi"/>
                <w:i/>
                <w:sz w:val="20"/>
                <w:vertAlign w:val="subscript"/>
              </w:rPr>
              <w:t>f</w:t>
            </w:r>
          </w:p>
          <w:p w14:paraId="24DBEB64"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 M)</w:t>
            </w:r>
          </w:p>
        </w:tc>
        <w:tc>
          <w:tcPr>
            <w:tcW w:w="986" w:type="dxa"/>
            <w:tcBorders>
              <w:bottom w:val="single" w:sz="4" w:space="0" w:color="auto"/>
            </w:tcBorders>
            <w:vAlign w:val="center"/>
          </w:tcPr>
          <w:p w14:paraId="23E2219D"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NPV</w:t>
            </w:r>
            <w:r w:rsidRPr="006912F6">
              <w:rPr>
                <w:rFonts w:asciiTheme="majorHAnsi" w:hAnsiTheme="majorHAnsi" w:cstheme="majorHAnsi"/>
                <w:sz w:val="20"/>
                <w:vertAlign w:val="subscript"/>
              </w:rPr>
              <w:t>OPT</w:t>
            </w:r>
            <w:r w:rsidRPr="006912F6">
              <w:rPr>
                <w:rFonts w:asciiTheme="majorHAnsi" w:hAnsiTheme="majorHAnsi" w:cstheme="majorHAnsi"/>
                <w:sz w:val="20"/>
              </w:rPr>
              <w:t xml:space="preserve"> </w:t>
            </w:r>
          </w:p>
          <w:p w14:paraId="3530460C"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 M)</w:t>
            </w:r>
          </w:p>
        </w:tc>
        <w:tc>
          <w:tcPr>
            <w:tcW w:w="750" w:type="dxa"/>
            <w:tcBorders>
              <w:bottom w:val="single" w:sz="4" w:space="0" w:color="auto"/>
            </w:tcBorders>
            <w:vAlign w:val="center"/>
          </w:tcPr>
          <w:p w14:paraId="17FC152D"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OIT</w:t>
            </w:r>
          </w:p>
        </w:tc>
        <w:tc>
          <w:tcPr>
            <w:tcW w:w="895" w:type="dxa"/>
            <w:tcBorders>
              <w:bottom w:val="single" w:sz="4" w:space="0" w:color="auto"/>
            </w:tcBorders>
            <w:vAlign w:val="center"/>
          </w:tcPr>
          <w:p w14:paraId="3CC51885" w14:textId="4DED5369" w:rsidR="001B757C" w:rsidRPr="006912F6" w:rsidRDefault="001B757C" w:rsidP="000C4BE5">
            <w:pPr>
              <w:spacing w:before="0" w:line="240" w:lineRule="auto"/>
              <w:jc w:val="center"/>
              <w:rPr>
                <w:rFonts w:asciiTheme="majorHAnsi" w:hAnsiTheme="majorHAnsi" w:cstheme="majorHAnsi"/>
                <w:i/>
                <w:sz w:val="20"/>
              </w:rPr>
            </w:pPr>
            <w:r w:rsidRPr="006912F6">
              <w:rPr>
                <w:rFonts w:asciiTheme="majorHAnsi" w:hAnsiTheme="majorHAnsi" w:cstheme="majorHAnsi"/>
                <w:i/>
                <w:sz w:val="20"/>
              </w:rPr>
              <w:t>I+</w:t>
            </w:r>
            <w:r w:rsidR="006912F6" w:rsidRPr="006912F6">
              <w:rPr>
                <w:rFonts w:asciiTheme="majorHAnsi" w:hAnsiTheme="majorHAnsi" w:cstheme="majorHAnsi"/>
                <w:i/>
                <w:sz w:val="20"/>
              </w:rPr>
              <w:t>I</w:t>
            </w:r>
            <w:r w:rsidR="006912F6" w:rsidRPr="006912F6">
              <w:rPr>
                <w:rFonts w:asciiTheme="majorHAnsi" w:hAnsiTheme="majorHAnsi" w:cstheme="majorHAnsi"/>
                <w:i/>
                <w:sz w:val="20"/>
                <w:vertAlign w:val="subscript"/>
              </w:rPr>
              <w:t>f</w:t>
            </w:r>
          </w:p>
          <w:p w14:paraId="704A707E"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 M)</w:t>
            </w:r>
          </w:p>
        </w:tc>
        <w:tc>
          <w:tcPr>
            <w:tcW w:w="986" w:type="dxa"/>
            <w:tcBorders>
              <w:bottom w:val="single" w:sz="4" w:space="0" w:color="auto"/>
            </w:tcBorders>
            <w:vAlign w:val="center"/>
          </w:tcPr>
          <w:p w14:paraId="72CA8B3B"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NPV</w:t>
            </w:r>
            <w:r w:rsidRPr="006912F6">
              <w:rPr>
                <w:rFonts w:asciiTheme="majorHAnsi" w:hAnsiTheme="majorHAnsi" w:cstheme="majorHAnsi"/>
                <w:sz w:val="20"/>
                <w:vertAlign w:val="subscript"/>
              </w:rPr>
              <w:t>OPT</w:t>
            </w:r>
            <w:r w:rsidRPr="006912F6">
              <w:rPr>
                <w:rFonts w:asciiTheme="majorHAnsi" w:hAnsiTheme="majorHAnsi" w:cstheme="majorHAnsi"/>
                <w:sz w:val="20"/>
              </w:rPr>
              <w:t xml:space="preserve"> </w:t>
            </w:r>
          </w:p>
          <w:p w14:paraId="5F4C4134"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 M)</w:t>
            </w:r>
          </w:p>
        </w:tc>
      </w:tr>
      <w:tr w:rsidR="006912F6" w:rsidRPr="006912F6" w14:paraId="235F9ACE" w14:textId="77777777" w:rsidTr="001E39A4">
        <w:trPr>
          <w:trHeight w:val="376"/>
        </w:trPr>
        <w:tc>
          <w:tcPr>
            <w:tcW w:w="1041" w:type="dxa"/>
            <w:vMerge w:val="restart"/>
            <w:vAlign w:val="center"/>
          </w:tcPr>
          <w:p w14:paraId="24B07CF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H++</w:t>
            </w:r>
          </w:p>
        </w:tc>
        <w:tc>
          <w:tcPr>
            <w:tcW w:w="1060" w:type="dxa"/>
            <w:tcBorders>
              <w:bottom w:val="nil"/>
            </w:tcBorders>
            <w:vAlign w:val="center"/>
          </w:tcPr>
          <w:p w14:paraId="21B814A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895" w:type="dxa"/>
            <w:tcBorders>
              <w:bottom w:val="nil"/>
            </w:tcBorders>
            <w:vAlign w:val="center"/>
          </w:tcPr>
          <w:p w14:paraId="2DFE537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73.89</w:t>
            </w:r>
          </w:p>
        </w:tc>
        <w:tc>
          <w:tcPr>
            <w:tcW w:w="986" w:type="dxa"/>
            <w:tcBorders>
              <w:bottom w:val="nil"/>
            </w:tcBorders>
            <w:vAlign w:val="center"/>
          </w:tcPr>
          <w:p w14:paraId="10D3F60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146.5</w:t>
            </w:r>
          </w:p>
        </w:tc>
        <w:tc>
          <w:tcPr>
            <w:tcW w:w="750" w:type="dxa"/>
            <w:tcBorders>
              <w:bottom w:val="nil"/>
            </w:tcBorders>
            <w:vAlign w:val="center"/>
          </w:tcPr>
          <w:p w14:paraId="2E9284E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95" w:type="dxa"/>
            <w:tcBorders>
              <w:bottom w:val="nil"/>
            </w:tcBorders>
            <w:vAlign w:val="center"/>
          </w:tcPr>
          <w:p w14:paraId="460125E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41.79</w:t>
            </w:r>
          </w:p>
        </w:tc>
        <w:tc>
          <w:tcPr>
            <w:tcW w:w="986" w:type="dxa"/>
            <w:tcBorders>
              <w:bottom w:val="nil"/>
            </w:tcBorders>
            <w:vAlign w:val="center"/>
          </w:tcPr>
          <w:p w14:paraId="3518BBA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13.89</w:t>
            </w:r>
          </w:p>
        </w:tc>
        <w:tc>
          <w:tcPr>
            <w:tcW w:w="750" w:type="dxa"/>
            <w:tcBorders>
              <w:bottom w:val="nil"/>
            </w:tcBorders>
            <w:vAlign w:val="center"/>
          </w:tcPr>
          <w:p w14:paraId="10E4E01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2068</w:t>
            </w:r>
          </w:p>
        </w:tc>
        <w:tc>
          <w:tcPr>
            <w:tcW w:w="895" w:type="dxa"/>
            <w:tcBorders>
              <w:bottom w:val="nil"/>
            </w:tcBorders>
            <w:vAlign w:val="center"/>
          </w:tcPr>
          <w:p w14:paraId="3775E96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116.28</w:t>
            </w:r>
          </w:p>
        </w:tc>
        <w:tc>
          <w:tcPr>
            <w:tcW w:w="986" w:type="dxa"/>
            <w:tcBorders>
              <w:bottom w:val="nil"/>
            </w:tcBorders>
            <w:vAlign w:val="center"/>
          </w:tcPr>
          <w:p w14:paraId="4188422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160.39</w:t>
            </w:r>
          </w:p>
        </w:tc>
      </w:tr>
      <w:tr w:rsidR="006912F6" w:rsidRPr="006912F6" w14:paraId="37E9CBC6" w14:textId="77777777" w:rsidTr="001E39A4">
        <w:trPr>
          <w:trHeight w:val="376"/>
        </w:trPr>
        <w:tc>
          <w:tcPr>
            <w:tcW w:w="1041" w:type="dxa"/>
            <w:vMerge/>
          </w:tcPr>
          <w:p w14:paraId="25C29E3D" w14:textId="77777777" w:rsidR="001B757C" w:rsidRPr="006912F6" w:rsidRDefault="001B757C" w:rsidP="000C4BE5">
            <w:pPr>
              <w:spacing w:before="0" w:line="240" w:lineRule="auto"/>
              <w:rPr>
                <w:rFonts w:asciiTheme="majorHAnsi" w:hAnsiTheme="majorHAnsi" w:cstheme="majorHAnsi"/>
                <w:sz w:val="18"/>
                <w:szCs w:val="20"/>
              </w:rPr>
            </w:pPr>
          </w:p>
        </w:tc>
        <w:tc>
          <w:tcPr>
            <w:tcW w:w="1060" w:type="dxa"/>
            <w:tcBorders>
              <w:top w:val="nil"/>
              <w:bottom w:val="nil"/>
            </w:tcBorders>
            <w:vAlign w:val="center"/>
          </w:tcPr>
          <w:p w14:paraId="363D55F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895" w:type="dxa"/>
            <w:tcBorders>
              <w:top w:val="nil"/>
              <w:bottom w:val="nil"/>
            </w:tcBorders>
            <w:vAlign w:val="center"/>
          </w:tcPr>
          <w:p w14:paraId="6A189DD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78.74</w:t>
            </w:r>
          </w:p>
        </w:tc>
        <w:tc>
          <w:tcPr>
            <w:tcW w:w="986" w:type="dxa"/>
            <w:tcBorders>
              <w:top w:val="nil"/>
              <w:bottom w:val="nil"/>
            </w:tcBorders>
            <w:vAlign w:val="center"/>
          </w:tcPr>
          <w:p w14:paraId="4D6CB75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143.5</w:t>
            </w:r>
          </w:p>
        </w:tc>
        <w:tc>
          <w:tcPr>
            <w:tcW w:w="750" w:type="dxa"/>
            <w:tcBorders>
              <w:top w:val="nil"/>
              <w:bottom w:val="nil"/>
            </w:tcBorders>
            <w:vAlign w:val="center"/>
          </w:tcPr>
          <w:p w14:paraId="5EC199A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95" w:type="dxa"/>
            <w:tcBorders>
              <w:top w:val="nil"/>
              <w:bottom w:val="nil"/>
            </w:tcBorders>
            <w:vAlign w:val="center"/>
          </w:tcPr>
          <w:p w14:paraId="4431A0B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46.63</w:t>
            </w:r>
          </w:p>
        </w:tc>
        <w:tc>
          <w:tcPr>
            <w:tcW w:w="986" w:type="dxa"/>
            <w:tcBorders>
              <w:top w:val="nil"/>
              <w:bottom w:val="nil"/>
            </w:tcBorders>
            <w:vAlign w:val="center"/>
          </w:tcPr>
          <w:p w14:paraId="3EEEA98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13.62</w:t>
            </w:r>
          </w:p>
        </w:tc>
        <w:tc>
          <w:tcPr>
            <w:tcW w:w="750" w:type="dxa"/>
            <w:tcBorders>
              <w:top w:val="nil"/>
              <w:bottom w:val="nil"/>
            </w:tcBorders>
            <w:vAlign w:val="center"/>
          </w:tcPr>
          <w:p w14:paraId="64E96F5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2071</w:t>
            </w:r>
          </w:p>
        </w:tc>
        <w:tc>
          <w:tcPr>
            <w:tcW w:w="895" w:type="dxa"/>
            <w:tcBorders>
              <w:top w:val="nil"/>
              <w:bottom w:val="nil"/>
            </w:tcBorders>
            <w:vAlign w:val="center"/>
          </w:tcPr>
          <w:p w14:paraId="6A6210C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125.97</w:t>
            </w:r>
          </w:p>
        </w:tc>
        <w:tc>
          <w:tcPr>
            <w:tcW w:w="986" w:type="dxa"/>
            <w:tcBorders>
              <w:top w:val="nil"/>
              <w:bottom w:val="nil"/>
            </w:tcBorders>
            <w:vAlign w:val="center"/>
          </w:tcPr>
          <w:p w14:paraId="4F2ACC3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157.12</w:t>
            </w:r>
          </w:p>
        </w:tc>
      </w:tr>
      <w:tr w:rsidR="006912F6" w:rsidRPr="006912F6" w14:paraId="35AACD7E" w14:textId="77777777" w:rsidTr="001E39A4">
        <w:trPr>
          <w:trHeight w:val="376"/>
        </w:trPr>
        <w:tc>
          <w:tcPr>
            <w:tcW w:w="1041" w:type="dxa"/>
            <w:vMerge/>
          </w:tcPr>
          <w:p w14:paraId="1F3B4AB1" w14:textId="77777777" w:rsidR="001B757C" w:rsidRPr="006912F6" w:rsidRDefault="001B757C" w:rsidP="000C4BE5">
            <w:pPr>
              <w:spacing w:before="0" w:line="240" w:lineRule="auto"/>
              <w:rPr>
                <w:rFonts w:asciiTheme="majorHAnsi" w:hAnsiTheme="majorHAnsi" w:cstheme="majorHAnsi"/>
                <w:sz w:val="18"/>
                <w:szCs w:val="20"/>
              </w:rPr>
            </w:pPr>
          </w:p>
        </w:tc>
        <w:tc>
          <w:tcPr>
            <w:tcW w:w="1060" w:type="dxa"/>
            <w:tcBorders>
              <w:top w:val="nil"/>
              <w:bottom w:val="nil"/>
            </w:tcBorders>
            <w:vAlign w:val="center"/>
          </w:tcPr>
          <w:p w14:paraId="40AD210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895" w:type="dxa"/>
            <w:tcBorders>
              <w:top w:val="nil"/>
              <w:bottom w:val="nil"/>
            </w:tcBorders>
            <w:vAlign w:val="center"/>
          </w:tcPr>
          <w:p w14:paraId="4CD8A9E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83.58</w:t>
            </w:r>
          </w:p>
        </w:tc>
        <w:tc>
          <w:tcPr>
            <w:tcW w:w="986" w:type="dxa"/>
            <w:tcBorders>
              <w:top w:val="nil"/>
              <w:bottom w:val="nil"/>
            </w:tcBorders>
            <w:vAlign w:val="center"/>
          </w:tcPr>
          <w:p w14:paraId="2EFB3B7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138.6</w:t>
            </w:r>
          </w:p>
        </w:tc>
        <w:tc>
          <w:tcPr>
            <w:tcW w:w="750" w:type="dxa"/>
            <w:tcBorders>
              <w:top w:val="nil"/>
              <w:bottom w:val="nil"/>
            </w:tcBorders>
            <w:vAlign w:val="center"/>
          </w:tcPr>
          <w:p w14:paraId="77252CA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95" w:type="dxa"/>
            <w:tcBorders>
              <w:top w:val="nil"/>
              <w:bottom w:val="nil"/>
            </w:tcBorders>
            <w:vAlign w:val="center"/>
          </w:tcPr>
          <w:p w14:paraId="682FF0F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51.48</w:t>
            </w:r>
          </w:p>
        </w:tc>
        <w:tc>
          <w:tcPr>
            <w:tcW w:w="986" w:type="dxa"/>
            <w:tcBorders>
              <w:top w:val="nil"/>
              <w:bottom w:val="nil"/>
            </w:tcBorders>
            <w:vAlign w:val="center"/>
          </w:tcPr>
          <w:p w14:paraId="123D1BC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12.82</w:t>
            </w:r>
          </w:p>
        </w:tc>
        <w:tc>
          <w:tcPr>
            <w:tcW w:w="750" w:type="dxa"/>
            <w:tcBorders>
              <w:top w:val="nil"/>
              <w:bottom w:val="nil"/>
            </w:tcBorders>
            <w:vAlign w:val="center"/>
          </w:tcPr>
          <w:p w14:paraId="4D5ED95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2074</w:t>
            </w:r>
          </w:p>
        </w:tc>
        <w:tc>
          <w:tcPr>
            <w:tcW w:w="895" w:type="dxa"/>
            <w:tcBorders>
              <w:top w:val="nil"/>
              <w:bottom w:val="nil"/>
            </w:tcBorders>
            <w:vAlign w:val="center"/>
          </w:tcPr>
          <w:p w14:paraId="4AC5903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135.66</w:t>
            </w:r>
          </w:p>
        </w:tc>
        <w:tc>
          <w:tcPr>
            <w:tcW w:w="986" w:type="dxa"/>
            <w:tcBorders>
              <w:top w:val="nil"/>
              <w:bottom w:val="nil"/>
            </w:tcBorders>
            <w:vAlign w:val="center"/>
          </w:tcPr>
          <w:p w14:paraId="183B4AA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151.42</w:t>
            </w:r>
          </w:p>
        </w:tc>
      </w:tr>
      <w:tr w:rsidR="006912F6" w:rsidRPr="006912F6" w14:paraId="347478C0" w14:textId="77777777" w:rsidTr="001E39A4">
        <w:trPr>
          <w:trHeight w:val="376"/>
        </w:trPr>
        <w:tc>
          <w:tcPr>
            <w:tcW w:w="1041" w:type="dxa"/>
            <w:vMerge/>
          </w:tcPr>
          <w:p w14:paraId="749A2DCB" w14:textId="77777777" w:rsidR="001B757C" w:rsidRPr="006912F6" w:rsidRDefault="001B757C" w:rsidP="000C4BE5">
            <w:pPr>
              <w:spacing w:before="0" w:line="240" w:lineRule="auto"/>
              <w:rPr>
                <w:rFonts w:asciiTheme="majorHAnsi" w:hAnsiTheme="majorHAnsi" w:cstheme="majorHAnsi"/>
                <w:sz w:val="18"/>
                <w:szCs w:val="20"/>
              </w:rPr>
            </w:pPr>
          </w:p>
        </w:tc>
        <w:tc>
          <w:tcPr>
            <w:tcW w:w="1060" w:type="dxa"/>
            <w:tcBorders>
              <w:top w:val="nil"/>
              <w:bottom w:val="single" w:sz="4" w:space="0" w:color="auto"/>
            </w:tcBorders>
            <w:vAlign w:val="center"/>
          </w:tcPr>
          <w:p w14:paraId="59DBA87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895" w:type="dxa"/>
            <w:tcBorders>
              <w:top w:val="nil"/>
              <w:bottom w:val="single" w:sz="4" w:space="0" w:color="auto"/>
            </w:tcBorders>
            <w:vAlign w:val="center"/>
          </w:tcPr>
          <w:p w14:paraId="5ADB212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88.42</w:t>
            </w:r>
          </w:p>
        </w:tc>
        <w:tc>
          <w:tcPr>
            <w:tcW w:w="986" w:type="dxa"/>
            <w:tcBorders>
              <w:top w:val="nil"/>
              <w:bottom w:val="single" w:sz="4" w:space="0" w:color="auto"/>
            </w:tcBorders>
            <w:vAlign w:val="center"/>
          </w:tcPr>
          <w:p w14:paraId="2394481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133.8</w:t>
            </w:r>
          </w:p>
        </w:tc>
        <w:tc>
          <w:tcPr>
            <w:tcW w:w="750" w:type="dxa"/>
            <w:tcBorders>
              <w:top w:val="nil"/>
              <w:bottom w:val="single" w:sz="4" w:space="0" w:color="auto"/>
            </w:tcBorders>
            <w:vAlign w:val="center"/>
          </w:tcPr>
          <w:p w14:paraId="0A9E493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95" w:type="dxa"/>
            <w:tcBorders>
              <w:top w:val="nil"/>
              <w:bottom w:val="single" w:sz="4" w:space="0" w:color="auto"/>
            </w:tcBorders>
            <w:vAlign w:val="center"/>
          </w:tcPr>
          <w:p w14:paraId="756A7E1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56.32</w:t>
            </w:r>
          </w:p>
        </w:tc>
        <w:tc>
          <w:tcPr>
            <w:tcW w:w="986" w:type="dxa"/>
            <w:tcBorders>
              <w:top w:val="nil"/>
              <w:bottom w:val="single" w:sz="4" w:space="0" w:color="auto"/>
            </w:tcBorders>
            <w:vAlign w:val="center"/>
          </w:tcPr>
          <w:p w14:paraId="117344E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12.31</w:t>
            </w:r>
          </w:p>
        </w:tc>
        <w:tc>
          <w:tcPr>
            <w:tcW w:w="750" w:type="dxa"/>
            <w:tcBorders>
              <w:top w:val="nil"/>
              <w:bottom w:val="single" w:sz="4" w:space="0" w:color="auto"/>
            </w:tcBorders>
            <w:vAlign w:val="center"/>
          </w:tcPr>
          <w:p w14:paraId="0E26BC4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2077</w:t>
            </w:r>
          </w:p>
        </w:tc>
        <w:tc>
          <w:tcPr>
            <w:tcW w:w="895" w:type="dxa"/>
            <w:tcBorders>
              <w:top w:val="nil"/>
              <w:bottom w:val="single" w:sz="4" w:space="0" w:color="auto"/>
            </w:tcBorders>
            <w:vAlign w:val="center"/>
          </w:tcPr>
          <w:p w14:paraId="7F11439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145.35</w:t>
            </w:r>
          </w:p>
        </w:tc>
        <w:tc>
          <w:tcPr>
            <w:tcW w:w="986" w:type="dxa"/>
            <w:tcBorders>
              <w:top w:val="nil"/>
              <w:bottom w:val="single" w:sz="4" w:space="0" w:color="auto"/>
            </w:tcBorders>
            <w:vAlign w:val="center"/>
          </w:tcPr>
          <w:p w14:paraId="545AA4E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146.11</w:t>
            </w:r>
          </w:p>
        </w:tc>
      </w:tr>
      <w:tr w:rsidR="006912F6" w:rsidRPr="006912F6" w14:paraId="273ACDA4" w14:textId="77777777" w:rsidTr="001E39A4">
        <w:trPr>
          <w:trHeight w:val="376"/>
        </w:trPr>
        <w:tc>
          <w:tcPr>
            <w:tcW w:w="1041" w:type="dxa"/>
            <w:vMerge w:val="restart"/>
            <w:vAlign w:val="center"/>
          </w:tcPr>
          <w:p w14:paraId="734920E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H1</w:t>
            </w:r>
          </w:p>
        </w:tc>
        <w:tc>
          <w:tcPr>
            <w:tcW w:w="1060" w:type="dxa"/>
            <w:tcBorders>
              <w:bottom w:val="nil"/>
            </w:tcBorders>
            <w:vAlign w:val="center"/>
          </w:tcPr>
          <w:p w14:paraId="577F74B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895" w:type="dxa"/>
            <w:tcBorders>
              <w:bottom w:val="nil"/>
            </w:tcBorders>
            <w:vAlign w:val="center"/>
          </w:tcPr>
          <w:p w14:paraId="4FAD58A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73.89</w:t>
            </w:r>
          </w:p>
        </w:tc>
        <w:tc>
          <w:tcPr>
            <w:tcW w:w="986" w:type="dxa"/>
            <w:tcBorders>
              <w:bottom w:val="nil"/>
            </w:tcBorders>
            <w:vAlign w:val="center"/>
          </w:tcPr>
          <w:p w14:paraId="482E3BF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125.9</w:t>
            </w:r>
          </w:p>
        </w:tc>
        <w:tc>
          <w:tcPr>
            <w:tcW w:w="750" w:type="dxa"/>
            <w:tcBorders>
              <w:bottom w:val="nil"/>
            </w:tcBorders>
            <w:vAlign w:val="center"/>
          </w:tcPr>
          <w:p w14:paraId="30BFF31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95" w:type="dxa"/>
            <w:tcBorders>
              <w:bottom w:val="nil"/>
            </w:tcBorders>
            <w:vAlign w:val="center"/>
          </w:tcPr>
          <w:p w14:paraId="4EDC6F5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41.79</w:t>
            </w:r>
          </w:p>
        </w:tc>
        <w:tc>
          <w:tcPr>
            <w:tcW w:w="986" w:type="dxa"/>
            <w:tcBorders>
              <w:bottom w:val="nil"/>
            </w:tcBorders>
            <w:vAlign w:val="center"/>
          </w:tcPr>
          <w:p w14:paraId="79A88E8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9.11</w:t>
            </w:r>
          </w:p>
        </w:tc>
        <w:tc>
          <w:tcPr>
            <w:tcW w:w="750" w:type="dxa"/>
            <w:tcBorders>
              <w:bottom w:val="nil"/>
            </w:tcBorders>
            <w:vAlign w:val="center"/>
          </w:tcPr>
          <w:p w14:paraId="5271ECF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2094</w:t>
            </w:r>
          </w:p>
        </w:tc>
        <w:tc>
          <w:tcPr>
            <w:tcW w:w="895" w:type="dxa"/>
            <w:tcBorders>
              <w:bottom w:val="nil"/>
            </w:tcBorders>
            <w:vAlign w:val="center"/>
          </w:tcPr>
          <w:p w14:paraId="779DE5F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116.28</w:t>
            </w:r>
          </w:p>
        </w:tc>
        <w:tc>
          <w:tcPr>
            <w:tcW w:w="986" w:type="dxa"/>
            <w:tcBorders>
              <w:bottom w:val="nil"/>
            </w:tcBorders>
            <w:vAlign w:val="center"/>
          </w:tcPr>
          <w:p w14:paraId="7F8B8A0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135.01</w:t>
            </w:r>
          </w:p>
        </w:tc>
      </w:tr>
      <w:tr w:rsidR="006912F6" w:rsidRPr="006912F6" w14:paraId="0A282E86" w14:textId="77777777" w:rsidTr="001E39A4">
        <w:trPr>
          <w:trHeight w:val="376"/>
        </w:trPr>
        <w:tc>
          <w:tcPr>
            <w:tcW w:w="1041" w:type="dxa"/>
            <w:vMerge/>
          </w:tcPr>
          <w:p w14:paraId="15EFCEBE" w14:textId="77777777" w:rsidR="001B757C" w:rsidRPr="006912F6" w:rsidRDefault="001B757C" w:rsidP="000C4BE5">
            <w:pPr>
              <w:spacing w:before="0" w:line="240" w:lineRule="auto"/>
              <w:rPr>
                <w:rFonts w:asciiTheme="majorHAnsi" w:hAnsiTheme="majorHAnsi" w:cstheme="majorHAnsi"/>
                <w:sz w:val="18"/>
                <w:szCs w:val="20"/>
              </w:rPr>
            </w:pPr>
          </w:p>
        </w:tc>
        <w:tc>
          <w:tcPr>
            <w:tcW w:w="1060" w:type="dxa"/>
            <w:tcBorders>
              <w:top w:val="nil"/>
              <w:bottom w:val="nil"/>
            </w:tcBorders>
            <w:vAlign w:val="center"/>
          </w:tcPr>
          <w:p w14:paraId="2BDB116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895" w:type="dxa"/>
            <w:tcBorders>
              <w:top w:val="nil"/>
              <w:bottom w:val="nil"/>
            </w:tcBorders>
            <w:vAlign w:val="center"/>
          </w:tcPr>
          <w:p w14:paraId="0E37C07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78.74</w:t>
            </w:r>
          </w:p>
        </w:tc>
        <w:tc>
          <w:tcPr>
            <w:tcW w:w="986" w:type="dxa"/>
            <w:tcBorders>
              <w:top w:val="nil"/>
              <w:bottom w:val="nil"/>
            </w:tcBorders>
            <w:vAlign w:val="center"/>
          </w:tcPr>
          <w:p w14:paraId="0BDE539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121.1</w:t>
            </w:r>
          </w:p>
        </w:tc>
        <w:tc>
          <w:tcPr>
            <w:tcW w:w="750" w:type="dxa"/>
            <w:tcBorders>
              <w:top w:val="nil"/>
              <w:bottom w:val="nil"/>
            </w:tcBorders>
            <w:vAlign w:val="center"/>
          </w:tcPr>
          <w:p w14:paraId="6B3AA07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95" w:type="dxa"/>
            <w:tcBorders>
              <w:top w:val="nil"/>
              <w:bottom w:val="nil"/>
            </w:tcBorders>
            <w:vAlign w:val="center"/>
          </w:tcPr>
          <w:p w14:paraId="432A43A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46.63</w:t>
            </w:r>
          </w:p>
        </w:tc>
        <w:tc>
          <w:tcPr>
            <w:tcW w:w="986" w:type="dxa"/>
            <w:tcBorders>
              <w:top w:val="nil"/>
              <w:bottom w:val="nil"/>
            </w:tcBorders>
            <w:vAlign w:val="center"/>
          </w:tcPr>
          <w:p w14:paraId="4771480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8.83</w:t>
            </w:r>
          </w:p>
        </w:tc>
        <w:tc>
          <w:tcPr>
            <w:tcW w:w="750" w:type="dxa"/>
            <w:tcBorders>
              <w:top w:val="nil"/>
              <w:bottom w:val="nil"/>
            </w:tcBorders>
            <w:vAlign w:val="center"/>
          </w:tcPr>
          <w:p w14:paraId="5FE5653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2095</w:t>
            </w:r>
          </w:p>
        </w:tc>
        <w:tc>
          <w:tcPr>
            <w:tcW w:w="895" w:type="dxa"/>
            <w:tcBorders>
              <w:top w:val="nil"/>
              <w:bottom w:val="nil"/>
            </w:tcBorders>
            <w:vAlign w:val="center"/>
          </w:tcPr>
          <w:p w14:paraId="7E69216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125.97</w:t>
            </w:r>
          </w:p>
        </w:tc>
        <w:tc>
          <w:tcPr>
            <w:tcW w:w="986" w:type="dxa"/>
            <w:tcBorders>
              <w:top w:val="nil"/>
              <w:bottom w:val="nil"/>
            </w:tcBorders>
            <w:vAlign w:val="center"/>
          </w:tcPr>
          <w:p w14:paraId="2232991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129.93</w:t>
            </w:r>
          </w:p>
        </w:tc>
      </w:tr>
      <w:tr w:rsidR="006912F6" w:rsidRPr="006912F6" w14:paraId="47EC8527" w14:textId="77777777" w:rsidTr="001E39A4">
        <w:trPr>
          <w:trHeight w:val="376"/>
        </w:trPr>
        <w:tc>
          <w:tcPr>
            <w:tcW w:w="1041" w:type="dxa"/>
            <w:vMerge/>
          </w:tcPr>
          <w:p w14:paraId="428D875F" w14:textId="77777777" w:rsidR="001B757C" w:rsidRPr="006912F6" w:rsidRDefault="001B757C" w:rsidP="000C4BE5">
            <w:pPr>
              <w:spacing w:before="0" w:line="240" w:lineRule="auto"/>
              <w:rPr>
                <w:rFonts w:asciiTheme="majorHAnsi" w:hAnsiTheme="majorHAnsi" w:cstheme="majorHAnsi"/>
                <w:sz w:val="18"/>
                <w:szCs w:val="20"/>
              </w:rPr>
            </w:pPr>
          </w:p>
        </w:tc>
        <w:tc>
          <w:tcPr>
            <w:tcW w:w="1060" w:type="dxa"/>
            <w:tcBorders>
              <w:top w:val="nil"/>
              <w:bottom w:val="nil"/>
            </w:tcBorders>
            <w:vAlign w:val="center"/>
          </w:tcPr>
          <w:p w14:paraId="4A8F264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895" w:type="dxa"/>
            <w:tcBorders>
              <w:top w:val="nil"/>
              <w:bottom w:val="nil"/>
            </w:tcBorders>
            <w:vAlign w:val="center"/>
          </w:tcPr>
          <w:p w14:paraId="70BD02D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83.58</w:t>
            </w:r>
          </w:p>
        </w:tc>
        <w:tc>
          <w:tcPr>
            <w:tcW w:w="986" w:type="dxa"/>
            <w:tcBorders>
              <w:top w:val="nil"/>
              <w:bottom w:val="nil"/>
            </w:tcBorders>
            <w:vAlign w:val="center"/>
          </w:tcPr>
          <w:p w14:paraId="1E227B5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116.4</w:t>
            </w:r>
          </w:p>
        </w:tc>
        <w:tc>
          <w:tcPr>
            <w:tcW w:w="750" w:type="dxa"/>
            <w:tcBorders>
              <w:top w:val="nil"/>
              <w:bottom w:val="nil"/>
            </w:tcBorders>
            <w:vAlign w:val="center"/>
          </w:tcPr>
          <w:p w14:paraId="2BE1DFD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2018</w:t>
            </w:r>
          </w:p>
        </w:tc>
        <w:tc>
          <w:tcPr>
            <w:tcW w:w="895" w:type="dxa"/>
            <w:tcBorders>
              <w:top w:val="nil"/>
              <w:bottom w:val="nil"/>
            </w:tcBorders>
            <w:vAlign w:val="center"/>
          </w:tcPr>
          <w:p w14:paraId="1354256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51.48</w:t>
            </w:r>
          </w:p>
        </w:tc>
        <w:tc>
          <w:tcPr>
            <w:tcW w:w="986" w:type="dxa"/>
            <w:tcBorders>
              <w:top w:val="nil"/>
              <w:bottom w:val="nil"/>
            </w:tcBorders>
            <w:vAlign w:val="center"/>
          </w:tcPr>
          <w:p w14:paraId="1E2B970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8.52</w:t>
            </w:r>
          </w:p>
        </w:tc>
        <w:tc>
          <w:tcPr>
            <w:tcW w:w="750" w:type="dxa"/>
            <w:tcBorders>
              <w:top w:val="nil"/>
              <w:bottom w:val="nil"/>
            </w:tcBorders>
            <w:vAlign w:val="center"/>
          </w:tcPr>
          <w:p w14:paraId="094E446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2096</w:t>
            </w:r>
          </w:p>
        </w:tc>
        <w:tc>
          <w:tcPr>
            <w:tcW w:w="895" w:type="dxa"/>
            <w:tcBorders>
              <w:top w:val="nil"/>
              <w:bottom w:val="nil"/>
            </w:tcBorders>
            <w:vAlign w:val="center"/>
          </w:tcPr>
          <w:p w14:paraId="1AA41C1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135.66</w:t>
            </w:r>
          </w:p>
        </w:tc>
        <w:tc>
          <w:tcPr>
            <w:tcW w:w="986" w:type="dxa"/>
            <w:tcBorders>
              <w:top w:val="nil"/>
              <w:bottom w:val="nil"/>
            </w:tcBorders>
            <w:vAlign w:val="center"/>
          </w:tcPr>
          <w:p w14:paraId="24D62F9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124.92</w:t>
            </w:r>
          </w:p>
        </w:tc>
      </w:tr>
      <w:tr w:rsidR="006912F6" w:rsidRPr="006912F6" w14:paraId="480E8547" w14:textId="77777777" w:rsidTr="001E39A4">
        <w:trPr>
          <w:trHeight w:val="376"/>
        </w:trPr>
        <w:tc>
          <w:tcPr>
            <w:tcW w:w="1041" w:type="dxa"/>
            <w:vMerge/>
          </w:tcPr>
          <w:p w14:paraId="57BD0614" w14:textId="77777777" w:rsidR="001B757C" w:rsidRPr="006912F6" w:rsidRDefault="001B757C" w:rsidP="000C4BE5">
            <w:pPr>
              <w:spacing w:before="0" w:line="240" w:lineRule="auto"/>
              <w:rPr>
                <w:rFonts w:asciiTheme="majorHAnsi" w:hAnsiTheme="majorHAnsi" w:cstheme="majorHAnsi"/>
                <w:sz w:val="18"/>
                <w:szCs w:val="20"/>
              </w:rPr>
            </w:pPr>
          </w:p>
        </w:tc>
        <w:tc>
          <w:tcPr>
            <w:tcW w:w="1060" w:type="dxa"/>
            <w:tcBorders>
              <w:top w:val="nil"/>
              <w:bottom w:val="single" w:sz="4" w:space="0" w:color="auto"/>
            </w:tcBorders>
            <w:vAlign w:val="center"/>
          </w:tcPr>
          <w:p w14:paraId="099F101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895" w:type="dxa"/>
            <w:tcBorders>
              <w:top w:val="nil"/>
              <w:bottom w:val="single" w:sz="4" w:space="0" w:color="auto"/>
            </w:tcBorders>
            <w:vAlign w:val="center"/>
          </w:tcPr>
          <w:p w14:paraId="363958F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88.42</w:t>
            </w:r>
          </w:p>
        </w:tc>
        <w:tc>
          <w:tcPr>
            <w:tcW w:w="986" w:type="dxa"/>
            <w:tcBorders>
              <w:top w:val="nil"/>
              <w:bottom w:val="single" w:sz="4" w:space="0" w:color="auto"/>
            </w:tcBorders>
            <w:vAlign w:val="center"/>
          </w:tcPr>
          <w:p w14:paraId="5116B2F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111.9</w:t>
            </w:r>
          </w:p>
        </w:tc>
        <w:tc>
          <w:tcPr>
            <w:tcW w:w="750" w:type="dxa"/>
            <w:tcBorders>
              <w:top w:val="nil"/>
              <w:bottom w:val="single" w:sz="4" w:space="0" w:color="auto"/>
            </w:tcBorders>
            <w:vAlign w:val="center"/>
          </w:tcPr>
          <w:p w14:paraId="6EDC0F7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2019</w:t>
            </w:r>
          </w:p>
        </w:tc>
        <w:tc>
          <w:tcPr>
            <w:tcW w:w="895" w:type="dxa"/>
            <w:tcBorders>
              <w:top w:val="nil"/>
              <w:bottom w:val="single" w:sz="4" w:space="0" w:color="auto"/>
            </w:tcBorders>
            <w:vAlign w:val="center"/>
          </w:tcPr>
          <w:p w14:paraId="0B49ED0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56.32</w:t>
            </w:r>
          </w:p>
        </w:tc>
        <w:tc>
          <w:tcPr>
            <w:tcW w:w="986" w:type="dxa"/>
            <w:tcBorders>
              <w:top w:val="nil"/>
              <w:bottom w:val="single" w:sz="4" w:space="0" w:color="auto"/>
            </w:tcBorders>
            <w:vAlign w:val="center"/>
          </w:tcPr>
          <w:p w14:paraId="2E16B9D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8.28</w:t>
            </w:r>
          </w:p>
        </w:tc>
        <w:tc>
          <w:tcPr>
            <w:tcW w:w="750" w:type="dxa"/>
            <w:tcBorders>
              <w:top w:val="nil"/>
              <w:bottom w:val="single" w:sz="4" w:space="0" w:color="auto"/>
            </w:tcBorders>
            <w:vAlign w:val="center"/>
          </w:tcPr>
          <w:p w14:paraId="38E49C4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2097</w:t>
            </w:r>
          </w:p>
        </w:tc>
        <w:tc>
          <w:tcPr>
            <w:tcW w:w="895" w:type="dxa"/>
            <w:tcBorders>
              <w:top w:val="nil"/>
              <w:bottom w:val="single" w:sz="4" w:space="0" w:color="auto"/>
            </w:tcBorders>
            <w:vAlign w:val="center"/>
          </w:tcPr>
          <w:p w14:paraId="354C904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145.35</w:t>
            </w:r>
          </w:p>
        </w:tc>
        <w:tc>
          <w:tcPr>
            <w:tcW w:w="986" w:type="dxa"/>
            <w:tcBorders>
              <w:top w:val="nil"/>
              <w:bottom w:val="single" w:sz="4" w:space="0" w:color="auto"/>
            </w:tcBorders>
            <w:vAlign w:val="center"/>
          </w:tcPr>
          <w:p w14:paraId="55480C5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120.18</w:t>
            </w:r>
          </w:p>
        </w:tc>
      </w:tr>
      <w:tr w:rsidR="006912F6" w:rsidRPr="006912F6" w14:paraId="05E45D23" w14:textId="77777777" w:rsidTr="001E39A4">
        <w:trPr>
          <w:trHeight w:val="376"/>
        </w:trPr>
        <w:tc>
          <w:tcPr>
            <w:tcW w:w="1041" w:type="dxa"/>
            <w:vMerge w:val="restart"/>
            <w:vAlign w:val="center"/>
          </w:tcPr>
          <w:p w14:paraId="701BD18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High</w:t>
            </w:r>
          </w:p>
        </w:tc>
        <w:tc>
          <w:tcPr>
            <w:tcW w:w="1060" w:type="dxa"/>
            <w:tcBorders>
              <w:bottom w:val="nil"/>
            </w:tcBorders>
            <w:vAlign w:val="center"/>
          </w:tcPr>
          <w:p w14:paraId="7643097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895" w:type="dxa"/>
            <w:tcBorders>
              <w:bottom w:val="nil"/>
            </w:tcBorders>
            <w:vAlign w:val="center"/>
          </w:tcPr>
          <w:p w14:paraId="04CF85E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73.89</w:t>
            </w:r>
          </w:p>
        </w:tc>
        <w:tc>
          <w:tcPr>
            <w:tcW w:w="986" w:type="dxa"/>
            <w:tcBorders>
              <w:bottom w:val="nil"/>
            </w:tcBorders>
            <w:vAlign w:val="center"/>
          </w:tcPr>
          <w:p w14:paraId="284FEC9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30.4</w:t>
            </w:r>
          </w:p>
        </w:tc>
        <w:tc>
          <w:tcPr>
            <w:tcW w:w="750" w:type="dxa"/>
            <w:tcBorders>
              <w:bottom w:val="nil"/>
            </w:tcBorders>
            <w:vAlign w:val="center"/>
          </w:tcPr>
          <w:p w14:paraId="1D35481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2032</w:t>
            </w:r>
          </w:p>
        </w:tc>
        <w:tc>
          <w:tcPr>
            <w:tcW w:w="895" w:type="dxa"/>
            <w:tcBorders>
              <w:bottom w:val="nil"/>
            </w:tcBorders>
            <w:vAlign w:val="center"/>
          </w:tcPr>
          <w:p w14:paraId="201C246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41.79(0)</w:t>
            </w:r>
          </w:p>
        </w:tc>
        <w:tc>
          <w:tcPr>
            <w:tcW w:w="986" w:type="dxa"/>
            <w:tcBorders>
              <w:bottom w:val="nil"/>
            </w:tcBorders>
            <w:vAlign w:val="center"/>
          </w:tcPr>
          <w:p w14:paraId="72AE43A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-2.32(0)</w:t>
            </w:r>
          </w:p>
        </w:tc>
        <w:tc>
          <w:tcPr>
            <w:tcW w:w="750" w:type="dxa"/>
            <w:tcBorders>
              <w:bottom w:val="nil"/>
            </w:tcBorders>
            <w:vAlign w:val="center"/>
          </w:tcPr>
          <w:p w14:paraId="226690F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95" w:type="dxa"/>
            <w:tcBorders>
              <w:bottom w:val="nil"/>
            </w:tcBorders>
            <w:vAlign w:val="center"/>
          </w:tcPr>
          <w:p w14:paraId="53D46D8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73.89</w:t>
            </w:r>
          </w:p>
        </w:tc>
        <w:tc>
          <w:tcPr>
            <w:tcW w:w="986" w:type="dxa"/>
            <w:tcBorders>
              <w:bottom w:val="nil"/>
            </w:tcBorders>
            <w:vAlign w:val="center"/>
          </w:tcPr>
          <w:p w14:paraId="177BDD4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30.4</w:t>
            </w:r>
          </w:p>
        </w:tc>
      </w:tr>
      <w:tr w:rsidR="006912F6" w:rsidRPr="006912F6" w14:paraId="6DE4300C" w14:textId="77777777" w:rsidTr="001E39A4">
        <w:trPr>
          <w:trHeight w:val="376"/>
        </w:trPr>
        <w:tc>
          <w:tcPr>
            <w:tcW w:w="1041" w:type="dxa"/>
            <w:vMerge/>
          </w:tcPr>
          <w:p w14:paraId="24D5BC9E" w14:textId="77777777" w:rsidR="001B757C" w:rsidRPr="006912F6" w:rsidRDefault="001B757C" w:rsidP="000C4BE5">
            <w:pPr>
              <w:spacing w:before="0" w:line="240" w:lineRule="auto"/>
              <w:rPr>
                <w:rFonts w:asciiTheme="majorHAnsi" w:hAnsiTheme="majorHAnsi" w:cstheme="majorHAnsi"/>
                <w:sz w:val="18"/>
                <w:szCs w:val="20"/>
              </w:rPr>
            </w:pPr>
          </w:p>
        </w:tc>
        <w:tc>
          <w:tcPr>
            <w:tcW w:w="1060" w:type="dxa"/>
            <w:tcBorders>
              <w:top w:val="nil"/>
              <w:bottom w:val="nil"/>
            </w:tcBorders>
            <w:vAlign w:val="center"/>
          </w:tcPr>
          <w:p w14:paraId="36B1B60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895" w:type="dxa"/>
            <w:tcBorders>
              <w:top w:val="nil"/>
              <w:bottom w:val="nil"/>
            </w:tcBorders>
            <w:vAlign w:val="center"/>
          </w:tcPr>
          <w:p w14:paraId="5AA08F4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78.74</w:t>
            </w:r>
          </w:p>
        </w:tc>
        <w:tc>
          <w:tcPr>
            <w:tcW w:w="986" w:type="dxa"/>
            <w:tcBorders>
              <w:top w:val="nil"/>
              <w:bottom w:val="nil"/>
            </w:tcBorders>
            <w:vAlign w:val="center"/>
          </w:tcPr>
          <w:p w14:paraId="5CA51F6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27.8</w:t>
            </w:r>
          </w:p>
        </w:tc>
        <w:tc>
          <w:tcPr>
            <w:tcW w:w="750" w:type="dxa"/>
            <w:tcBorders>
              <w:top w:val="nil"/>
              <w:bottom w:val="nil"/>
            </w:tcBorders>
            <w:vAlign w:val="center"/>
          </w:tcPr>
          <w:p w14:paraId="45B2D4B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2036</w:t>
            </w:r>
          </w:p>
        </w:tc>
        <w:tc>
          <w:tcPr>
            <w:tcW w:w="895" w:type="dxa"/>
            <w:tcBorders>
              <w:top w:val="nil"/>
              <w:bottom w:val="nil"/>
            </w:tcBorders>
            <w:vAlign w:val="center"/>
          </w:tcPr>
          <w:p w14:paraId="7897349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46.63(0)</w:t>
            </w:r>
          </w:p>
        </w:tc>
        <w:tc>
          <w:tcPr>
            <w:tcW w:w="986" w:type="dxa"/>
            <w:tcBorders>
              <w:top w:val="nil"/>
              <w:bottom w:val="nil"/>
            </w:tcBorders>
            <w:vAlign w:val="center"/>
          </w:tcPr>
          <w:p w14:paraId="5BC962F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-2.59(0)</w:t>
            </w:r>
          </w:p>
        </w:tc>
        <w:tc>
          <w:tcPr>
            <w:tcW w:w="750" w:type="dxa"/>
            <w:tcBorders>
              <w:top w:val="nil"/>
              <w:bottom w:val="nil"/>
            </w:tcBorders>
            <w:vAlign w:val="center"/>
          </w:tcPr>
          <w:p w14:paraId="57E67CF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95" w:type="dxa"/>
            <w:tcBorders>
              <w:top w:val="nil"/>
              <w:bottom w:val="nil"/>
            </w:tcBorders>
            <w:vAlign w:val="center"/>
          </w:tcPr>
          <w:p w14:paraId="4054E46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78.74</w:t>
            </w:r>
          </w:p>
        </w:tc>
        <w:tc>
          <w:tcPr>
            <w:tcW w:w="986" w:type="dxa"/>
            <w:tcBorders>
              <w:top w:val="nil"/>
              <w:bottom w:val="nil"/>
            </w:tcBorders>
            <w:vAlign w:val="center"/>
          </w:tcPr>
          <w:p w14:paraId="13CB00A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27.8</w:t>
            </w:r>
          </w:p>
        </w:tc>
      </w:tr>
      <w:tr w:rsidR="006912F6" w:rsidRPr="006912F6" w14:paraId="5030CA73" w14:textId="77777777" w:rsidTr="001E39A4">
        <w:trPr>
          <w:trHeight w:val="376"/>
        </w:trPr>
        <w:tc>
          <w:tcPr>
            <w:tcW w:w="1041" w:type="dxa"/>
            <w:vMerge/>
          </w:tcPr>
          <w:p w14:paraId="66143D75" w14:textId="77777777" w:rsidR="001B757C" w:rsidRPr="006912F6" w:rsidRDefault="001B757C" w:rsidP="000C4BE5">
            <w:pPr>
              <w:spacing w:before="0" w:line="240" w:lineRule="auto"/>
              <w:rPr>
                <w:rFonts w:asciiTheme="majorHAnsi" w:hAnsiTheme="majorHAnsi" w:cstheme="majorHAnsi"/>
                <w:sz w:val="18"/>
                <w:szCs w:val="20"/>
              </w:rPr>
            </w:pPr>
          </w:p>
        </w:tc>
        <w:tc>
          <w:tcPr>
            <w:tcW w:w="1060" w:type="dxa"/>
            <w:tcBorders>
              <w:top w:val="nil"/>
              <w:bottom w:val="nil"/>
            </w:tcBorders>
            <w:vAlign w:val="center"/>
          </w:tcPr>
          <w:p w14:paraId="3186B08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895" w:type="dxa"/>
            <w:tcBorders>
              <w:top w:val="nil"/>
              <w:bottom w:val="nil"/>
            </w:tcBorders>
            <w:vAlign w:val="center"/>
          </w:tcPr>
          <w:p w14:paraId="172E407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83.58</w:t>
            </w:r>
          </w:p>
        </w:tc>
        <w:tc>
          <w:tcPr>
            <w:tcW w:w="986" w:type="dxa"/>
            <w:tcBorders>
              <w:top w:val="nil"/>
              <w:bottom w:val="nil"/>
            </w:tcBorders>
            <w:vAlign w:val="center"/>
          </w:tcPr>
          <w:p w14:paraId="646D16B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25.5</w:t>
            </w:r>
          </w:p>
        </w:tc>
        <w:tc>
          <w:tcPr>
            <w:tcW w:w="750" w:type="dxa"/>
            <w:tcBorders>
              <w:top w:val="nil"/>
              <w:bottom w:val="nil"/>
            </w:tcBorders>
            <w:vAlign w:val="center"/>
          </w:tcPr>
          <w:p w14:paraId="480E18E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2039</w:t>
            </w:r>
          </w:p>
        </w:tc>
        <w:tc>
          <w:tcPr>
            <w:tcW w:w="895" w:type="dxa"/>
            <w:tcBorders>
              <w:top w:val="nil"/>
              <w:bottom w:val="nil"/>
            </w:tcBorders>
            <w:vAlign w:val="center"/>
          </w:tcPr>
          <w:p w14:paraId="5FDDC09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51.48(0)</w:t>
            </w:r>
          </w:p>
        </w:tc>
        <w:tc>
          <w:tcPr>
            <w:tcW w:w="986" w:type="dxa"/>
            <w:tcBorders>
              <w:top w:val="nil"/>
              <w:bottom w:val="nil"/>
            </w:tcBorders>
            <w:vAlign w:val="center"/>
          </w:tcPr>
          <w:p w14:paraId="5931371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-2.86(0)</w:t>
            </w:r>
          </w:p>
        </w:tc>
        <w:tc>
          <w:tcPr>
            <w:tcW w:w="750" w:type="dxa"/>
            <w:tcBorders>
              <w:top w:val="nil"/>
              <w:bottom w:val="nil"/>
            </w:tcBorders>
            <w:vAlign w:val="center"/>
          </w:tcPr>
          <w:p w14:paraId="501A707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95" w:type="dxa"/>
            <w:tcBorders>
              <w:top w:val="nil"/>
              <w:bottom w:val="nil"/>
            </w:tcBorders>
            <w:vAlign w:val="center"/>
          </w:tcPr>
          <w:p w14:paraId="2158CD7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83.58</w:t>
            </w:r>
          </w:p>
        </w:tc>
        <w:tc>
          <w:tcPr>
            <w:tcW w:w="986" w:type="dxa"/>
            <w:tcBorders>
              <w:top w:val="nil"/>
              <w:bottom w:val="nil"/>
            </w:tcBorders>
            <w:vAlign w:val="center"/>
          </w:tcPr>
          <w:p w14:paraId="66CFE27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25.5</w:t>
            </w:r>
          </w:p>
        </w:tc>
      </w:tr>
      <w:tr w:rsidR="006912F6" w:rsidRPr="006912F6" w14:paraId="313EF5C5" w14:textId="77777777" w:rsidTr="001E39A4">
        <w:trPr>
          <w:trHeight w:val="376"/>
        </w:trPr>
        <w:tc>
          <w:tcPr>
            <w:tcW w:w="1041" w:type="dxa"/>
            <w:vMerge/>
          </w:tcPr>
          <w:p w14:paraId="7AD36CF9" w14:textId="77777777" w:rsidR="001B757C" w:rsidRPr="006912F6" w:rsidRDefault="001B757C" w:rsidP="000C4BE5">
            <w:pPr>
              <w:spacing w:before="0" w:line="240" w:lineRule="auto"/>
              <w:rPr>
                <w:rFonts w:asciiTheme="majorHAnsi" w:hAnsiTheme="majorHAnsi" w:cstheme="majorHAnsi"/>
                <w:sz w:val="18"/>
                <w:szCs w:val="20"/>
              </w:rPr>
            </w:pPr>
          </w:p>
        </w:tc>
        <w:tc>
          <w:tcPr>
            <w:tcW w:w="1060" w:type="dxa"/>
            <w:tcBorders>
              <w:top w:val="nil"/>
              <w:bottom w:val="single" w:sz="4" w:space="0" w:color="auto"/>
            </w:tcBorders>
            <w:vAlign w:val="center"/>
          </w:tcPr>
          <w:p w14:paraId="1C088C7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895" w:type="dxa"/>
            <w:tcBorders>
              <w:top w:val="nil"/>
              <w:bottom w:val="single" w:sz="4" w:space="0" w:color="auto"/>
            </w:tcBorders>
            <w:vAlign w:val="center"/>
          </w:tcPr>
          <w:p w14:paraId="0F00617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88.42</w:t>
            </w:r>
          </w:p>
        </w:tc>
        <w:tc>
          <w:tcPr>
            <w:tcW w:w="986" w:type="dxa"/>
            <w:tcBorders>
              <w:top w:val="nil"/>
              <w:bottom w:val="single" w:sz="4" w:space="0" w:color="auto"/>
            </w:tcBorders>
            <w:vAlign w:val="center"/>
          </w:tcPr>
          <w:p w14:paraId="1CA784E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23.5</w:t>
            </w:r>
          </w:p>
        </w:tc>
        <w:tc>
          <w:tcPr>
            <w:tcW w:w="750" w:type="dxa"/>
            <w:tcBorders>
              <w:top w:val="nil"/>
              <w:bottom w:val="single" w:sz="4" w:space="0" w:color="auto"/>
            </w:tcBorders>
            <w:vAlign w:val="center"/>
          </w:tcPr>
          <w:p w14:paraId="61A2124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2043</w:t>
            </w:r>
          </w:p>
        </w:tc>
        <w:tc>
          <w:tcPr>
            <w:tcW w:w="895" w:type="dxa"/>
            <w:tcBorders>
              <w:top w:val="nil"/>
              <w:bottom w:val="single" w:sz="4" w:space="0" w:color="auto"/>
            </w:tcBorders>
            <w:vAlign w:val="center"/>
          </w:tcPr>
          <w:p w14:paraId="21A49D9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56.32(0)</w:t>
            </w:r>
          </w:p>
        </w:tc>
        <w:tc>
          <w:tcPr>
            <w:tcW w:w="986" w:type="dxa"/>
            <w:tcBorders>
              <w:top w:val="nil"/>
              <w:bottom w:val="single" w:sz="4" w:space="0" w:color="auto"/>
            </w:tcBorders>
            <w:vAlign w:val="center"/>
          </w:tcPr>
          <w:p w14:paraId="433D80B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-3.13(0)</w:t>
            </w:r>
          </w:p>
        </w:tc>
        <w:tc>
          <w:tcPr>
            <w:tcW w:w="750" w:type="dxa"/>
            <w:tcBorders>
              <w:top w:val="nil"/>
              <w:bottom w:val="single" w:sz="4" w:space="0" w:color="auto"/>
            </w:tcBorders>
            <w:vAlign w:val="center"/>
          </w:tcPr>
          <w:p w14:paraId="2980D44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95" w:type="dxa"/>
            <w:tcBorders>
              <w:top w:val="nil"/>
              <w:bottom w:val="single" w:sz="4" w:space="0" w:color="auto"/>
            </w:tcBorders>
            <w:vAlign w:val="center"/>
          </w:tcPr>
          <w:p w14:paraId="4E5CD78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88.42</w:t>
            </w:r>
          </w:p>
        </w:tc>
        <w:tc>
          <w:tcPr>
            <w:tcW w:w="986" w:type="dxa"/>
            <w:tcBorders>
              <w:top w:val="nil"/>
              <w:bottom w:val="single" w:sz="4" w:space="0" w:color="auto"/>
            </w:tcBorders>
            <w:vAlign w:val="center"/>
          </w:tcPr>
          <w:p w14:paraId="5AC4215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23.5</w:t>
            </w:r>
          </w:p>
        </w:tc>
      </w:tr>
      <w:tr w:rsidR="006912F6" w:rsidRPr="006912F6" w14:paraId="704EB893" w14:textId="77777777" w:rsidTr="001E39A4">
        <w:trPr>
          <w:trHeight w:val="376"/>
        </w:trPr>
        <w:tc>
          <w:tcPr>
            <w:tcW w:w="1041" w:type="dxa"/>
            <w:vMerge w:val="restart"/>
            <w:vAlign w:val="center"/>
          </w:tcPr>
          <w:p w14:paraId="57675C2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Medium</w:t>
            </w:r>
          </w:p>
        </w:tc>
        <w:tc>
          <w:tcPr>
            <w:tcW w:w="1060" w:type="dxa"/>
            <w:tcBorders>
              <w:bottom w:val="nil"/>
            </w:tcBorders>
            <w:vAlign w:val="center"/>
          </w:tcPr>
          <w:p w14:paraId="33466ED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895" w:type="dxa"/>
            <w:tcBorders>
              <w:bottom w:val="nil"/>
            </w:tcBorders>
            <w:vAlign w:val="center"/>
          </w:tcPr>
          <w:p w14:paraId="301672C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73.89</w:t>
            </w:r>
          </w:p>
        </w:tc>
        <w:tc>
          <w:tcPr>
            <w:tcW w:w="986" w:type="dxa"/>
            <w:tcBorders>
              <w:bottom w:val="nil"/>
            </w:tcBorders>
            <w:vAlign w:val="center"/>
          </w:tcPr>
          <w:p w14:paraId="683D821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20.1</w:t>
            </w:r>
          </w:p>
        </w:tc>
        <w:tc>
          <w:tcPr>
            <w:tcW w:w="750" w:type="dxa"/>
            <w:tcBorders>
              <w:bottom w:val="nil"/>
            </w:tcBorders>
            <w:vAlign w:val="center"/>
          </w:tcPr>
          <w:p w14:paraId="1AB3E79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2038</w:t>
            </w:r>
          </w:p>
        </w:tc>
        <w:tc>
          <w:tcPr>
            <w:tcW w:w="895" w:type="dxa"/>
            <w:tcBorders>
              <w:bottom w:val="nil"/>
            </w:tcBorders>
            <w:vAlign w:val="center"/>
          </w:tcPr>
          <w:p w14:paraId="02C7AF9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41.79(0)</w:t>
            </w:r>
          </w:p>
        </w:tc>
        <w:tc>
          <w:tcPr>
            <w:tcW w:w="986" w:type="dxa"/>
            <w:tcBorders>
              <w:bottom w:val="nil"/>
            </w:tcBorders>
            <w:vAlign w:val="center"/>
          </w:tcPr>
          <w:p w14:paraId="41A9299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-2.32(0)</w:t>
            </w:r>
          </w:p>
        </w:tc>
        <w:tc>
          <w:tcPr>
            <w:tcW w:w="750" w:type="dxa"/>
            <w:tcBorders>
              <w:bottom w:val="nil"/>
            </w:tcBorders>
            <w:vAlign w:val="center"/>
          </w:tcPr>
          <w:p w14:paraId="11ADAD5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95" w:type="dxa"/>
            <w:tcBorders>
              <w:bottom w:val="nil"/>
            </w:tcBorders>
            <w:vAlign w:val="center"/>
          </w:tcPr>
          <w:p w14:paraId="4EDF125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73.89</w:t>
            </w:r>
          </w:p>
        </w:tc>
        <w:tc>
          <w:tcPr>
            <w:tcW w:w="986" w:type="dxa"/>
            <w:tcBorders>
              <w:bottom w:val="nil"/>
            </w:tcBorders>
            <w:vAlign w:val="center"/>
          </w:tcPr>
          <w:p w14:paraId="5ED018A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20.1</w:t>
            </w:r>
          </w:p>
        </w:tc>
      </w:tr>
      <w:tr w:rsidR="006912F6" w:rsidRPr="006912F6" w14:paraId="75715AC5" w14:textId="77777777" w:rsidTr="001E39A4">
        <w:trPr>
          <w:trHeight w:val="376"/>
        </w:trPr>
        <w:tc>
          <w:tcPr>
            <w:tcW w:w="1041" w:type="dxa"/>
            <w:vMerge/>
          </w:tcPr>
          <w:p w14:paraId="170BCD8D" w14:textId="77777777" w:rsidR="001B757C" w:rsidRPr="006912F6" w:rsidRDefault="001B757C" w:rsidP="000C4BE5">
            <w:pPr>
              <w:spacing w:before="0" w:line="240" w:lineRule="auto"/>
              <w:rPr>
                <w:rFonts w:asciiTheme="majorHAnsi" w:hAnsiTheme="majorHAnsi" w:cstheme="majorHAnsi"/>
                <w:sz w:val="18"/>
                <w:szCs w:val="20"/>
              </w:rPr>
            </w:pPr>
          </w:p>
        </w:tc>
        <w:tc>
          <w:tcPr>
            <w:tcW w:w="1060" w:type="dxa"/>
            <w:tcBorders>
              <w:top w:val="nil"/>
              <w:bottom w:val="nil"/>
            </w:tcBorders>
            <w:vAlign w:val="center"/>
          </w:tcPr>
          <w:p w14:paraId="3AD94E4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895" w:type="dxa"/>
            <w:tcBorders>
              <w:top w:val="nil"/>
              <w:bottom w:val="nil"/>
            </w:tcBorders>
            <w:vAlign w:val="center"/>
          </w:tcPr>
          <w:p w14:paraId="3D9D9CA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78.74</w:t>
            </w:r>
          </w:p>
        </w:tc>
        <w:tc>
          <w:tcPr>
            <w:tcW w:w="986" w:type="dxa"/>
            <w:tcBorders>
              <w:top w:val="nil"/>
              <w:bottom w:val="nil"/>
            </w:tcBorders>
            <w:vAlign w:val="center"/>
          </w:tcPr>
          <w:p w14:paraId="6290048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18</w:t>
            </w:r>
          </w:p>
        </w:tc>
        <w:tc>
          <w:tcPr>
            <w:tcW w:w="750" w:type="dxa"/>
            <w:tcBorders>
              <w:top w:val="nil"/>
              <w:bottom w:val="nil"/>
            </w:tcBorders>
            <w:vAlign w:val="center"/>
          </w:tcPr>
          <w:p w14:paraId="4A0B19B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2042</w:t>
            </w:r>
          </w:p>
        </w:tc>
        <w:tc>
          <w:tcPr>
            <w:tcW w:w="895" w:type="dxa"/>
            <w:tcBorders>
              <w:top w:val="nil"/>
              <w:bottom w:val="nil"/>
            </w:tcBorders>
            <w:vAlign w:val="center"/>
          </w:tcPr>
          <w:p w14:paraId="26E67DC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46.63(0)</w:t>
            </w:r>
          </w:p>
        </w:tc>
        <w:tc>
          <w:tcPr>
            <w:tcW w:w="986" w:type="dxa"/>
            <w:tcBorders>
              <w:top w:val="nil"/>
              <w:bottom w:val="nil"/>
            </w:tcBorders>
            <w:vAlign w:val="center"/>
          </w:tcPr>
          <w:p w14:paraId="73746EF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-2.59(0)</w:t>
            </w:r>
          </w:p>
        </w:tc>
        <w:tc>
          <w:tcPr>
            <w:tcW w:w="750" w:type="dxa"/>
            <w:tcBorders>
              <w:top w:val="nil"/>
              <w:bottom w:val="nil"/>
            </w:tcBorders>
            <w:vAlign w:val="center"/>
          </w:tcPr>
          <w:p w14:paraId="54D20FF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95" w:type="dxa"/>
            <w:tcBorders>
              <w:top w:val="nil"/>
              <w:bottom w:val="nil"/>
            </w:tcBorders>
            <w:vAlign w:val="center"/>
          </w:tcPr>
          <w:p w14:paraId="19BB318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78.74</w:t>
            </w:r>
          </w:p>
        </w:tc>
        <w:tc>
          <w:tcPr>
            <w:tcW w:w="986" w:type="dxa"/>
            <w:tcBorders>
              <w:top w:val="nil"/>
              <w:bottom w:val="nil"/>
            </w:tcBorders>
            <w:vAlign w:val="center"/>
          </w:tcPr>
          <w:p w14:paraId="3D68B84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18</w:t>
            </w:r>
          </w:p>
        </w:tc>
      </w:tr>
      <w:tr w:rsidR="006912F6" w:rsidRPr="006912F6" w14:paraId="0FD74D6F" w14:textId="77777777" w:rsidTr="001E39A4">
        <w:trPr>
          <w:trHeight w:val="376"/>
        </w:trPr>
        <w:tc>
          <w:tcPr>
            <w:tcW w:w="1041" w:type="dxa"/>
            <w:vMerge/>
          </w:tcPr>
          <w:p w14:paraId="18B42A82" w14:textId="77777777" w:rsidR="001B757C" w:rsidRPr="006912F6" w:rsidRDefault="001B757C" w:rsidP="000C4BE5">
            <w:pPr>
              <w:spacing w:before="0" w:line="240" w:lineRule="auto"/>
              <w:rPr>
                <w:rFonts w:asciiTheme="majorHAnsi" w:hAnsiTheme="majorHAnsi" w:cstheme="majorHAnsi"/>
                <w:sz w:val="18"/>
                <w:szCs w:val="20"/>
              </w:rPr>
            </w:pPr>
          </w:p>
        </w:tc>
        <w:tc>
          <w:tcPr>
            <w:tcW w:w="1060" w:type="dxa"/>
            <w:tcBorders>
              <w:top w:val="nil"/>
              <w:bottom w:val="nil"/>
            </w:tcBorders>
            <w:vAlign w:val="center"/>
          </w:tcPr>
          <w:p w14:paraId="52CF894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895" w:type="dxa"/>
            <w:tcBorders>
              <w:top w:val="nil"/>
              <w:bottom w:val="nil"/>
            </w:tcBorders>
            <w:vAlign w:val="center"/>
          </w:tcPr>
          <w:p w14:paraId="7ED250A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83.58</w:t>
            </w:r>
          </w:p>
        </w:tc>
        <w:tc>
          <w:tcPr>
            <w:tcW w:w="986" w:type="dxa"/>
            <w:tcBorders>
              <w:top w:val="nil"/>
              <w:bottom w:val="nil"/>
            </w:tcBorders>
            <w:vAlign w:val="center"/>
          </w:tcPr>
          <w:p w14:paraId="656C9A5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16.2</w:t>
            </w:r>
          </w:p>
        </w:tc>
        <w:tc>
          <w:tcPr>
            <w:tcW w:w="750" w:type="dxa"/>
            <w:tcBorders>
              <w:top w:val="nil"/>
              <w:bottom w:val="nil"/>
            </w:tcBorders>
            <w:vAlign w:val="center"/>
          </w:tcPr>
          <w:p w14:paraId="1269D1B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2046</w:t>
            </w:r>
          </w:p>
        </w:tc>
        <w:tc>
          <w:tcPr>
            <w:tcW w:w="895" w:type="dxa"/>
            <w:tcBorders>
              <w:top w:val="nil"/>
              <w:bottom w:val="nil"/>
            </w:tcBorders>
            <w:vAlign w:val="center"/>
          </w:tcPr>
          <w:p w14:paraId="009E8E8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51.48(0)</w:t>
            </w:r>
          </w:p>
        </w:tc>
        <w:tc>
          <w:tcPr>
            <w:tcW w:w="986" w:type="dxa"/>
            <w:tcBorders>
              <w:top w:val="nil"/>
              <w:bottom w:val="nil"/>
            </w:tcBorders>
            <w:vAlign w:val="center"/>
          </w:tcPr>
          <w:p w14:paraId="5DCF9ED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-2.86(0)</w:t>
            </w:r>
          </w:p>
        </w:tc>
        <w:tc>
          <w:tcPr>
            <w:tcW w:w="750" w:type="dxa"/>
            <w:tcBorders>
              <w:top w:val="nil"/>
              <w:bottom w:val="nil"/>
            </w:tcBorders>
            <w:vAlign w:val="center"/>
          </w:tcPr>
          <w:p w14:paraId="010DCCB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95" w:type="dxa"/>
            <w:tcBorders>
              <w:top w:val="nil"/>
              <w:bottom w:val="nil"/>
            </w:tcBorders>
            <w:vAlign w:val="center"/>
          </w:tcPr>
          <w:p w14:paraId="097269C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83.58</w:t>
            </w:r>
          </w:p>
        </w:tc>
        <w:tc>
          <w:tcPr>
            <w:tcW w:w="986" w:type="dxa"/>
            <w:tcBorders>
              <w:top w:val="nil"/>
              <w:bottom w:val="nil"/>
            </w:tcBorders>
            <w:vAlign w:val="center"/>
          </w:tcPr>
          <w:p w14:paraId="0551027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16.2</w:t>
            </w:r>
          </w:p>
        </w:tc>
      </w:tr>
      <w:tr w:rsidR="006912F6" w:rsidRPr="006912F6" w14:paraId="1BC6F959" w14:textId="77777777" w:rsidTr="001E39A4">
        <w:trPr>
          <w:trHeight w:val="376"/>
        </w:trPr>
        <w:tc>
          <w:tcPr>
            <w:tcW w:w="1041" w:type="dxa"/>
            <w:vMerge/>
          </w:tcPr>
          <w:p w14:paraId="51C242C6" w14:textId="77777777" w:rsidR="001B757C" w:rsidRPr="006912F6" w:rsidRDefault="001B757C" w:rsidP="000C4BE5">
            <w:pPr>
              <w:spacing w:before="0" w:line="240" w:lineRule="auto"/>
              <w:rPr>
                <w:rFonts w:asciiTheme="majorHAnsi" w:hAnsiTheme="majorHAnsi" w:cstheme="majorHAnsi"/>
                <w:sz w:val="18"/>
                <w:szCs w:val="20"/>
              </w:rPr>
            </w:pPr>
          </w:p>
        </w:tc>
        <w:tc>
          <w:tcPr>
            <w:tcW w:w="1060" w:type="dxa"/>
            <w:tcBorders>
              <w:top w:val="nil"/>
              <w:bottom w:val="single" w:sz="4" w:space="0" w:color="auto"/>
            </w:tcBorders>
            <w:vAlign w:val="center"/>
          </w:tcPr>
          <w:p w14:paraId="248884E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895" w:type="dxa"/>
            <w:tcBorders>
              <w:top w:val="nil"/>
              <w:bottom w:val="single" w:sz="4" w:space="0" w:color="auto"/>
            </w:tcBorders>
            <w:vAlign w:val="center"/>
          </w:tcPr>
          <w:p w14:paraId="245F615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88.42</w:t>
            </w:r>
          </w:p>
        </w:tc>
        <w:tc>
          <w:tcPr>
            <w:tcW w:w="986" w:type="dxa"/>
            <w:tcBorders>
              <w:top w:val="nil"/>
              <w:bottom w:val="single" w:sz="4" w:space="0" w:color="auto"/>
            </w:tcBorders>
            <w:vAlign w:val="center"/>
          </w:tcPr>
          <w:p w14:paraId="7A26351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14.6</w:t>
            </w:r>
          </w:p>
        </w:tc>
        <w:tc>
          <w:tcPr>
            <w:tcW w:w="750" w:type="dxa"/>
            <w:tcBorders>
              <w:top w:val="nil"/>
              <w:bottom w:val="single" w:sz="4" w:space="0" w:color="auto"/>
            </w:tcBorders>
            <w:vAlign w:val="center"/>
          </w:tcPr>
          <w:p w14:paraId="26D0E36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2050</w:t>
            </w:r>
          </w:p>
        </w:tc>
        <w:tc>
          <w:tcPr>
            <w:tcW w:w="895" w:type="dxa"/>
            <w:tcBorders>
              <w:top w:val="nil"/>
              <w:bottom w:val="single" w:sz="4" w:space="0" w:color="auto"/>
            </w:tcBorders>
            <w:vAlign w:val="center"/>
          </w:tcPr>
          <w:p w14:paraId="36B05A5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56.32(0)</w:t>
            </w:r>
          </w:p>
        </w:tc>
        <w:tc>
          <w:tcPr>
            <w:tcW w:w="986" w:type="dxa"/>
            <w:tcBorders>
              <w:top w:val="nil"/>
              <w:bottom w:val="single" w:sz="4" w:space="0" w:color="auto"/>
            </w:tcBorders>
            <w:vAlign w:val="center"/>
          </w:tcPr>
          <w:p w14:paraId="2687258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-3.13(0)</w:t>
            </w:r>
          </w:p>
        </w:tc>
        <w:tc>
          <w:tcPr>
            <w:tcW w:w="750" w:type="dxa"/>
            <w:tcBorders>
              <w:top w:val="nil"/>
              <w:bottom w:val="single" w:sz="4" w:space="0" w:color="auto"/>
            </w:tcBorders>
            <w:vAlign w:val="center"/>
          </w:tcPr>
          <w:p w14:paraId="29B7AF6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95" w:type="dxa"/>
            <w:tcBorders>
              <w:top w:val="nil"/>
              <w:bottom w:val="single" w:sz="4" w:space="0" w:color="auto"/>
            </w:tcBorders>
            <w:vAlign w:val="center"/>
          </w:tcPr>
          <w:p w14:paraId="06D0792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88.42</w:t>
            </w:r>
          </w:p>
        </w:tc>
        <w:tc>
          <w:tcPr>
            <w:tcW w:w="986" w:type="dxa"/>
            <w:tcBorders>
              <w:top w:val="nil"/>
              <w:bottom w:val="single" w:sz="4" w:space="0" w:color="auto"/>
            </w:tcBorders>
            <w:vAlign w:val="center"/>
          </w:tcPr>
          <w:p w14:paraId="06C3ACC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14.6</w:t>
            </w:r>
          </w:p>
        </w:tc>
      </w:tr>
      <w:tr w:rsidR="006912F6" w:rsidRPr="006912F6" w14:paraId="32706E2A" w14:textId="77777777" w:rsidTr="001E39A4">
        <w:trPr>
          <w:trHeight w:val="376"/>
        </w:trPr>
        <w:tc>
          <w:tcPr>
            <w:tcW w:w="1041" w:type="dxa"/>
            <w:vMerge w:val="restart"/>
            <w:vAlign w:val="center"/>
          </w:tcPr>
          <w:p w14:paraId="3B589CA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Low</w:t>
            </w:r>
          </w:p>
        </w:tc>
        <w:tc>
          <w:tcPr>
            <w:tcW w:w="1060" w:type="dxa"/>
            <w:tcBorders>
              <w:bottom w:val="nil"/>
            </w:tcBorders>
            <w:vAlign w:val="center"/>
          </w:tcPr>
          <w:p w14:paraId="517DA96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895" w:type="dxa"/>
            <w:tcBorders>
              <w:bottom w:val="nil"/>
            </w:tcBorders>
            <w:vAlign w:val="center"/>
          </w:tcPr>
          <w:p w14:paraId="5CD890E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73.89</w:t>
            </w:r>
          </w:p>
        </w:tc>
        <w:tc>
          <w:tcPr>
            <w:tcW w:w="986" w:type="dxa"/>
            <w:tcBorders>
              <w:bottom w:val="nil"/>
            </w:tcBorders>
            <w:vAlign w:val="center"/>
          </w:tcPr>
          <w:p w14:paraId="7B3B1E5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13.3</w:t>
            </w:r>
          </w:p>
        </w:tc>
        <w:tc>
          <w:tcPr>
            <w:tcW w:w="750" w:type="dxa"/>
            <w:tcBorders>
              <w:bottom w:val="nil"/>
            </w:tcBorders>
            <w:vAlign w:val="center"/>
          </w:tcPr>
          <w:p w14:paraId="2607F38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2044</w:t>
            </w:r>
          </w:p>
        </w:tc>
        <w:tc>
          <w:tcPr>
            <w:tcW w:w="895" w:type="dxa"/>
            <w:tcBorders>
              <w:bottom w:val="nil"/>
            </w:tcBorders>
            <w:vAlign w:val="center"/>
          </w:tcPr>
          <w:p w14:paraId="1A17637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41.79(0)</w:t>
            </w:r>
          </w:p>
        </w:tc>
        <w:tc>
          <w:tcPr>
            <w:tcW w:w="986" w:type="dxa"/>
            <w:tcBorders>
              <w:bottom w:val="nil"/>
            </w:tcBorders>
            <w:vAlign w:val="center"/>
          </w:tcPr>
          <w:p w14:paraId="0E5037C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-2.32(0)</w:t>
            </w:r>
          </w:p>
        </w:tc>
        <w:tc>
          <w:tcPr>
            <w:tcW w:w="750" w:type="dxa"/>
            <w:tcBorders>
              <w:bottom w:val="nil"/>
            </w:tcBorders>
            <w:vAlign w:val="center"/>
          </w:tcPr>
          <w:p w14:paraId="3679B6A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95" w:type="dxa"/>
            <w:tcBorders>
              <w:bottom w:val="nil"/>
            </w:tcBorders>
            <w:vAlign w:val="center"/>
          </w:tcPr>
          <w:p w14:paraId="7661C05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73.89</w:t>
            </w:r>
          </w:p>
        </w:tc>
        <w:tc>
          <w:tcPr>
            <w:tcW w:w="986" w:type="dxa"/>
            <w:tcBorders>
              <w:bottom w:val="nil"/>
            </w:tcBorders>
            <w:vAlign w:val="center"/>
          </w:tcPr>
          <w:p w14:paraId="1F1CE45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13.3</w:t>
            </w:r>
          </w:p>
        </w:tc>
      </w:tr>
      <w:tr w:rsidR="006912F6" w:rsidRPr="006912F6" w14:paraId="64D9DE62" w14:textId="77777777" w:rsidTr="001E39A4">
        <w:trPr>
          <w:trHeight w:val="376"/>
        </w:trPr>
        <w:tc>
          <w:tcPr>
            <w:tcW w:w="1041" w:type="dxa"/>
            <w:vMerge/>
          </w:tcPr>
          <w:p w14:paraId="1E3F2092" w14:textId="77777777" w:rsidR="001B757C" w:rsidRPr="006912F6" w:rsidRDefault="001B757C" w:rsidP="000C4BE5">
            <w:pPr>
              <w:spacing w:before="0" w:line="240" w:lineRule="auto"/>
              <w:rPr>
                <w:rFonts w:asciiTheme="majorHAnsi" w:hAnsiTheme="majorHAnsi" w:cstheme="majorHAnsi"/>
                <w:sz w:val="18"/>
                <w:szCs w:val="20"/>
              </w:rPr>
            </w:pPr>
          </w:p>
        </w:tc>
        <w:tc>
          <w:tcPr>
            <w:tcW w:w="1060" w:type="dxa"/>
            <w:tcBorders>
              <w:top w:val="nil"/>
              <w:bottom w:val="nil"/>
            </w:tcBorders>
            <w:vAlign w:val="center"/>
          </w:tcPr>
          <w:p w14:paraId="76D1364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895" w:type="dxa"/>
            <w:tcBorders>
              <w:top w:val="nil"/>
              <w:bottom w:val="nil"/>
            </w:tcBorders>
            <w:vAlign w:val="center"/>
          </w:tcPr>
          <w:p w14:paraId="531D7A8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78.74</w:t>
            </w:r>
          </w:p>
        </w:tc>
        <w:tc>
          <w:tcPr>
            <w:tcW w:w="986" w:type="dxa"/>
            <w:tcBorders>
              <w:top w:val="nil"/>
              <w:bottom w:val="nil"/>
            </w:tcBorders>
            <w:vAlign w:val="center"/>
          </w:tcPr>
          <w:p w14:paraId="2CF22A0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11.5</w:t>
            </w:r>
          </w:p>
        </w:tc>
        <w:tc>
          <w:tcPr>
            <w:tcW w:w="750" w:type="dxa"/>
            <w:tcBorders>
              <w:top w:val="nil"/>
              <w:bottom w:val="nil"/>
            </w:tcBorders>
            <w:vAlign w:val="center"/>
          </w:tcPr>
          <w:p w14:paraId="6143A6C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2049</w:t>
            </w:r>
          </w:p>
        </w:tc>
        <w:tc>
          <w:tcPr>
            <w:tcW w:w="895" w:type="dxa"/>
            <w:tcBorders>
              <w:top w:val="nil"/>
              <w:bottom w:val="nil"/>
            </w:tcBorders>
            <w:vAlign w:val="center"/>
          </w:tcPr>
          <w:p w14:paraId="7B624F1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46.63(0)</w:t>
            </w:r>
          </w:p>
        </w:tc>
        <w:tc>
          <w:tcPr>
            <w:tcW w:w="986" w:type="dxa"/>
            <w:tcBorders>
              <w:top w:val="nil"/>
              <w:bottom w:val="nil"/>
            </w:tcBorders>
            <w:vAlign w:val="center"/>
          </w:tcPr>
          <w:p w14:paraId="0581695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-2.59(0)</w:t>
            </w:r>
          </w:p>
        </w:tc>
        <w:tc>
          <w:tcPr>
            <w:tcW w:w="750" w:type="dxa"/>
            <w:tcBorders>
              <w:top w:val="nil"/>
              <w:bottom w:val="nil"/>
            </w:tcBorders>
            <w:vAlign w:val="center"/>
          </w:tcPr>
          <w:p w14:paraId="50B41B9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95" w:type="dxa"/>
            <w:tcBorders>
              <w:top w:val="nil"/>
              <w:bottom w:val="nil"/>
            </w:tcBorders>
            <w:vAlign w:val="center"/>
          </w:tcPr>
          <w:p w14:paraId="2892F43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78.74</w:t>
            </w:r>
          </w:p>
        </w:tc>
        <w:tc>
          <w:tcPr>
            <w:tcW w:w="986" w:type="dxa"/>
            <w:tcBorders>
              <w:top w:val="nil"/>
              <w:bottom w:val="nil"/>
            </w:tcBorders>
            <w:vAlign w:val="center"/>
          </w:tcPr>
          <w:p w14:paraId="28AF36E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11.5</w:t>
            </w:r>
          </w:p>
        </w:tc>
      </w:tr>
      <w:tr w:rsidR="006912F6" w:rsidRPr="006912F6" w14:paraId="07CC6FAC" w14:textId="77777777" w:rsidTr="001E39A4">
        <w:trPr>
          <w:trHeight w:val="376"/>
        </w:trPr>
        <w:tc>
          <w:tcPr>
            <w:tcW w:w="1041" w:type="dxa"/>
            <w:vMerge/>
          </w:tcPr>
          <w:p w14:paraId="153544B9" w14:textId="77777777" w:rsidR="001B757C" w:rsidRPr="006912F6" w:rsidRDefault="001B757C" w:rsidP="000C4BE5">
            <w:pPr>
              <w:spacing w:before="0" w:line="240" w:lineRule="auto"/>
              <w:rPr>
                <w:rFonts w:asciiTheme="majorHAnsi" w:hAnsiTheme="majorHAnsi" w:cstheme="majorHAnsi"/>
                <w:sz w:val="18"/>
                <w:szCs w:val="20"/>
              </w:rPr>
            </w:pPr>
          </w:p>
        </w:tc>
        <w:tc>
          <w:tcPr>
            <w:tcW w:w="1060" w:type="dxa"/>
            <w:tcBorders>
              <w:top w:val="nil"/>
              <w:bottom w:val="nil"/>
            </w:tcBorders>
            <w:vAlign w:val="center"/>
          </w:tcPr>
          <w:p w14:paraId="379A2EF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895" w:type="dxa"/>
            <w:tcBorders>
              <w:top w:val="nil"/>
              <w:bottom w:val="nil"/>
            </w:tcBorders>
            <w:vAlign w:val="center"/>
          </w:tcPr>
          <w:p w14:paraId="3109B28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83.58</w:t>
            </w:r>
          </w:p>
        </w:tc>
        <w:tc>
          <w:tcPr>
            <w:tcW w:w="986" w:type="dxa"/>
            <w:tcBorders>
              <w:top w:val="nil"/>
              <w:bottom w:val="nil"/>
            </w:tcBorders>
            <w:vAlign w:val="center"/>
          </w:tcPr>
          <w:p w14:paraId="5C136A6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10.1</w:t>
            </w:r>
          </w:p>
        </w:tc>
        <w:tc>
          <w:tcPr>
            <w:tcW w:w="750" w:type="dxa"/>
            <w:tcBorders>
              <w:top w:val="nil"/>
              <w:bottom w:val="nil"/>
            </w:tcBorders>
            <w:vAlign w:val="center"/>
          </w:tcPr>
          <w:p w14:paraId="6FE56DB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2054</w:t>
            </w:r>
          </w:p>
        </w:tc>
        <w:tc>
          <w:tcPr>
            <w:tcW w:w="895" w:type="dxa"/>
            <w:tcBorders>
              <w:top w:val="nil"/>
              <w:bottom w:val="nil"/>
            </w:tcBorders>
            <w:vAlign w:val="center"/>
          </w:tcPr>
          <w:p w14:paraId="4FB0160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51.48(0)</w:t>
            </w:r>
          </w:p>
        </w:tc>
        <w:tc>
          <w:tcPr>
            <w:tcW w:w="986" w:type="dxa"/>
            <w:tcBorders>
              <w:top w:val="nil"/>
              <w:bottom w:val="nil"/>
            </w:tcBorders>
            <w:vAlign w:val="center"/>
          </w:tcPr>
          <w:p w14:paraId="314AA64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-2.86(0)</w:t>
            </w:r>
          </w:p>
        </w:tc>
        <w:tc>
          <w:tcPr>
            <w:tcW w:w="750" w:type="dxa"/>
            <w:tcBorders>
              <w:top w:val="nil"/>
              <w:bottom w:val="nil"/>
            </w:tcBorders>
            <w:vAlign w:val="center"/>
          </w:tcPr>
          <w:p w14:paraId="17DA869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95" w:type="dxa"/>
            <w:tcBorders>
              <w:top w:val="nil"/>
              <w:bottom w:val="nil"/>
            </w:tcBorders>
            <w:vAlign w:val="center"/>
          </w:tcPr>
          <w:p w14:paraId="3569B4D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83.58</w:t>
            </w:r>
          </w:p>
        </w:tc>
        <w:tc>
          <w:tcPr>
            <w:tcW w:w="986" w:type="dxa"/>
            <w:tcBorders>
              <w:top w:val="nil"/>
              <w:bottom w:val="nil"/>
            </w:tcBorders>
            <w:vAlign w:val="center"/>
          </w:tcPr>
          <w:p w14:paraId="334C0E4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10.1</w:t>
            </w:r>
          </w:p>
        </w:tc>
      </w:tr>
      <w:tr w:rsidR="006912F6" w:rsidRPr="006912F6" w14:paraId="18FA977B" w14:textId="77777777" w:rsidTr="001E39A4">
        <w:trPr>
          <w:trHeight w:val="376"/>
        </w:trPr>
        <w:tc>
          <w:tcPr>
            <w:tcW w:w="1041" w:type="dxa"/>
            <w:vMerge/>
          </w:tcPr>
          <w:p w14:paraId="48E4BD99" w14:textId="77777777" w:rsidR="001B757C" w:rsidRPr="006912F6" w:rsidRDefault="001B757C" w:rsidP="000C4BE5">
            <w:pPr>
              <w:spacing w:before="0" w:line="240" w:lineRule="auto"/>
              <w:rPr>
                <w:rFonts w:asciiTheme="majorHAnsi" w:hAnsiTheme="majorHAnsi" w:cstheme="majorHAnsi"/>
                <w:sz w:val="18"/>
                <w:szCs w:val="20"/>
              </w:rPr>
            </w:pPr>
          </w:p>
        </w:tc>
        <w:tc>
          <w:tcPr>
            <w:tcW w:w="1060" w:type="dxa"/>
            <w:tcBorders>
              <w:top w:val="nil"/>
              <w:bottom w:val="single" w:sz="4" w:space="0" w:color="auto"/>
            </w:tcBorders>
            <w:vAlign w:val="center"/>
          </w:tcPr>
          <w:p w14:paraId="0A4A858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895" w:type="dxa"/>
            <w:tcBorders>
              <w:top w:val="nil"/>
              <w:bottom w:val="single" w:sz="4" w:space="0" w:color="auto"/>
            </w:tcBorders>
            <w:vAlign w:val="center"/>
          </w:tcPr>
          <w:p w14:paraId="67F24C6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88.42</w:t>
            </w:r>
          </w:p>
        </w:tc>
        <w:tc>
          <w:tcPr>
            <w:tcW w:w="986" w:type="dxa"/>
            <w:tcBorders>
              <w:top w:val="nil"/>
              <w:bottom w:val="single" w:sz="4" w:space="0" w:color="auto"/>
            </w:tcBorders>
            <w:vAlign w:val="center"/>
          </w:tcPr>
          <w:p w14:paraId="556B32D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8.9</w:t>
            </w:r>
          </w:p>
        </w:tc>
        <w:tc>
          <w:tcPr>
            <w:tcW w:w="750" w:type="dxa"/>
            <w:tcBorders>
              <w:top w:val="nil"/>
              <w:bottom w:val="single" w:sz="4" w:space="0" w:color="auto"/>
            </w:tcBorders>
            <w:vAlign w:val="center"/>
          </w:tcPr>
          <w:p w14:paraId="0C8A26E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2058</w:t>
            </w:r>
          </w:p>
        </w:tc>
        <w:tc>
          <w:tcPr>
            <w:tcW w:w="895" w:type="dxa"/>
            <w:tcBorders>
              <w:top w:val="nil"/>
              <w:bottom w:val="single" w:sz="4" w:space="0" w:color="auto"/>
            </w:tcBorders>
            <w:vAlign w:val="center"/>
          </w:tcPr>
          <w:p w14:paraId="2B02C8E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56.32(0)</w:t>
            </w:r>
          </w:p>
        </w:tc>
        <w:tc>
          <w:tcPr>
            <w:tcW w:w="986" w:type="dxa"/>
            <w:tcBorders>
              <w:top w:val="nil"/>
              <w:bottom w:val="single" w:sz="4" w:space="0" w:color="auto"/>
            </w:tcBorders>
            <w:vAlign w:val="center"/>
          </w:tcPr>
          <w:p w14:paraId="24E30C9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-3.13(0)</w:t>
            </w:r>
          </w:p>
        </w:tc>
        <w:tc>
          <w:tcPr>
            <w:tcW w:w="750" w:type="dxa"/>
            <w:tcBorders>
              <w:top w:val="nil"/>
              <w:bottom w:val="single" w:sz="4" w:space="0" w:color="auto"/>
            </w:tcBorders>
            <w:vAlign w:val="center"/>
          </w:tcPr>
          <w:p w14:paraId="35676E5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95" w:type="dxa"/>
            <w:tcBorders>
              <w:top w:val="nil"/>
              <w:bottom w:val="single" w:sz="4" w:space="0" w:color="auto"/>
            </w:tcBorders>
            <w:vAlign w:val="center"/>
          </w:tcPr>
          <w:p w14:paraId="5C01369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88.42</w:t>
            </w:r>
          </w:p>
        </w:tc>
        <w:tc>
          <w:tcPr>
            <w:tcW w:w="986" w:type="dxa"/>
            <w:tcBorders>
              <w:top w:val="nil"/>
              <w:bottom w:val="single" w:sz="4" w:space="0" w:color="auto"/>
            </w:tcBorders>
            <w:vAlign w:val="center"/>
          </w:tcPr>
          <w:p w14:paraId="3597BB5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8.9</w:t>
            </w:r>
          </w:p>
        </w:tc>
      </w:tr>
      <w:tr w:rsidR="006912F6" w:rsidRPr="006912F6" w14:paraId="0E5A36A1" w14:textId="77777777" w:rsidTr="001E39A4">
        <w:trPr>
          <w:trHeight w:val="376"/>
        </w:trPr>
        <w:tc>
          <w:tcPr>
            <w:tcW w:w="1041" w:type="dxa"/>
            <w:vMerge w:val="restart"/>
            <w:vAlign w:val="center"/>
          </w:tcPr>
          <w:p w14:paraId="6091F6D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 xml:space="preserve">Historical </w:t>
            </w:r>
          </w:p>
          <w:p w14:paraId="5AB86A6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Trend</w:t>
            </w:r>
          </w:p>
        </w:tc>
        <w:tc>
          <w:tcPr>
            <w:tcW w:w="1060" w:type="dxa"/>
            <w:tcBorders>
              <w:bottom w:val="nil"/>
            </w:tcBorders>
            <w:vAlign w:val="center"/>
          </w:tcPr>
          <w:p w14:paraId="6FD7D83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895" w:type="dxa"/>
            <w:tcBorders>
              <w:bottom w:val="nil"/>
            </w:tcBorders>
            <w:vAlign w:val="center"/>
          </w:tcPr>
          <w:p w14:paraId="468FE45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73.89(0)</w:t>
            </w:r>
          </w:p>
        </w:tc>
        <w:tc>
          <w:tcPr>
            <w:tcW w:w="986" w:type="dxa"/>
            <w:tcBorders>
              <w:bottom w:val="nil"/>
            </w:tcBorders>
            <w:vAlign w:val="center"/>
          </w:tcPr>
          <w:p w14:paraId="1938D12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-1.6(0)</w:t>
            </w:r>
          </w:p>
        </w:tc>
        <w:tc>
          <w:tcPr>
            <w:tcW w:w="750" w:type="dxa"/>
            <w:tcBorders>
              <w:bottom w:val="nil"/>
            </w:tcBorders>
            <w:vAlign w:val="center"/>
          </w:tcPr>
          <w:p w14:paraId="33BD7BD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95" w:type="dxa"/>
            <w:tcBorders>
              <w:bottom w:val="nil"/>
            </w:tcBorders>
            <w:vAlign w:val="center"/>
          </w:tcPr>
          <w:p w14:paraId="0744044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41.79(0)</w:t>
            </w:r>
          </w:p>
        </w:tc>
        <w:tc>
          <w:tcPr>
            <w:tcW w:w="986" w:type="dxa"/>
            <w:tcBorders>
              <w:bottom w:val="nil"/>
            </w:tcBorders>
            <w:vAlign w:val="center"/>
          </w:tcPr>
          <w:p w14:paraId="5764DB3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-2.32(0)</w:t>
            </w:r>
          </w:p>
        </w:tc>
        <w:tc>
          <w:tcPr>
            <w:tcW w:w="750" w:type="dxa"/>
            <w:tcBorders>
              <w:bottom w:val="nil"/>
            </w:tcBorders>
            <w:vAlign w:val="center"/>
          </w:tcPr>
          <w:p w14:paraId="533B2C3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95" w:type="dxa"/>
            <w:tcBorders>
              <w:bottom w:val="nil"/>
            </w:tcBorders>
            <w:vAlign w:val="center"/>
          </w:tcPr>
          <w:p w14:paraId="201B31C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c>
          <w:tcPr>
            <w:tcW w:w="986" w:type="dxa"/>
            <w:tcBorders>
              <w:bottom w:val="nil"/>
            </w:tcBorders>
            <w:vAlign w:val="center"/>
          </w:tcPr>
          <w:p w14:paraId="4E50D72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r>
      <w:tr w:rsidR="006912F6" w:rsidRPr="006912F6" w14:paraId="6D573708" w14:textId="77777777" w:rsidTr="001E39A4">
        <w:trPr>
          <w:trHeight w:val="376"/>
        </w:trPr>
        <w:tc>
          <w:tcPr>
            <w:tcW w:w="1041" w:type="dxa"/>
            <w:vMerge/>
          </w:tcPr>
          <w:p w14:paraId="35EE7AF5" w14:textId="77777777" w:rsidR="001B757C" w:rsidRPr="006912F6" w:rsidRDefault="001B757C" w:rsidP="000C4BE5">
            <w:pPr>
              <w:spacing w:before="0" w:line="240" w:lineRule="auto"/>
              <w:rPr>
                <w:rFonts w:asciiTheme="majorHAnsi" w:hAnsiTheme="majorHAnsi" w:cstheme="majorHAnsi"/>
                <w:sz w:val="18"/>
                <w:szCs w:val="20"/>
              </w:rPr>
            </w:pPr>
          </w:p>
        </w:tc>
        <w:tc>
          <w:tcPr>
            <w:tcW w:w="1060" w:type="dxa"/>
            <w:tcBorders>
              <w:top w:val="nil"/>
              <w:bottom w:val="nil"/>
            </w:tcBorders>
            <w:vAlign w:val="center"/>
          </w:tcPr>
          <w:p w14:paraId="18EFD2E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895" w:type="dxa"/>
            <w:tcBorders>
              <w:top w:val="nil"/>
              <w:bottom w:val="nil"/>
            </w:tcBorders>
            <w:vAlign w:val="center"/>
          </w:tcPr>
          <w:p w14:paraId="437A05B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78.74(0)</w:t>
            </w:r>
          </w:p>
        </w:tc>
        <w:tc>
          <w:tcPr>
            <w:tcW w:w="986" w:type="dxa"/>
            <w:tcBorders>
              <w:top w:val="nil"/>
              <w:bottom w:val="nil"/>
            </w:tcBorders>
            <w:vAlign w:val="center"/>
          </w:tcPr>
          <w:p w14:paraId="3B3905C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-1.9(0)</w:t>
            </w:r>
          </w:p>
        </w:tc>
        <w:tc>
          <w:tcPr>
            <w:tcW w:w="750" w:type="dxa"/>
            <w:tcBorders>
              <w:top w:val="nil"/>
              <w:bottom w:val="nil"/>
            </w:tcBorders>
            <w:vAlign w:val="center"/>
          </w:tcPr>
          <w:p w14:paraId="159EAEA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95" w:type="dxa"/>
            <w:tcBorders>
              <w:top w:val="nil"/>
              <w:bottom w:val="nil"/>
            </w:tcBorders>
            <w:vAlign w:val="center"/>
          </w:tcPr>
          <w:p w14:paraId="039E377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46.63(0)</w:t>
            </w:r>
          </w:p>
        </w:tc>
        <w:tc>
          <w:tcPr>
            <w:tcW w:w="986" w:type="dxa"/>
            <w:tcBorders>
              <w:top w:val="nil"/>
              <w:bottom w:val="nil"/>
            </w:tcBorders>
            <w:vAlign w:val="center"/>
          </w:tcPr>
          <w:p w14:paraId="67C1EBE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-2.59(0)</w:t>
            </w:r>
          </w:p>
        </w:tc>
        <w:tc>
          <w:tcPr>
            <w:tcW w:w="750" w:type="dxa"/>
            <w:tcBorders>
              <w:top w:val="nil"/>
              <w:bottom w:val="nil"/>
            </w:tcBorders>
            <w:vAlign w:val="center"/>
          </w:tcPr>
          <w:p w14:paraId="1583CE7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95" w:type="dxa"/>
            <w:tcBorders>
              <w:top w:val="nil"/>
              <w:bottom w:val="nil"/>
            </w:tcBorders>
            <w:vAlign w:val="center"/>
          </w:tcPr>
          <w:p w14:paraId="7C93908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c>
          <w:tcPr>
            <w:tcW w:w="986" w:type="dxa"/>
            <w:tcBorders>
              <w:top w:val="nil"/>
              <w:bottom w:val="nil"/>
            </w:tcBorders>
            <w:vAlign w:val="center"/>
          </w:tcPr>
          <w:p w14:paraId="441B7B5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r>
      <w:tr w:rsidR="006912F6" w:rsidRPr="006912F6" w14:paraId="5186061E" w14:textId="77777777" w:rsidTr="001E39A4">
        <w:trPr>
          <w:trHeight w:val="376"/>
        </w:trPr>
        <w:tc>
          <w:tcPr>
            <w:tcW w:w="1041" w:type="dxa"/>
            <w:vMerge/>
          </w:tcPr>
          <w:p w14:paraId="45E70EDD" w14:textId="77777777" w:rsidR="001B757C" w:rsidRPr="006912F6" w:rsidRDefault="001B757C" w:rsidP="000C4BE5">
            <w:pPr>
              <w:spacing w:before="0" w:line="240" w:lineRule="auto"/>
              <w:rPr>
                <w:rFonts w:asciiTheme="majorHAnsi" w:hAnsiTheme="majorHAnsi" w:cstheme="majorHAnsi"/>
                <w:sz w:val="18"/>
                <w:szCs w:val="20"/>
              </w:rPr>
            </w:pPr>
          </w:p>
        </w:tc>
        <w:tc>
          <w:tcPr>
            <w:tcW w:w="1060" w:type="dxa"/>
            <w:tcBorders>
              <w:top w:val="nil"/>
              <w:bottom w:val="nil"/>
            </w:tcBorders>
            <w:vAlign w:val="center"/>
          </w:tcPr>
          <w:p w14:paraId="4C320FE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895" w:type="dxa"/>
            <w:tcBorders>
              <w:top w:val="nil"/>
              <w:bottom w:val="nil"/>
            </w:tcBorders>
            <w:vAlign w:val="center"/>
          </w:tcPr>
          <w:p w14:paraId="3799B03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83.58(0)</w:t>
            </w:r>
          </w:p>
        </w:tc>
        <w:tc>
          <w:tcPr>
            <w:tcW w:w="986" w:type="dxa"/>
            <w:tcBorders>
              <w:top w:val="nil"/>
              <w:bottom w:val="nil"/>
            </w:tcBorders>
            <w:vAlign w:val="center"/>
          </w:tcPr>
          <w:p w14:paraId="1E09316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-2.1(0)</w:t>
            </w:r>
          </w:p>
        </w:tc>
        <w:tc>
          <w:tcPr>
            <w:tcW w:w="750" w:type="dxa"/>
            <w:tcBorders>
              <w:top w:val="nil"/>
              <w:bottom w:val="nil"/>
            </w:tcBorders>
            <w:vAlign w:val="center"/>
          </w:tcPr>
          <w:p w14:paraId="61B8071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95" w:type="dxa"/>
            <w:tcBorders>
              <w:top w:val="nil"/>
              <w:bottom w:val="nil"/>
            </w:tcBorders>
            <w:vAlign w:val="center"/>
          </w:tcPr>
          <w:p w14:paraId="6BF4E7A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51.48(0)</w:t>
            </w:r>
          </w:p>
        </w:tc>
        <w:tc>
          <w:tcPr>
            <w:tcW w:w="986" w:type="dxa"/>
            <w:tcBorders>
              <w:top w:val="nil"/>
              <w:bottom w:val="nil"/>
            </w:tcBorders>
            <w:vAlign w:val="center"/>
          </w:tcPr>
          <w:p w14:paraId="2D68CE6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-2.86(0)</w:t>
            </w:r>
          </w:p>
        </w:tc>
        <w:tc>
          <w:tcPr>
            <w:tcW w:w="750" w:type="dxa"/>
            <w:tcBorders>
              <w:top w:val="nil"/>
              <w:bottom w:val="nil"/>
            </w:tcBorders>
            <w:vAlign w:val="center"/>
          </w:tcPr>
          <w:p w14:paraId="28C26D3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95" w:type="dxa"/>
            <w:tcBorders>
              <w:top w:val="nil"/>
              <w:bottom w:val="nil"/>
            </w:tcBorders>
            <w:vAlign w:val="center"/>
          </w:tcPr>
          <w:p w14:paraId="45E52BE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c>
          <w:tcPr>
            <w:tcW w:w="986" w:type="dxa"/>
            <w:tcBorders>
              <w:top w:val="nil"/>
              <w:bottom w:val="nil"/>
            </w:tcBorders>
            <w:vAlign w:val="center"/>
          </w:tcPr>
          <w:p w14:paraId="03D3057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r>
      <w:tr w:rsidR="001B757C" w:rsidRPr="006912F6" w14:paraId="5ADB94D6" w14:textId="77777777" w:rsidTr="001E39A4">
        <w:trPr>
          <w:trHeight w:val="376"/>
        </w:trPr>
        <w:tc>
          <w:tcPr>
            <w:tcW w:w="1041" w:type="dxa"/>
            <w:vMerge/>
          </w:tcPr>
          <w:p w14:paraId="1DA57CD9" w14:textId="77777777" w:rsidR="001B757C" w:rsidRPr="006912F6" w:rsidRDefault="001B757C" w:rsidP="000C4BE5">
            <w:pPr>
              <w:spacing w:before="0" w:line="240" w:lineRule="auto"/>
              <w:rPr>
                <w:rFonts w:asciiTheme="majorHAnsi" w:hAnsiTheme="majorHAnsi" w:cstheme="majorHAnsi"/>
                <w:sz w:val="18"/>
                <w:szCs w:val="20"/>
              </w:rPr>
            </w:pPr>
          </w:p>
        </w:tc>
        <w:tc>
          <w:tcPr>
            <w:tcW w:w="1060" w:type="dxa"/>
            <w:tcBorders>
              <w:top w:val="nil"/>
            </w:tcBorders>
            <w:vAlign w:val="center"/>
          </w:tcPr>
          <w:p w14:paraId="70B3636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895" w:type="dxa"/>
            <w:tcBorders>
              <w:top w:val="nil"/>
            </w:tcBorders>
            <w:vAlign w:val="center"/>
          </w:tcPr>
          <w:p w14:paraId="2CF946B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88.42(0)</w:t>
            </w:r>
          </w:p>
        </w:tc>
        <w:tc>
          <w:tcPr>
            <w:tcW w:w="986" w:type="dxa"/>
            <w:tcBorders>
              <w:top w:val="nil"/>
            </w:tcBorders>
            <w:vAlign w:val="center"/>
          </w:tcPr>
          <w:p w14:paraId="721A2A9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-2.4(0)</w:t>
            </w:r>
          </w:p>
        </w:tc>
        <w:tc>
          <w:tcPr>
            <w:tcW w:w="750" w:type="dxa"/>
            <w:tcBorders>
              <w:top w:val="nil"/>
            </w:tcBorders>
            <w:vAlign w:val="center"/>
          </w:tcPr>
          <w:p w14:paraId="70E12D2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95" w:type="dxa"/>
            <w:tcBorders>
              <w:top w:val="nil"/>
            </w:tcBorders>
            <w:vAlign w:val="center"/>
          </w:tcPr>
          <w:p w14:paraId="098E683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56.32(0)</w:t>
            </w:r>
          </w:p>
        </w:tc>
        <w:tc>
          <w:tcPr>
            <w:tcW w:w="986" w:type="dxa"/>
            <w:tcBorders>
              <w:top w:val="nil"/>
            </w:tcBorders>
            <w:vAlign w:val="center"/>
          </w:tcPr>
          <w:p w14:paraId="3740FC9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-3.13(0)</w:t>
            </w:r>
          </w:p>
        </w:tc>
        <w:tc>
          <w:tcPr>
            <w:tcW w:w="750" w:type="dxa"/>
            <w:tcBorders>
              <w:top w:val="nil"/>
            </w:tcBorders>
            <w:vAlign w:val="center"/>
          </w:tcPr>
          <w:p w14:paraId="53271B4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95" w:type="dxa"/>
            <w:tcBorders>
              <w:top w:val="nil"/>
            </w:tcBorders>
            <w:vAlign w:val="center"/>
          </w:tcPr>
          <w:p w14:paraId="1E4F28C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c>
          <w:tcPr>
            <w:tcW w:w="986" w:type="dxa"/>
            <w:tcBorders>
              <w:top w:val="nil"/>
            </w:tcBorders>
            <w:vAlign w:val="center"/>
          </w:tcPr>
          <w:p w14:paraId="5DDBF89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r>
    </w:tbl>
    <w:p w14:paraId="34E9BE7E" w14:textId="77777777" w:rsidR="001B757C" w:rsidRPr="006912F6" w:rsidRDefault="001B757C" w:rsidP="001B757C">
      <w:pPr>
        <w:spacing w:before="0" w:line="240" w:lineRule="auto"/>
        <w:jc w:val="both"/>
        <w:rPr>
          <w:rFonts w:cs="Times New Roman"/>
          <w:szCs w:val="24"/>
        </w:rPr>
      </w:pPr>
    </w:p>
    <w:p w14:paraId="16B11885" w14:textId="77777777" w:rsidR="00507710" w:rsidRPr="006912F6" w:rsidRDefault="00507710" w:rsidP="00507710">
      <w:pPr>
        <w:spacing w:before="0" w:line="276" w:lineRule="auto"/>
        <w:jc w:val="both"/>
        <w:rPr>
          <w:rFonts w:cs="Times New Roman"/>
          <w:sz w:val="20"/>
          <w:szCs w:val="20"/>
        </w:rPr>
      </w:pPr>
    </w:p>
    <w:p w14:paraId="0667C218" w14:textId="77777777" w:rsidR="001B757C" w:rsidRPr="006912F6" w:rsidRDefault="001B757C" w:rsidP="00507710">
      <w:pPr>
        <w:pStyle w:val="a4"/>
        <w:spacing w:after="240" w:line="480" w:lineRule="auto"/>
        <w:jc w:val="both"/>
        <w:rPr>
          <w:b/>
          <w:i w:val="0"/>
          <w:color w:val="auto"/>
          <w:sz w:val="20"/>
          <w:szCs w:val="14"/>
        </w:rPr>
      </w:pPr>
      <w:bookmarkStart w:id="715" w:name="_Toc18071471"/>
    </w:p>
    <w:bookmarkEnd w:id="715"/>
    <w:p w14:paraId="0DFF1AE9" w14:textId="6B3542C0" w:rsidR="001B757C" w:rsidRPr="006912F6" w:rsidRDefault="001B757C" w:rsidP="001B757C">
      <w:pPr>
        <w:pStyle w:val="a4"/>
        <w:spacing w:after="240"/>
        <w:jc w:val="both"/>
        <w:rPr>
          <w:rFonts w:cs="Times New Roman"/>
          <w:i w:val="0"/>
          <w:color w:val="auto"/>
          <w:sz w:val="20"/>
          <w:szCs w:val="14"/>
        </w:rPr>
      </w:pPr>
      <w:r w:rsidRPr="006912F6">
        <w:rPr>
          <w:rFonts w:cs="Times New Roman"/>
          <w:b/>
          <w:bCs/>
          <w:i w:val="0"/>
          <w:color w:val="auto"/>
          <w:sz w:val="20"/>
          <w:szCs w:val="14"/>
        </w:rPr>
        <w:lastRenderedPageBreak/>
        <w:t xml:space="preserve">Table </w:t>
      </w:r>
      <w:r w:rsidR="00B41568" w:rsidRPr="006912F6">
        <w:rPr>
          <w:rFonts w:cs="Times New Roman"/>
          <w:b/>
          <w:bCs/>
          <w:i w:val="0"/>
          <w:color w:val="auto"/>
          <w:sz w:val="20"/>
          <w:szCs w:val="14"/>
        </w:rPr>
        <w:t>3.</w:t>
      </w:r>
      <w:r w:rsidR="00AC3AA0" w:rsidRPr="006912F6">
        <w:rPr>
          <w:rFonts w:cs="Times New Roman"/>
          <w:b/>
          <w:bCs/>
          <w:i w:val="0"/>
          <w:color w:val="auto"/>
          <w:sz w:val="20"/>
          <w:szCs w:val="14"/>
        </w:rPr>
        <w:t>6</w:t>
      </w:r>
      <w:r w:rsidRPr="006912F6">
        <w:rPr>
          <w:rFonts w:cs="Times New Roman"/>
          <w:b/>
          <w:bCs/>
          <w:i w:val="0"/>
          <w:color w:val="auto"/>
          <w:sz w:val="20"/>
          <w:szCs w:val="14"/>
        </w:rPr>
        <w:t>.</w:t>
      </w:r>
      <w:r w:rsidRPr="006912F6">
        <w:rPr>
          <w:rFonts w:cs="Times New Roman"/>
          <w:i w:val="0"/>
          <w:color w:val="auto"/>
          <w:sz w:val="20"/>
          <w:szCs w:val="14"/>
        </w:rPr>
        <w:t xml:space="preserve"> Option values (NPV</w:t>
      </w:r>
      <w:r w:rsidRPr="006912F6">
        <w:rPr>
          <w:rFonts w:cs="Times New Roman"/>
          <w:i w:val="0"/>
          <w:color w:val="auto"/>
          <w:sz w:val="20"/>
          <w:szCs w:val="14"/>
          <w:vertAlign w:val="subscript"/>
        </w:rPr>
        <w:t>opt</w:t>
      </w:r>
      <w:r w:rsidRPr="006912F6">
        <w:rPr>
          <w:rFonts w:cs="Times New Roman"/>
          <w:i w:val="0"/>
          <w:color w:val="auto"/>
          <w:sz w:val="20"/>
          <w:szCs w:val="14"/>
        </w:rPr>
        <w:t xml:space="preserve">) and optimal investment times (OIT) by different premium values in different SLR scenarios for the adaptation path of </w:t>
      </w:r>
      <m:oMath>
        <m:sSub>
          <m:sSubPr>
            <m:ctrlPr>
              <w:rPr>
                <w:rFonts w:ascii="Cambria Math" w:hAnsi="Cambria Math" w:cs="Times New Roman"/>
                <w:i w:val="0"/>
                <w:color w:val="auto"/>
                <w:sz w:val="20"/>
                <w:szCs w:val="14"/>
              </w:rPr>
            </m:ctrlPr>
          </m:sSubPr>
          <m:e>
            <m:r>
              <w:rPr>
                <w:rFonts w:ascii="Cambria Math" w:hAnsi="Cambria Math" w:cs="Times New Roman"/>
                <w:color w:val="auto"/>
                <w:sz w:val="20"/>
                <w:szCs w:val="14"/>
              </w:rPr>
              <m:t>U</m:t>
            </m:r>
          </m:e>
          <m:sub>
            <m:r>
              <w:rPr>
                <w:rFonts w:ascii="Cambria Math" w:hAnsi="Cambria Math" w:cs="Times New Roman"/>
                <w:color w:val="auto"/>
                <w:sz w:val="20"/>
                <w:szCs w:val="14"/>
              </w:rPr>
              <m:t>c→3.0m</m:t>
            </m:r>
          </m:sub>
        </m:sSub>
        <m:r>
          <w:rPr>
            <w:rFonts w:ascii="Cambria Math" w:hAnsi="Cambria Math" w:cs="Times New Roman"/>
            <w:color w:val="auto"/>
            <w:sz w:val="20"/>
            <w:szCs w:val="14"/>
          </w:rPr>
          <m:t>*</m:t>
        </m:r>
        <m:sSub>
          <m:sSubPr>
            <m:ctrlPr>
              <w:rPr>
                <w:rFonts w:ascii="Cambria Math" w:hAnsi="Cambria Math" w:cs="Times New Roman"/>
                <w:i w:val="0"/>
                <w:color w:val="auto"/>
                <w:sz w:val="20"/>
                <w:szCs w:val="14"/>
              </w:rPr>
            </m:ctrlPr>
          </m:sSubPr>
          <m:e>
            <m:r>
              <w:rPr>
                <w:rFonts w:ascii="Cambria Math" w:hAnsi="Cambria Math" w:cs="Times New Roman"/>
                <w:color w:val="auto"/>
                <w:sz w:val="20"/>
                <w:szCs w:val="14"/>
              </w:rPr>
              <m:t>U</m:t>
            </m:r>
          </m:e>
          <m:sub>
            <m:r>
              <w:rPr>
                <w:rFonts w:ascii="Cambria Math" w:hAnsi="Cambria Math" w:cs="Times New Roman"/>
                <w:color w:val="auto"/>
                <w:sz w:val="20"/>
                <w:szCs w:val="14"/>
              </w:rPr>
              <m:t>3.0m→4.0m</m:t>
            </m:r>
          </m:sub>
        </m:sSub>
      </m:oMath>
      <w:r w:rsidRPr="006912F6">
        <w:rPr>
          <w:rFonts w:cs="Times New Roman"/>
          <w:i w:val="0"/>
          <w:color w:val="auto"/>
          <w:sz w:val="20"/>
          <w:szCs w:val="14"/>
        </w:rPr>
        <w:t>.</w:t>
      </w:r>
    </w:p>
    <w:tbl>
      <w:tblPr>
        <w:tblStyle w:val="a3"/>
        <w:tblpPr w:leftFromText="180" w:rightFromText="180" w:vertAnchor="text" w:horzAnchor="margin" w:tblpY="86"/>
        <w:tblW w:w="0" w:type="auto"/>
        <w:tblBorders>
          <w:left w:val="none" w:sz="0" w:space="0" w:color="auto"/>
          <w:right w:val="none" w:sz="0" w:space="0" w:color="auto"/>
        </w:tblBorders>
        <w:tblLook w:val="04A0" w:firstRow="1" w:lastRow="0" w:firstColumn="1" w:lastColumn="0" w:noHBand="0" w:noVBand="1"/>
      </w:tblPr>
      <w:tblGrid>
        <w:gridCol w:w="1026"/>
        <w:gridCol w:w="1046"/>
        <w:gridCol w:w="883"/>
        <w:gridCol w:w="973"/>
        <w:gridCol w:w="740"/>
        <w:gridCol w:w="883"/>
        <w:gridCol w:w="973"/>
        <w:gridCol w:w="740"/>
        <w:gridCol w:w="883"/>
        <w:gridCol w:w="973"/>
      </w:tblGrid>
      <w:tr w:rsidR="006912F6" w:rsidRPr="006912F6" w14:paraId="3DC17E63" w14:textId="77777777" w:rsidTr="001E39A4">
        <w:trPr>
          <w:trHeight w:val="695"/>
        </w:trPr>
        <w:tc>
          <w:tcPr>
            <w:tcW w:w="1026" w:type="dxa"/>
            <w:vMerge w:val="restart"/>
            <w:vAlign w:val="center"/>
          </w:tcPr>
          <w:p w14:paraId="0EB81DC3"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SLR scenario</w:t>
            </w:r>
          </w:p>
        </w:tc>
        <w:tc>
          <w:tcPr>
            <w:tcW w:w="1046" w:type="dxa"/>
            <w:vMerge w:val="restart"/>
            <w:vAlign w:val="center"/>
          </w:tcPr>
          <w:p w14:paraId="485A6F65"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Premium scenario</w:t>
            </w:r>
          </w:p>
        </w:tc>
        <w:tc>
          <w:tcPr>
            <w:tcW w:w="2596" w:type="dxa"/>
            <w:gridSpan w:val="3"/>
            <w:vAlign w:val="center"/>
          </w:tcPr>
          <w:p w14:paraId="50706050"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The first phase adaptation (</w:t>
            </w:r>
            <m:oMath>
              <m:sSub>
                <m:sSubPr>
                  <m:ctrlPr>
                    <w:rPr>
                      <w:rFonts w:ascii="Cambria Math" w:hAnsi="Cambria Math" w:cstheme="majorHAnsi"/>
                      <w:i/>
                      <w:sz w:val="20"/>
                    </w:rPr>
                  </m:ctrlPr>
                </m:sSubPr>
                <m:e>
                  <m:r>
                    <w:rPr>
                      <w:rFonts w:ascii="Cambria Math" w:hAnsi="Cambria Math" w:cstheme="majorHAnsi"/>
                      <w:sz w:val="20"/>
                    </w:rPr>
                    <m:t>U</m:t>
                  </m:r>
                </m:e>
                <m:sub>
                  <m:r>
                    <w:rPr>
                      <w:rFonts w:ascii="Cambria Math" w:hAnsi="Cambria Math" w:cstheme="majorHAnsi"/>
                      <w:sz w:val="20"/>
                    </w:rPr>
                    <m:t>c→3.0m</m:t>
                  </m:r>
                </m:sub>
              </m:sSub>
              <m:r>
                <w:rPr>
                  <w:rFonts w:ascii="Cambria Math" w:hAnsi="Cambria Math" w:cstheme="majorHAnsi"/>
                  <w:sz w:val="20"/>
                </w:rPr>
                <m:t>)</m:t>
              </m:r>
            </m:oMath>
          </w:p>
        </w:tc>
        <w:tc>
          <w:tcPr>
            <w:tcW w:w="2596" w:type="dxa"/>
            <w:gridSpan w:val="3"/>
            <w:vAlign w:val="center"/>
          </w:tcPr>
          <w:p w14:paraId="022BC91D"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The second phase adaptation (</w:t>
            </w:r>
            <m:oMath>
              <m:sSub>
                <m:sSubPr>
                  <m:ctrlPr>
                    <w:rPr>
                      <w:rFonts w:ascii="Cambria Math" w:hAnsi="Cambria Math" w:cstheme="majorHAnsi"/>
                      <w:i/>
                      <w:sz w:val="20"/>
                    </w:rPr>
                  </m:ctrlPr>
                </m:sSubPr>
                <m:e>
                  <m:r>
                    <w:rPr>
                      <w:rFonts w:ascii="Cambria Math" w:hAnsi="Cambria Math" w:cstheme="majorHAnsi"/>
                      <w:sz w:val="20"/>
                    </w:rPr>
                    <m:t>U</m:t>
                  </m:r>
                </m:e>
                <m:sub>
                  <m:r>
                    <w:rPr>
                      <w:rFonts w:ascii="Cambria Math" w:hAnsi="Cambria Math" w:cstheme="majorHAnsi"/>
                      <w:sz w:val="20"/>
                    </w:rPr>
                    <m:t>3.0m→4.0m</m:t>
                  </m:r>
                </m:sub>
              </m:sSub>
              <m:r>
                <w:rPr>
                  <w:rFonts w:ascii="Cambria Math" w:hAnsi="Cambria Math" w:cstheme="majorHAnsi"/>
                  <w:sz w:val="20"/>
                </w:rPr>
                <m:t>)</m:t>
              </m:r>
            </m:oMath>
          </w:p>
        </w:tc>
        <w:tc>
          <w:tcPr>
            <w:tcW w:w="1856" w:type="dxa"/>
            <w:gridSpan w:val="2"/>
            <w:vAlign w:val="center"/>
          </w:tcPr>
          <w:p w14:paraId="64CF0E29"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The overall adaptations</w:t>
            </w:r>
          </w:p>
          <w:p w14:paraId="765F36AD"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w:t>
            </w:r>
            <m:oMath>
              <m:sSub>
                <m:sSubPr>
                  <m:ctrlPr>
                    <w:rPr>
                      <w:rFonts w:ascii="Cambria Math" w:hAnsi="Cambria Math" w:cstheme="majorHAnsi"/>
                      <w:i/>
                      <w:sz w:val="16"/>
                    </w:rPr>
                  </m:ctrlPr>
                </m:sSubPr>
                <m:e>
                  <m:r>
                    <w:rPr>
                      <w:rFonts w:ascii="Cambria Math" w:hAnsi="Cambria Math" w:cstheme="majorHAnsi"/>
                      <w:sz w:val="16"/>
                    </w:rPr>
                    <m:t>U</m:t>
                  </m:r>
                </m:e>
                <m:sub>
                  <m:r>
                    <w:rPr>
                      <w:rFonts w:ascii="Cambria Math" w:hAnsi="Cambria Math" w:cstheme="majorHAnsi"/>
                      <w:sz w:val="16"/>
                    </w:rPr>
                    <m:t>c→3.0m</m:t>
                  </m:r>
                </m:sub>
              </m:sSub>
              <m:r>
                <w:rPr>
                  <w:rFonts w:ascii="Cambria Math" w:hAnsi="Cambria Math" w:cstheme="majorHAnsi"/>
                  <w:sz w:val="16"/>
                </w:rPr>
                <m:t>*</m:t>
              </m:r>
              <m:sSub>
                <m:sSubPr>
                  <m:ctrlPr>
                    <w:rPr>
                      <w:rFonts w:ascii="Cambria Math" w:hAnsi="Cambria Math" w:cstheme="majorHAnsi"/>
                      <w:i/>
                      <w:sz w:val="16"/>
                    </w:rPr>
                  </m:ctrlPr>
                </m:sSubPr>
                <m:e>
                  <m:r>
                    <w:rPr>
                      <w:rFonts w:ascii="Cambria Math" w:hAnsi="Cambria Math" w:cstheme="majorHAnsi"/>
                      <w:sz w:val="16"/>
                    </w:rPr>
                    <m:t>U</m:t>
                  </m:r>
                </m:e>
                <m:sub>
                  <m:r>
                    <w:rPr>
                      <w:rFonts w:ascii="Cambria Math" w:hAnsi="Cambria Math" w:cstheme="majorHAnsi"/>
                      <w:sz w:val="16"/>
                    </w:rPr>
                    <m:t>3.0m→4.0m</m:t>
                  </m:r>
                </m:sub>
              </m:sSub>
              <m:r>
                <w:rPr>
                  <w:rFonts w:ascii="Cambria Math" w:hAnsi="Cambria Math" w:cstheme="majorHAnsi"/>
                  <w:sz w:val="16"/>
                </w:rPr>
                <m:t>)</m:t>
              </m:r>
            </m:oMath>
          </w:p>
        </w:tc>
      </w:tr>
      <w:tr w:rsidR="006912F6" w:rsidRPr="006912F6" w14:paraId="3373F0FF" w14:textId="77777777" w:rsidTr="001E39A4">
        <w:trPr>
          <w:trHeight w:val="669"/>
        </w:trPr>
        <w:tc>
          <w:tcPr>
            <w:tcW w:w="1026" w:type="dxa"/>
            <w:vMerge/>
            <w:vAlign w:val="center"/>
          </w:tcPr>
          <w:p w14:paraId="431A7967" w14:textId="77777777" w:rsidR="001B757C" w:rsidRPr="006912F6" w:rsidRDefault="001B757C" w:rsidP="000C4BE5">
            <w:pPr>
              <w:spacing w:before="0" w:line="240" w:lineRule="auto"/>
              <w:rPr>
                <w:rFonts w:asciiTheme="majorHAnsi" w:hAnsiTheme="majorHAnsi" w:cstheme="majorHAnsi"/>
                <w:sz w:val="20"/>
              </w:rPr>
            </w:pPr>
          </w:p>
        </w:tc>
        <w:tc>
          <w:tcPr>
            <w:tcW w:w="1046" w:type="dxa"/>
            <w:vMerge/>
            <w:tcBorders>
              <w:bottom w:val="single" w:sz="4" w:space="0" w:color="auto"/>
            </w:tcBorders>
            <w:vAlign w:val="center"/>
          </w:tcPr>
          <w:p w14:paraId="69B02B4C" w14:textId="77777777" w:rsidR="001B757C" w:rsidRPr="006912F6" w:rsidRDefault="001B757C" w:rsidP="000C4BE5">
            <w:pPr>
              <w:spacing w:before="0" w:line="240" w:lineRule="auto"/>
              <w:rPr>
                <w:rFonts w:asciiTheme="majorHAnsi" w:hAnsiTheme="majorHAnsi" w:cstheme="majorHAnsi"/>
                <w:sz w:val="20"/>
              </w:rPr>
            </w:pPr>
          </w:p>
        </w:tc>
        <w:tc>
          <w:tcPr>
            <w:tcW w:w="883" w:type="dxa"/>
            <w:tcBorders>
              <w:bottom w:val="single" w:sz="4" w:space="0" w:color="auto"/>
            </w:tcBorders>
            <w:vAlign w:val="center"/>
          </w:tcPr>
          <w:p w14:paraId="2679FC5F" w14:textId="0452EC9A" w:rsidR="001B757C" w:rsidRPr="006912F6" w:rsidRDefault="001B757C" w:rsidP="000C4BE5">
            <w:pPr>
              <w:spacing w:before="0" w:line="240" w:lineRule="auto"/>
              <w:jc w:val="center"/>
              <w:rPr>
                <w:rFonts w:asciiTheme="majorHAnsi" w:hAnsiTheme="majorHAnsi" w:cstheme="majorHAnsi"/>
                <w:i/>
                <w:sz w:val="20"/>
              </w:rPr>
            </w:pPr>
            <w:r w:rsidRPr="006912F6">
              <w:rPr>
                <w:rFonts w:asciiTheme="majorHAnsi" w:hAnsiTheme="majorHAnsi" w:cstheme="majorHAnsi"/>
                <w:i/>
                <w:sz w:val="20"/>
              </w:rPr>
              <w:t>I+</w:t>
            </w:r>
            <w:r w:rsidR="006912F6" w:rsidRPr="006912F6">
              <w:rPr>
                <w:rFonts w:asciiTheme="majorHAnsi" w:hAnsiTheme="majorHAnsi" w:cstheme="majorHAnsi"/>
                <w:i/>
                <w:sz w:val="20"/>
              </w:rPr>
              <w:t>I</w:t>
            </w:r>
            <w:r w:rsidR="006912F6" w:rsidRPr="006912F6">
              <w:rPr>
                <w:rFonts w:asciiTheme="majorHAnsi" w:hAnsiTheme="majorHAnsi" w:cstheme="majorHAnsi"/>
                <w:i/>
                <w:sz w:val="20"/>
                <w:vertAlign w:val="subscript"/>
              </w:rPr>
              <w:t>f</w:t>
            </w:r>
          </w:p>
          <w:p w14:paraId="30D3825C"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 M)</w:t>
            </w:r>
          </w:p>
        </w:tc>
        <w:tc>
          <w:tcPr>
            <w:tcW w:w="973" w:type="dxa"/>
            <w:tcBorders>
              <w:bottom w:val="single" w:sz="4" w:space="0" w:color="auto"/>
            </w:tcBorders>
            <w:vAlign w:val="center"/>
          </w:tcPr>
          <w:p w14:paraId="3D3CBF97"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NPV</w:t>
            </w:r>
            <w:r w:rsidRPr="006912F6">
              <w:rPr>
                <w:rFonts w:asciiTheme="majorHAnsi" w:hAnsiTheme="majorHAnsi" w:cstheme="majorHAnsi"/>
                <w:sz w:val="20"/>
                <w:vertAlign w:val="subscript"/>
              </w:rPr>
              <w:t>OPT</w:t>
            </w:r>
            <w:r w:rsidRPr="006912F6">
              <w:rPr>
                <w:rFonts w:asciiTheme="majorHAnsi" w:hAnsiTheme="majorHAnsi" w:cstheme="majorHAnsi"/>
                <w:sz w:val="20"/>
              </w:rPr>
              <w:t xml:space="preserve"> </w:t>
            </w:r>
          </w:p>
          <w:p w14:paraId="5E8ED839"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 M)</w:t>
            </w:r>
          </w:p>
        </w:tc>
        <w:tc>
          <w:tcPr>
            <w:tcW w:w="739" w:type="dxa"/>
            <w:tcBorders>
              <w:bottom w:val="single" w:sz="4" w:space="0" w:color="auto"/>
            </w:tcBorders>
            <w:vAlign w:val="center"/>
          </w:tcPr>
          <w:p w14:paraId="2909F0C7"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OIT</w:t>
            </w:r>
          </w:p>
        </w:tc>
        <w:tc>
          <w:tcPr>
            <w:tcW w:w="883" w:type="dxa"/>
            <w:tcBorders>
              <w:bottom w:val="single" w:sz="4" w:space="0" w:color="auto"/>
            </w:tcBorders>
            <w:vAlign w:val="center"/>
          </w:tcPr>
          <w:p w14:paraId="7D66D59C" w14:textId="7A873AAD" w:rsidR="001B757C" w:rsidRPr="006912F6" w:rsidRDefault="001B757C" w:rsidP="000C4BE5">
            <w:pPr>
              <w:spacing w:before="0" w:line="240" w:lineRule="auto"/>
              <w:jc w:val="center"/>
              <w:rPr>
                <w:rFonts w:asciiTheme="majorHAnsi" w:hAnsiTheme="majorHAnsi" w:cstheme="majorHAnsi"/>
                <w:i/>
                <w:sz w:val="20"/>
              </w:rPr>
            </w:pPr>
            <w:r w:rsidRPr="006912F6">
              <w:rPr>
                <w:rFonts w:asciiTheme="majorHAnsi" w:hAnsiTheme="majorHAnsi" w:cstheme="majorHAnsi"/>
                <w:i/>
                <w:sz w:val="20"/>
              </w:rPr>
              <w:t>I+</w:t>
            </w:r>
            <w:r w:rsidR="006912F6" w:rsidRPr="006912F6">
              <w:rPr>
                <w:rFonts w:asciiTheme="majorHAnsi" w:hAnsiTheme="majorHAnsi" w:cstheme="majorHAnsi"/>
                <w:i/>
                <w:sz w:val="20"/>
              </w:rPr>
              <w:t>I</w:t>
            </w:r>
            <w:r w:rsidR="006912F6" w:rsidRPr="006912F6">
              <w:rPr>
                <w:rFonts w:asciiTheme="majorHAnsi" w:hAnsiTheme="majorHAnsi" w:cstheme="majorHAnsi"/>
                <w:i/>
                <w:sz w:val="20"/>
                <w:vertAlign w:val="subscript"/>
              </w:rPr>
              <w:t>f</w:t>
            </w:r>
          </w:p>
          <w:p w14:paraId="6D1DC146"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 M)</w:t>
            </w:r>
          </w:p>
        </w:tc>
        <w:tc>
          <w:tcPr>
            <w:tcW w:w="973" w:type="dxa"/>
            <w:tcBorders>
              <w:bottom w:val="single" w:sz="4" w:space="0" w:color="auto"/>
            </w:tcBorders>
            <w:vAlign w:val="center"/>
          </w:tcPr>
          <w:p w14:paraId="298C8128"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NPV</w:t>
            </w:r>
            <w:r w:rsidRPr="006912F6">
              <w:rPr>
                <w:rFonts w:asciiTheme="majorHAnsi" w:hAnsiTheme="majorHAnsi" w:cstheme="majorHAnsi"/>
                <w:sz w:val="20"/>
                <w:vertAlign w:val="subscript"/>
              </w:rPr>
              <w:t>OPT</w:t>
            </w:r>
            <w:r w:rsidRPr="006912F6">
              <w:rPr>
                <w:rFonts w:asciiTheme="majorHAnsi" w:hAnsiTheme="majorHAnsi" w:cstheme="majorHAnsi"/>
                <w:sz w:val="20"/>
              </w:rPr>
              <w:t xml:space="preserve"> </w:t>
            </w:r>
          </w:p>
          <w:p w14:paraId="0E43B693"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 M)</w:t>
            </w:r>
          </w:p>
        </w:tc>
        <w:tc>
          <w:tcPr>
            <w:tcW w:w="739" w:type="dxa"/>
            <w:tcBorders>
              <w:bottom w:val="single" w:sz="4" w:space="0" w:color="auto"/>
            </w:tcBorders>
            <w:vAlign w:val="center"/>
          </w:tcPr>
          <w:p w14:paraId="56BFCD1D"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OIT</w:t>
            </w:r>
          </w:p>
        </w:tc>
        <w:tc>
          <w:tcPr>
            <w:tcW w:w="883" w:type="dxa"/>
            <w:tcBorders>
              <w:bottom w:val="single" w:sz="4" w:space="0" w:color="auto"/>
            </w:tcBorders>
            <w:vAlign w:val="center"/>
          </w:tcPr>
          <w:p w14:paraId="172CB5B8" w14:textId="0DB5FA9D" w:rsidR="001B757C" w:rsidRPr="006912F6" w:rsidRDefault="001B757C" w:rsidP="000C4BE5">
            <w:pPr>
              <w:spacing w:before="0" w:line="240" w:lineRule="auto"/>
              <w:jc w:val="center"/>
              <w:rPr>
                <w:rFonts w:asciiTheme="majorHAnsi" w:hAnsiTheme="majorHAnsi" w:cstheme="majorHAnsi"/>
                <w:i/>
                <w:sz w:val="20"/>
              </w:rPr>
            </w:pPr>
            <w:bookmarkStart w:id="716" w:name="_Hlk80461285"/>
            <w:r w:rsidRPr="006912F6">
              <w:rPr>
                <w:rFonts w:asciiTheme="majorHAnsi" w:hAnsiTheme="majorHAnsi" w:cstheme="majorHAnsi"/>
                <w:i/>
                <w:sz w:val="20"/>
              </w:rPr>
              <w:t>I+</w:t>
            </w:r>
            <w:r w:rsidR="006912F6" w:rsidRPr="006912F6">
              <w:rPr>
                <w:rFonts w:asciiTheme="majorHAnsi" w:hAnsiTheme="majorHAnsi" w:cstheme="majorHAnsi"/>
                <w:i/>
                <w:sz w:val="20"/>
              </w:rPr>
              <w:t>I</w:t>
            </w:r>
            <w:r w:rsidR="006912F6" w:rsidRPr="006912F6">
              <w:rPr>
                <w:rFonts w:asciiTheme="majorHAnsi" w:hAnsiTheme="majorHAnsi" w:cstheme="majorHAnsi"/>
                <w:i/>
                <w:sz w:val="20"/>
                <w:vertAlign w:val="subscript"/>
              </w:rPr>
              <w:t>f</w:t>
            </w:r>
          </w:p>
          <w:bookmarkEnd w:id="716"/>
          <w:p w14:paraId="294401B4"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 M)</w:t>
            </w:r>
          </w:p>
        </w:tc>
        <w:tc>
          <w:tcPr>
            <w:tcW w:w="973" w:type="dxa"/>
            <w:tcBorders>
              <w:bottom w:val="single" w:sz="4" w:space="0" w:color="auto"/>
            </w:tcBorders>
            <w:vAlign w:val="center"/>
          </w:tcPr>
          <w:p w14:paraId="31021029"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NPV</w:t>
            </w:r>
            <w:r w:rsidRPr="006912F6">
              <w:rPr>
                <w:rFonts w:asciiTheme="majorHAnsi" w:hAnsiTheme="majorHAnsi" w:cstheme="majorHAnsi"/>
                <w:sz w:val="20"/>
                <w:vertAlign w:val="subscript"/>
              </w:rPr>
              <w:t>OPT</w:t>
            </w:r>
            <w:r w:rsidRPr="006912F6">
              <w:rPr>
                <w:rFonts w:asciiTheme="majorHAnsi" w:hAnsiTheme="majorHAnsi" w:cstheme="majorHAnsi"/>
                <w:sz w:val="20"/>
              </w:rPr>
              <w:t xml:space="preserve"> </w:t>
            </w:r>
          </w:p>
          <w:p w14:paraId="3732D075"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 M)</w:t>
            </w:r>
          </w:p>
        </w:tc>
      </w:tr>
      <w:tr w:rsidR="006912F6" w:rsidRPr="006912F6" w14:paraId="587C09C0" w14:textId="77777777" w:rsidTr="001E39A4">
        <w:trPr>
          <w:trHeight w:val="385"/>
        </w:trPr>
        <w:tc>
          <w:tcPr>
            <w:tcW w:w="1026" w:type="dxa"/>
            <w:vMerge w:val="restart"/>
            <w:vAlign w:val="center"/>
          </w:tcPr>
          <w:p w14:paraId="01F12DF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H++</w:t>
            </w:r>
          </w:p>
        </w:tc>
        <w:tc>
          <w:tcPr>
            <w:tcW w:w="1046" w:type="dxa"/>
            <w:tcBorders>
              <w:bottom w:val="nil"/>
            </w:tcBorders>
            <w:vAlign w:val="center"/>
          </w:tcPr>
          <w:p w14:paraId="1C7D59F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883" w:type="dxa"/>
            <w:tcBorders>
              <w:bottom w:val="nil"/>
            </w:tcBorders>
            <w:vAlign w:val="center"/>
          </w:tcPr>
          <w:p w14:paraId="0FF013A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58.14</w:t>
            </w:r>
          </w:p>
        </w:tc>
        <w:tc>
          <w:tcPr>
            <w:tcW w:w="973" w:type="dxa"/>
            <w:tcBorders>
              <w:bottom w:val="nil"/>
            </w:tcBorders>
            <w:vAlign w:val="center"/>
          </w:tcPr>
          <w:p w14:paraId="082F82E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99.11</w:t>
            </w:r>
          </w:p>
        </w:tc>
        <w:tc>
          <w:tcPr>
            <w:tcW w:w="739" w:type="dxa"/>
            <w:tcBorders>
              <w:bottom w:val="nil"/>
            </w:tcBorders>
            <w:vAlign w:val="center"/>
          </w:tcPr>
          <w:p w14:paraId="21BDB47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3" w:type="dxa"/>
            <w:tcBorders>
              <w:bottom w:val="nil"/>
            </w:tcBorders>
            <w:vAlign w:val="center"/>
          </w:tcPr>
          <w:p w14:paraId="05C0AC7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58.14</w:t>
            </w:r>
          </w:p>
        </w:tc>
        <w:tc>
          <w:tcPr>
            <w:tcW w:w="973" w:type="dxa"/>
            <w:tcBorders>
              <w:bottom w:val="nil"/>
            </w:tcBorders>
            <w:vAlign w:val="center"/>
          </w:tcPr>
          <w:p w14:paraId="4BA63C4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54.97</w:t>
            </w:r>
          </w:p>
        </w:tc>
        <w:tc>
          <w:tcPr>
            <w:tcW w:w="739" w:type="dxa"/>
            <w:tcBorders>
              <w:bottom w:val="nil"/>
            </w:tcBorders>
            <w:vAlign w:val="center"/>
          </w:tcPr>
          <w:p w14:paraId="43628BB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2050</w:t>
            </w:r>
          </w:p>
        </w:tc>
        <w:tc>
          <w:tcPr>
            <w:tcW w:w="883" w:type="dxa"/>
            <w:tcBorders>
              <w:bottom w:val="nil"/>
            </w:tcBorders>
            <w:vAlign w:val="center"/>
          </w:tcPr>
          <w:p w14:paraId="3695C55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116.28</w:t>
            </w:r>
          </w:p>
        </w:tc>
        <w:tc>
          <w:tcPr>
            <w:tcW w:w="973" w:type="dxa"/>
            <w:tcBorders>
              <w:bottom w:val="nil"/>
            </w:tcBorders>
            <w:vAlign w:val="center"/>
          </w:tcPr>
          <w:p w14:paraId="2AC1663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154.08</w:t>
            </w:r>
          </w:p>
        </w:tc>
      </w:tr>
      <w:tr w:rsidR="006912F6" w:rsidRPr="006912F6" w14:paraId="0D2FE4D1" w14:textId="77777777" w:rsidTr="001E39A4">
        <w:trPr>
          <w:trHeight w:val="385"/>
        </w:trPr>
        <w:tc>
          <w:tcPr>
            <w:tcW w:w="1026" w:type="dxa"/>
            <w:vMerge/>
          </w:tcPr>
          <w:p w14:paraId="298EF18E" w14:textId="77777777" w:rsidR="001B757C" w:rsidRPr="006912F6" w:rsidRDefault="001B757C" w:rsidP="000C4BE5">
            <w:pPr>
              <w:spacing w:before="0" w:line="240" w:lineRule="auto"/>
              <w:jc w:val="center"/>
              <w:rPr>
                <w:rFonts w:asciiTheme="majorHAnsi" w:hAnsiTheme="majorHAnsi" w:cstheme="majorHAnsi"/>
                <w:sz w:val="18"/>
                <w:szCs w:val="20"/>
              </w:rPr>
            </w:pPr>
          </w:p>
        </w:tc>
        <w:tc>
          <w:tcPr>
            <w:tcW w:w="1046" w:type="dxa"/>
            <w:tcBorders>
              <w:top w:val="nil"/>
              <w:bottom w:val="nil"/>
            </w:tcBorders>
            <w:vAlign w:val="center"/>
          </w:tcPr>
          <w:p w14:paraId="6BD5902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883" w:type="dxa"/>
            <w:tcBorders>
              <w:top w:val="nil"/>
              <w:bottom w:val="nil"/>
            </w:tcBorders>
            <w:vAlign w:val="center"/>
          </w:tcPr>
          <w:p w14:paraId="7B08118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62.98</w:t>
            </w:r>
          </w:p>
        </w:tc>
        <w:tc>
          <w:tcPr>
            <w:tcW w:w="973" w:type="dxa"/>
            <w:tcBorders>
              <w:top w:val="nil"/>
              <w:bottom w:val="nil"/>
            </w:tcBorders>
            <w:vAlign w:val="center"/>
          </w:tcPr>
          <w:p w14:paraId="7F94DDC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94.27</w:t>
            </w:r>
          </w:p>
        </w:tc>
        <w:tc>
          <w:tcPr>
            <w:tcW w:w="739" w:type="dxa"/>
            <w:tcBorders>
              <w:top w:val="nil"/>
              <w:bottom w:val="nil"/>
            </w:tcBorders>
            <w:vAlign w:val="center"/>
          </w:tcPr>
          <w:p w14:paraId="0D0CF9A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3" w:type="dxa"/>
            <w:tcBorders>
              <w:top w:val="nil"/>
              <w:bottom w:val="nil"/>
            </w:tcBorders>
            <w:vAlign w:val="center"/>
          </w:tcPr>
          <w:p w14:paraId="45D1635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62.98</w:t>
            </w:r>
          </w:p>
        </w:tc>
        <w:tc>
          <w:tcPr>
            <w:tcW w:w="973" w:type="dxa"/>
            <w:tcBorders>
              <w:top w:val="nil"/>
              <w:bottom w:val="nil"/>
            </w:tcBorders>
            <w:vAlign w:val="center"/>
          </w:tcPr>
          <w:p w14:paraId="0CDCCFE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53.49</w:t>
            </w:r>
          </w:p>
        </w:tc>
        <w:tc>
          <w:tcPr>
            <w:tcW w:w="739" w:type="dxa"/>
            <w:tcBorders>
              <w:top w:val="nil"/>
              <w:bottom w:val="nil"/>
            </w:tcBorders>
            <w:vAlign w:val="center"/>
          </w:tcPr>
          <w:p w14:paraId="0E1FCB5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2051</w:t>
            </w:r>
          </w:p>
        </w:tc>
        <w:tc>
          <w:tcPr>
            <w:tcW w:w="883" w:type="dxa"/>
            <w:tcBorders>
              <w:top w:val="nil"/>
              <w:bottom w:val="nil"/>
            </w:tcBorders>
            <w:vAlign w:val="center"/>
          </w:tcPr>
          <w:p w14:paraId="74C7E7C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125.97</w:t>
            </w:r>
          </w:p>
        </w:tc>
        <w:tc>
          <w:tcPr>
            <w:tcW w:w="973" w:type="dxa"/>
            <w:tcBorders>
              <w:top w:val="nil"/>
              <w:bottom w:val="nil"/>
            </w:tcBorders>
            <w:vAlign w:val="center"/>
          </w:tcPr>
          <w:p w14:paraId="3414633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147.76</w:t>
            </w:r>
          </w:p>
        </w:tc>
      </w:tr>
      <w:tr w:rsidR="006912F6" w:rsidRPr="006912F6" w14:paraId="52B3F90E" w14:textId="77777777" w:rsidTr="001E39A4">
        <w:trPr>
          <w:trHeight w:val="385"/>
        </w:trPr>
        <w:tc>
          <w:tcPr>
            <w:tcW w:w="1026" w:type="dxa"/>
            <w:vMerge/>
          </w:tcPr>
          <w:p w14:paraId="0169EE9C" w14:textId="77777777" w:rsidR="001B757C" w:rsidRPr="006912F6" w:rsidRDefault="001B757C" w:rsidP="000C4BE5">
            <w:pPr>
              <w:spacing w:before="0" w:line="240" w:lineRule="auto"/>
              <w:jc w:val="center"/>
              <w:rPr>
                <w:rFonts w:asciiTheme="majorHAnsi" w:hAnsiTheme="majorHAnsi" w:cstheme="majorHAnsi"/>
                <w:sz w:val="18"/>
                <w:szCs w:val="20"/>
              </w:rPr>
            </w:pPr>
          </w:p>
        </w:tc>
        <w:tc>
          <w:tcPr>
            <w:tcW w:w="1046" w:type="dxa"/>
            <w:tcBorders>
              <w:top w:val="nil"/>
              <w:bottom w:val="nil"/>
            </w:tcBorders>
            <w:vAlign w:val="center"/>
          </w:tcPr>
          <w:p w14:paraId="57F3917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883" w:type="dxa"/>
            <w:tcBorders>
              <w:top w:val="nil"/>
              <w:bottom w:val="nil"/>
            </w:tcBorders>
            <w:vAlign w:val="center"/>
          </w:tcPr>
          <w:p w14:paraId="362158C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67.83</w:t>
            </w:r>
          </w:p>
        </w:tc>
        <w:tc>
          <w:tcPr>
            <w:tcW w:w="973" w:type="dxa"/>
            <w:tcBorders>
              <w:top w:val="nil"/>
              <w:bottom w:val="nil"/>
            </w:tcBorders>
            <w:vAlign w:val="center"/>
          </w:tcPr>
          <w:p w14:paraId="3858A77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89.42</w:t>
            </w:r>
          </w:p>
        </w:tc>
        <w:tc>
          <w:tcPr>
            <w:tcW w:w="739" w:type="dxa"/>
            <w:tcBorders>
              <w:top w:val="nil"/>
              <w:bottom w:val="nil"/>
            </w:tcBorders>
            <w:vAlign w:val="center"/>
          </w:tcPr>
          <w:p w14:paraId="3C1D1E6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3" w:type="dxa"/>
            <w:tcBorders>
              <w:top w:val="nil"/>
              <w:bottom w:val="nil"/>
            </w:tcBorders>
            <w:vAlign w:val="center"/>
          </w:tcPr>
          <w:p w14:paraId="44251D2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67.83</w:t>
            </w:r>
          </w:p>
        </w:tc>
        <w:tc>
          <w:tcPr>
            <w:tcW w:w="973" w:type="dxa"/>
            <w:tcBorders>
              <w:top w:val="nil"/>
              <w:bottom w:val="nil"/>
            </w:tcBorders>
            <w:vAlign w:val="center"/>
          </w:tcPr>
          <w:p w14:paraId="5EDC4E0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52.04</w:t>
            </w:r>
          </w:p>
        </w:tc>
        <w:tc>
          <w:tcPr>
            <w:tcW w:w="739" w:type="dxa"/>
            <w:tcBorders>
              <w:top w:val="nil"/>
              <w:bottom w:val="nil"/>
            </w:tcBorders>
            <w:vAlign w:val="center"/>
          </w:tcPr>
          <w:p w14:paraId="44AAAC8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2052</w:t>
            </w:r>
          </w:p>
        </w:tc>
        <w:tc>
          <w:tcPr>
            <w:tcW w:w="883" w:type="dxa"/>
            <w:tcBorders>
              <w:top w:val="nil"/>
              <w:bottom w:val="nil"/>
            </w:tcBorders>
            <w:vAlign w:val="center"/>
          </w:tcPr>
          <w:p w14:paraId="62AA6BA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135.66</w:t>
            </w:r>
          </w:p>
        </w:tc>
        <w:tc>
          <w:tcPr>
            <w:tcW w:w="973" w:type="dxa"/>
            <w:tcBorders>
              <w:top w:val="nil"/>
              <w:bottom w:val="nil"/>
            </w:tcBorders>
            <w:vAlign w:val="center"/>
          </w:tcPr>
          <w:p w14:paraId="3EF1862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141.46</w:t>
            </w:r>
          </w:p>
        </w:tc>
      </w:tr>
      <w:tr w:rsidR="006912F6" w:rsidRPr="006912F6" w14:paraId="30DEC7B7" w14:textId="77777777" w:rsidTr="001E39A4">
        <w:trPr>
          <w:trHeight w:val="385"/>
        </w:trPr>
        <w:tc>
          <w:tcPr>
            <w:tcW w:w="1026" w:type="dxa"/>
            <w:vMerge/>
          </w:tcPr>
          <w:p w14:paraId="5D667017" w14:textId="77777777" w:rsidR="001B757C" w:rsidRPr="006912F6" w:rsidRDefault="001B757C" w:rsidP="000C4BE5">
            <w:pPr>
              <w:spacing w:before="0" w:line="240" w:lineRule="auto"/>
              <w:jc w:val="center"/>
              <w:rPr>
                <w:rFonts w:asciiTheme="majorHAnsi" w:hAnsiTheme="majorHAnsi" w:cstheme="majorHAnsi"/>
                <w:sz w:val="18"/>
                <w:szCs w:val="20"/>
              </w:rPr>
            </w:pPr>
          </w:p>
        </w:tc>
        <w:tc>
          <w:tcPr>
            <w:tcW w:w="1046" w:type="dxa"/>
            <w:tcBorders>
              <w:top w:val="nil"/>
              <w:bottom w:val="single" w:sz="4" w:space="0" w:color="auto"/>
            </w:tcBorders>
            <w:vAlign w:val="center"/>
          </w:tcPr>
          <w:p w14:paraId="3DE712A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883" w:type="dxa"/>
            <w:tcBorders>
              <w:top w:val="nil"/>
              <w:bottom w:val="single" w:sz="4" w:space="0" w:color="auto"/>
            </w:tcBorders>
            <w:vAlign w:val="center"/>
          </w:tcPr>
          <w:p w14:paraId="64C4350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72.68</w:t>
            </w:r>
          </w:p>
        </w:tc>
        <w:tc>
          <w:tcPr>
            <w:tcW w:w="973" w:type="dxa"/>
            <w:tcBorders>
              <w:top w:val="nil"/>
              <w:bottom w:val="single" w:sz="4" w:space="0" w:color="auto"/>
            </w:tcBorders>
            <w:vAlign w:val="center"/>
          </w:tcPr>
          <w:p w14:paraId="5633915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84.57</w:t>
            </w:r>
          </w:p>
        </w:tc>
        <w:tc>
          <w:tcPr>
            <w:tcW w:w="739" w:type="dxa"/>
            <w:tcBorders>
              <w:top w:val="nil"/>
              <w:bottom w:val="single" w:sz="4" w:space="0" w:color="auto"/>
            </w:tcBorders>
            <w:vAlign w:val="center"/>
          </w:tcPr>
          <w:p w14:paraId="135B356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3" w:type="dxa"/>
            <w:tcBorders>
              <w:top w:val="nil"/>
              <w:bottom w:val="single" w:sz="4" w:space="0" w:color="auto"/>
            </w:tcBorders>
            <w:vAlign w:val="center"/>
          </w:tcPr>
          <w:p w14:paraId="2D1CB43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72.68</w:t>
            </w:r>
          </w:p>
        </w:tc>
        <w:tc>
          <w:tcPr>
            <w:tcW w:w="973" w:type="dxa"/>
            <w:tcBorders>
              <w:top w:val="nil"/>
              <w:bottom w:val="single" w:sz="4" w:space="0" w:color="auto"/>
            </w:tcBorders>
            <w:vAlign w:val="center"/>
          </w:tcPr>
          <w:p w14:paraId="413A8F3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50.63</w:t>
            </w:r>
          </w:p>
        </w:tc>
        <w:tc>
          <w:tcPr>
            <w:tcW w:w="739" w:type="dxa"/>
            <w:tcBorders>
              <w:top w:val="nil"/>
              <w:bottom w:val="single" w:sz="4" w:space="0" w:color="auto"/>
            </w:tcBorders>
            <w:vAlign w:val="center"/>
          </w:tcPr>
          <w:p w14:paraId="7E95777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2052</w:t>
            </w:r>
          </w:p>
        </w:tc>
        <w:tc>
          <w:tcPr>
            <w:tcW w:w="883" w:type="dxa"/>
            <w:tcBorders>
              <w:top w:val="nil"/>
              <w:bottom w:val="single" w:sz="4" w:space="0" w:color="auto"/>
            </w:tcBorders>
            <w:vAlign w:val="center"/>
          </w:tcPr>
          <w:p w14:paraId="4714F07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145.35</w:t>
            </w:r>
          </w:p>
        </w:tc>
        <w:tc>
          <w:tcPr>
            <w:tcW w:w="973" w:type="dxa"/>
            <w:tcBorders>
              <w:top w:val="nil"/>
              <w:bottom w:val="single" w:sz="4" w:space="0" w:color="auto"/>
            </w:tcBorders>
            <w:vAlign w:val="center"/>
          </w:tcPr>
          <w:p w14:paraId="0958DB3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135.20</w:t>
            </w:r>
          </w:p>
        </w:tc>
      </w:tr>
      <w:tr w:rsidR="006912F6" w:rsidRPr="006912F6" w14:paraId="67E90276" w14:textId="77777777" w:rsidTr="001E39A4">
        <w:trPr>
          <w:trHeight w:val="385"/>
        </w:trPr>
        <w:tc>
          <w:tcPr>
            <w:tcW w:w="1026" w:type="dxa"/>
            <w:vMerge w:val="restart"/>
            <w:vAlign w:val="center"/>
          </w:tcPr>
          <w:p w14:paraId="6DA07F2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H1</w:t>
            </w:r>
          </w:p>
        </w:tc>
        <w:tc>
          <w:tcPr>
            <w:tcW w:w="1046" w:type="dxa"/>
            <w:tcBorders>
              <w:top w:val="single" w:sz="4" w:space="0" w:color="auto"/>
              <w:bottom w:val="nil"/>
            </w:tcBorders>
            <w:vAlign w:val="center"/>
          </w:tcPr>
          <w:p w14:paraId="413C27C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883" w:type="dxa"/>
            <w:tcBorders>
              <w:top w:val="single" w:sz="4" w:space="0" w:color="auto"/>
              <w:bottom w:val="nil"/>
            </w:tcBorders>
            <w:vAlign w:val="center"/>
          </w:tcPr>
          <w:p w14:paraId="3BCE16B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58.14</w:t>
            </w:r>
          </w:p>
        </w:tc>
        <w:tc>
          <w:tcPr>
            <w:tcW w:w="973" w:type="dxa"/>
            <w:tcBorders>
              <w:top w:val="single" w:sz="4" w:space="0" w:color="auto"/>
              <w:bottom w:val="nil"/>
            </w:tcBorders>
            <w:vAlign w:val="center"/>
          </w:tcPr>
          <w:p w14:paraId="6C4A512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105.4</w:t>
            </w:r>
          </w:p>
        </w:tc>
        <w:tc>
          <w:tcPr>
            <w:tcW w:w="739" w:type="dxa"/>
            <w:tcBorders>
              <w:top w:val="single" w:sz="4" w:space="0" w:color="auto"/>
              <w:bottom w:val="nil"/>
            </w:tcBorders>
            <w:vAlign w:val="center"/>
          </w:tcPr>
          <w:p w14:paraId="7A17595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3" w:type="dxa"/>
            <w:tcBorders>
              <w:top w:val="single" w:sz="4" w:space="0" w:color="auto"/>
              <w:bottom w:val="nil"/>
            </w:tcBorders>
            <w:vAlign w:val="center"/>
          </w:tcPr>
          <w:p w14:paraId="6CCB76A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58.14</w:t>
            </w:r>
          </w:p>
        </w:tc>
        <w:tc>
          <w:tcPr>
            <w:tcW w:w="973" w:type="dxa"/>
            <w:tcBorders>
              <w:top w:val="single" w:sz="4" w:space="0" w:color="auto"/>
              <w:bottom w:val="nil"/>
            </w:tcBorders>
            <w:vAlign w:val="center"/>
          </w:tcPr>
          <w:p w14:paraId="549313D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22.63</w:t>
            </w:r>
          </w:p>
        </w:tc>
        <w:tc>
          <w:tcPr>
            <w:tcW w:w="739" w:type="dxa"/>
            <w:tcBorders>
              <w:top w:val="single" w:sz="4" w:space="0" w:color="auto"/>
              <w:bottom w:val="nil"/>
            </w:tcBorders>
            <w:vAlign w:val="center"/>
          </w:tcPr>
          <w:p w14:paraId="296C399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2069</w:t>
            </w:r>
          </w:p>
        </w:tc>
        <w:tc>
          <w:tcPr>
            <w:tcW w:w="883" w:type="dxa"/>
            <w:tcBorders>
              <w:top w:val="single" w:sz="4" w:space="0" w:color="auto"/>
              <w:bottom w:val="nil"/>
            </w:tcBorders>
            <w:vAlign w:val="center"/>
          </w:tcPr>
          <w:p w14:paraId="37E9B7E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116.28</w:t>
            </w:r>
          </w:p>
        </w:tc>
        <w:tc>
          <w:tcPr>
            <w:tcW w:w="973" w:type="dxa"/>
            <w:tcBorders>
              <w:top w:val="single" w:sz="4" w:space="0" w:color="auto"/>
              <w:bottom w:val="nil"/>
            </w:tcBorders>
            <w:vAlign w:val="center"/>
          </w:tcPr>
          <w:p w14:paraId="1C40402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128.03</w:t>
            </w:r>
          </w:p>
        </w:tc>
      </w:tr>
      <w:tr w:rsidR="006912F6" w:rsidRPr="006912F6" w14:paraId="6B274C9C" w14:textId="77777777" w:rsidTr="001E39A4">
        <w:trPr>
          <w:trHeight w:val="385"/>
        </w:trPr>
        <w:tc>
          <w:tcPr>
            <w:tcW w:w="1026" w:type="dxa"/>
            <w:vMerge/>
          </w:tcPr>
          <w:p w14:paraId="711045DA" w14:textId="77777777" w:rsidR="001B757C" w:rsidRPr="006912F6" w:rsidRDefault="001B757C" w:rsidP="000C4BE5">
            <w:pPr>
              <w:spacing w:before="0" w:line="240" w:lineRule="auto"/>
              <w:rPr>
                <w:rFonts w:asciiTheme="majorHAnsi" w:hAnsiTheme="majorHAnsi" w:cstheme="majorHAnsi"/>
                <w:sz w:val="18"/>
                <w:szCs w:val="20"/>
              </w:rPr>
            </w:pPr>
          </w:p>
        </w:tc>
        <w:tc>
          <w:tcPr>
            <w:tcW w:w="1046" w:type="dxa"/>
            <w:tcBorders>
              <w:top w:val="nil"/>
              <w:bottom w:val="nil"/>
            </w:tcBorders>
            <w:vAlign w:val="center"/>
          </w:tcPr>
          <w:p w14:paraId="1854A5F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883" w:type="dxa"/>
            <w:tcBorders>
              <w:top w:val="nil"/>
              <w:bottom w:val="nil"/>
            </w:tcBorders>
            <w:vAlign w:val="center"/>
          </w:tcPr>
          <w:p w14:paraId="0270ED6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62.98</w:t>
            </w:r>
          </w:p>
        </w:tc>
        <w:tc>
          <w:tcPr>
            <w:tcW w:w="973" w:type="dxa"/>
            <w:tcBorders>
              <w:top w:val="nil"/>
              <w:bottom w:val="nil"/>
            </w:tcBorders>
            <w:vAlign w:val="center"/>
          </w:tcPr>
          <w:p w14:paraId="415019A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100.6</w:t>
            </w:r>
          </w:p>
        </w:tc>
        <w:tc>
          <w:tcPr>
            <w:tcW w:w="739" w:type="dxa"/>
            <w:tcBorders>
              <w:top w:val="nil"/>
              <w:bottom w:val="nil"/>
            </w:tcBorders>
            <w:vAlign w:val="center"/>
          </w:tcPr>
          <w:p w14:paraId="38F4ECF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3" w:type="dxa"/>
            <w:tcBorders>
              <w:top w:val="nil"/>
              <w:bottom w:val="nil"/>
            </w:tcBorders>
            <w:vAlign w:val="center"/>
          </w:tcPr>
          <w:p w14:paraId="2733B3A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62.98</w:t>
            </w:r>
          </w:p>
        </w:tc>
        <w:tc>
          <w:tcPr>
            <w:tcW w:w="973" w:type="dxa"/>
            <w:tcBorders>
              <w:top w:val="nil"/>
              <w:bottom w:val="nil"/>
            </w:tcBorders>
            <w:vAlign w:val="center"/>
          </w:tcPr>
          <w:p w14:paraId="057F9AB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21.86</w:t>
            </w:r>
          </w:p>
        </w:tc>
        <w:tc>
          <w:tcPr>
            <w:tcW w:w="739" w:type="dxa"/>
            <w:tcBorders>
              <w:top w:val="nil"/>
              <w:bottom w:val="nil"/>
            </w:tcBorders>
            <w:vAlign w:val="center"/>
          </w:tcPr>
          <w:p w14:paraId="0B5EDC7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2071</w:t>
            </w:r>
          </w:p>
        </w:tc>
        <w:tc>
          <w:tcPr>
            <w:tcW w:w="883" w:type="dxa"/>
            <w:tcBorders>
              <w:top w:val="nil"/>
              <w:bottom w:val="nil"/>
            </w:tcBorders>
            <w:vAlign w:val="center"/>
          </w:tcPr>
          <w:p w14:paraId="513C520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125.97</w:t>
            </w:r>
          </w:p>
        </w:tc>
        <w:tc>
          <w:tcPr>
            <w:tcW w:w="973" w:type="dxa"/>
            <w:tcBorders>
              <w:top w:val="nil"/>
              <w:bottom w:val="nil"/>
            </w:tcBorders>
            <w:vAlign w:val="center"/>
          </w:tcPr>
          <w:p w14:paraId="1223314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122.46</w:t>
            </w:r>
          </w:p>
        </w:tc>
      </w:tr>
      <w:tr w:rsidR="006912F6" w:rsidRPr="006912F6" w14:paraId="12B1DCD1" w14:textId="77777777" w:rsidTr="001E39A4">
        <w:trPr>
          <w:trHeight w:val="385"/>
        </w:trPr>
        <w:tc>
          <w:tcPr>
            <w:tcW w:w="1026" w:type="dxa"/>
            <w:vMerge/>
          </w:tcPr>
          <w:p w14:paraId="5DB2DD41" w14:textId="77777777" w:rsidR="001B757C" w:rsidRPr="006912F6" w:rsidRDefault="001B757C" w:rsidP="000C4BE5">
            <w:pPr>
              <w:spacing w:before="0" w:line="240" w:lineRule="auto"/>
              <w:rPr>
                <w:rFonts w:asciiTheme="majorHAnsi" w:hAnsiTheme="majorHAnsi" w:cstheme="majorHAnsi"/>
                <w:sz w:val="18"/>
                <w:szCs w:val="20"/>
              </w:rPr>
            </w:pPr>
          </w:p>
        </w:tc>
        <w:tc>
          <w:tcPr>
            <w:tcW w:w="1046" w:type="dxa"/>
            <w:tcBorders>
              <w:top w:val="nil"/>
              <w:bottom w:val="nil"/>
            </w:tcBorders>
            <w:vAlign w:val="center"/>
          </w:tcPr>
          <w:p w14:paraId="31DEE5B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883" w:type="dxa"/>
            <w:tcBorders>
              <w:top w:val="nil"/>
              <w:bottom w:val="nil"/>
            </w:tcBorders>
            <w:vAlign w:val="center"/>
          </w:tcPr>
          <w:p w14:paraId="4F1ECAC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67.83</w:t>
            </w:r>
          </w:p>
        </w:tc>
        <w:tc>
          <w:tcPr>
            <w:tcW w:w="973" w:type="dxa"/>
            <w:tcBorders>
              <w:top w:val="nil"/>
              <w:bottom w:val="nil"/>
            </w:tcBorders>
            <w:vAlign w:val="center"/>
          </w:tcPr>
          <w:p w14:paraId="6B55604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95.6</w:t>
            </w:r>
          </w:p>
        </w:tc>
        <w:tc>
          <w:tcPr>
            <w:tcW w:w="739" w:type="dxa"/>
            <w:tcBorders>
              <w:top w:val="nil"/>
              <w:bottom w:val="nil"/>
            </w:tcBorders>
            <w:vAlign w:val="center"/>
          </w:tcPr>
          <w:p w14:paraId="455C2C0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3" w:type="dxa"/>
            <w:tcBorders>
              <w:top w:val="nil"/>
              <w:bottom w:val="nil"/>
            </w:tcBorders>
            <w:vAlign w:val="center"/>
          </w:tcPr>
          <w:p w14:paraId="7C131D6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67.83</w:t>
            </w:r>
          </w:p>
        </w:tc>
        <w:tc>
          <w:tcPr>
            <w:tcW w:w="973" w:type="dxa"/>
            <w:tcBorders>
              <w:top w:val="nil"/>
              <w:bottom w:val="nil"/>
            </w:tcBorders>
            <w:vAlign w:val="center"/>
          </w:tcPr>
          <w:p w14:paraId="045AFB9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21.13</w:t>
            </w:r>
          </w:p>
        </w:tc>
        <w:tc>
          <w:tcPr>
            <w:tcW w:w="739" w:type="dxa"/>
            <w:tcBorders>
              <w:top w:val="nil"/>
              <w:bottom w:val="nil"/>
            </w:tcBorders>
            <w:vAlign w:val="center"/>
          </w:tcPr>
          <w:p w14:paraId="3172925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2072</w:t>
            </w:r>
          </w:p>
        </w:tc>
        <w:tc>
          <w:tcPr>
            <w:tcW w:w="883" w:type="dxa"/>
            <w:tcBorders>
              <w:top w:val="nil"/>
              <w:bottom w:val="nil"/>
            </w:tcBorders>
            <w:vAlign w:val="center"/>
          </w:tcPr>
          <w:p w14:paraId="13640BB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135.66</w:t>
            </w:r>
          </w:p>
        </w:tc>
        <w:tc>
          <w:tcPr>
            <w:tcW w:w="973" w:type="dxa"/>
            <w:tcBorders>
              <w:top w:val="nil"/>
              <w:bottom w:val="nil"/>
            </w:tcBorders>
            <w:vAlign w:val="center"/>
          </w:tcPr>
          <w:p w14:paraId="002125C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116.73</w:t>
            </w:r>
          </w:p>
        </w:tc>
      </w:tr>
      <w:tr w:rsidR="006912F6" w:rsidRPr="006912F6" w14:paraId="0297CB72" w14:textId="77777777" w:rsidTr="001E39A4">
        <w:trPr>
          <w:trHeight w:val="385"/>
        </w:trPr>
        <w:tc>
          <w:tcPr>
            <w:tcW w:w="1026" w:type="dxa"/>
            <w:vMerge/>
          </w:tcPr>
          <w:p w14:paraId="4C70FBE4" w14:textId="77777777" w:rsidR="001B757C" w:rsidRPr="006912F6" w:rsidRDefault="001B757C" w:rsidP="000C4BE5">
            <w:pPr>
              <w:spacing w:before="0" w:line="240" w:lineRule="auto"/>
              <w:rPr>
                <w:rFonts w:asciiTheme="majorHAnsi" w:hAnsiTheme="majorHAnsi" w:cstheme="majorHAnsi"/>
                <w:sz w:val="18"/>
                <w:szCs w:val="20"/>
              </w:rPr>
            </w:pPr>
          </w:p>
        </w:tc>
        <w:tc>
          <w:tcPr>
            <w:tcW w:w="1046" w:type="dxa"/>
            <w:tcBorders>
              <w:top w:val="nil"/>
              <w:bottom w:val="single" w:sz="4" w:space="0" w:color="auto"/>
            </w:tcBorders>
            <w:vAlign w:val="center"/>
          </w:tcPr>
          <w:p w14:paraId="257C4A5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883" w:type="dxa"/>
            <w:tcBorders>
              <w:top w:val="nil"/>
              <w:bottom w:val="single" w:sz="4" w:space="0" w:color="auto"/>
            </w:tcBorders>
            <w:vAlign w:val="center"/>
          </w:tcPr>
          <w:p w14:paraId="2C3D39A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72.68</w:t>
            </w:r>
          </w:p>
        </w:tc>
        <w:tc>
          <w:tcPr>
            <w:tcW w:w="973" w:type="dxa"/>
            <w:tcBorders>
              <w:top w:val="nil"/>
              <w:bottom w:val="single" w:sz="4" w:space="0" w:color="auto"/>
            </w:tcBorders>
            <w:vAlign w:val="center"/>
          </w:tcPr>
          <w:p w14:paraId="43D9CF8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90.9</w:t>
            </w:r>
          </w:p>
        </w:tc>
        <w:tc>
          <w:tcPr>
            <w:tcW w:w="739" w:type="dxa"/>
            <w:tcBorders>
              <w:top w:val="nil"/>
              <w:bottom w:val="single" w:sz="4" w:space="0" w:color="auto"/>
            </w:tcBorders>
            <w:vAlign w:val="center"/>
          </w:tcPr>
          <w:p w14:paraId="15FA49C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83" w:type="dxa"/>
            <w:tcBorders>
              <w:top w:val="nil"/>
              <w:bottom w:val="single" w:sz="4" w:space="0" w:color="auto"/>
            </w:tcBorders>
            <w:vAlign w:val="center"/>
          </w:tcPr>
          <w:p w14:paraId="3DEE115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72.68</w:t>
            </w:r>
          </w:p>
        </w:tc>
        <w:tc>
          <w:tcPr>
            <w:tcW w:w="973" w:type="dxa"/>
            <w:tcBorders>
              <w:top w:val="nil"/>
              <w:bottom w:val="single" w:sz="4" w:space="0" w:color="auto"/>
            </w:tcBorders>
            <w:vAlign w:val="center"/>
          </w:tcPr>
          <w:p w14:paraId="711B341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20.43</w:t>
            </w:r>
          </w:p>
        </w:tc>
        <w:tc>
          <w:tcPr>
            <w:tcW w:w="739" w:type="dxa"/>
            <w:tcBorders>
              <w:top w:val="nil"/>
              <w:bottom w:val="single" w:sz="4" w:space="0" w:color="auto"/>
            </w:tcBorders>
            <w:vAlign w:val="center"/>
          </w:tcPr>
          <w:p w14:paraId="3BA9D36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2073</w:t>
            </w:r>
          </w:p>
        </w:tc>
        <w:tc>
          <w:tcPr>
            <w:tcW w:w="883" w:type="dxa"/>
            <w:tcBorders>
              <w:top w:val="nil"/>
              <w:bottom w:val="single" w:sz="4" w:space="0" w:color="auto"/>
            </w:tcBorders>
            <w:vAlign w:val="center"/>
          </w:tcPr>
          <w:p w14:paraId="7D21200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145.35</w:t>
            </w:r>
          </w:p>
        </w:tc>
        <w:tc>
          <w:tcPr>
            <w:tcW w:w="973" w:type="dxa"/>
            <w:tcBorders>
              <w:top w:val="nil"/>
              <w:bottom w:val="single" w:sz="4" w:space="0" w:color="auto"/>
            </w:tcBorders>
            <w:vAlign w:val="center"/>
          </w:tcPr>
          <w:p w14:paraId="7AD6195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111.33</w:t>
            </w:r>
          </w:p>
        </w:tc>
      </w:tr>
      <w:tr w:rsidR="006912F6" w:rsidRPr="006912F6" w14:paraId="33537C32" w14:textId="77777777" w:rsidTr="001E39A4">
        <w:trPr>
          <w:trHeight w:val="385"/>
        </w:trPr>
        <w:tc>
          <w:tcPr>
            <w:tcW w:w="1026" w:type="dxa"/>
            <w:vMerge w:val="restart"/>
            <w:vAlign w:val="center"/>
          </w:tcPr>
          <w:p w14:paraId="146492F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High</w:t>
            </w:r>
          </w:p>
        </w:tc>
        <w:tc>
          <w:tcPr>
            <w:tcW w:w="1046" w:type="dxa"/>
            <w:tcBorders>
              <w:bottom w:val="nil"/>
            </w:tcBorders>
            <w:vAlign w:val="center"/>
          </w:tcPr>
          <w:p w14:paraId="7167745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883" w:type="dxa"/>
            <w:tcBorders>
              <w:bottom w:val="nil"/>
            </w:tcBorders>
            <w:vAlign w:val="center"/>
          </w:tcPr>
          <w:p w14:paraId="28E7E1B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58.14</w:t>
            </w:r>
          </w:p>
        </w:tc>
        <w:tc>
          <w:tcPr>
            <w:tcW w:w="973" w:type="dxa"/>
            <w:tcBorders>
              <w:bottom w:val="nil"/>
            </w:tcBorders>
            <w:vAlign w:val="center"/>
          </w:tcPr>
          <w:p w14:paraId="62CAD95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41.43</w:t>
            </w:r>
          </w:p>
        </w:tc>
        <w:tc>
          <w:tcPr>
            <w:tcW w:w="739" w:type="dxa"/>
            <w:tcBorders>
              <w:bottom w:val="nil"/>
            </w:tcBorders>
            <w:vAlign w:val="center"/>
          </w:tcPr>
          <w:p w14:paraId="1B017AE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2019</w:t>
            </w:r>
          </w:p>
        </w:tc>
        <w:tc>
          <w:tcPr>
            <w:tcW w:w="883" w:type="dxa"/>
            <w:tcBorders>
              <w:bottom w:val="nil"/>
            </w:tcBorders>
            <w:vAlign w:val="center"/>
          </w:tcPr>
          <w:p w14:paraId="22D40F7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58.14(0)</w:t>
            </w:r>
          </w:p>
        </w:tc>
        <w:tc>
          <w:tcPr>
            <w:tcW w:w="973" w:type="dxa"/>
            <w:tcBorders>
              <w:bottom w:val="nil"/>
            </w:tcBorders>
            <w:vAlign w:val="center"/>
          </w:tcPr>
          <w:p w14:paraId="3C62EAA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-0.17(0)</w:t>
            </w:r>
          </w:p>
        </w:tc>
        <w:tc>
          <w:tcPr>
            <w:tcW w:w="739" w:type="dxa"/>
            <w:tcBorders>
              <w:bottom w:val="nil"/>
            </w:tcBorders>
            <w:vAlign w:val="center"/>
          </w:tcPr>
          <w:p w14:paraId="39D0E40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3" w:type="dxa"/>
            <w:tcBorders>
              <w:bottom w:val="nil"/>
            </w:tcBorders>
            <w:vAlign w:val="center"/>
          </w:tcPr>
          <w:p w14:paraId="1DC7E45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58.14</w:t>
            </w:r>
          </w:p>
        </w:tc>
        <w:tc>
          <w:tcPr>
            <w:tcW w:w="973" w:type="dxa"/>
            <w:tcBorders>
              <w:bottom w:val="nil"/>
            </w:tcBorders>
            <w:vAlign w:val="center"/>
          </w:tcPr>
          <w:p w14:paraId="188EA4C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41.43</w:t>
            </w:r>
          </w:p>
        </w:tc>
      </w:tr>
      <w:tr w:rsidR="006912F6" w:rsidRPr="006912F6" w14:paraId="3ECC33E2" w14:textId="77777777" w:rsidTr="001E39A4">
        <w:trPr>
          <w:trHeight w:val="385"/>
        </w:trPr>
        <w:tc>
          <w:tcPr>
            <w:tcW w:w="1026" w:type="dxa"/>
            <w:vMerge/>
          </w:tcPr>
          <w:p w14:paraId="24D05C36" w14:textId="77777777" w:rsidR="001B757C" w:rsidRPr="006912F6" w:rsidRDefault="001B757C" w:rsidP="000C4BE5">
            <w:pPr>
              <w:spacing w:before="0" w:line="240" w:lineRule="auto"/>
              <w:rPr>
                <w:rFonts w:asciiTheme="majorHAnsi" w:hAnsiTheme="majorHAnsi" w:cstheme="majorHAnsi"/>
                <w:sz w:val="18"/>
                <w:szCs w:val="20"/>
              </w:rPr>
            </w:pPr>
          </w:p>
        </w:tc>
        <w:tc>
          <w:tcPr>
            <w:tcW w:w="1046" w:type="dxa"/>
            <w:tcBorders>
              <w:top w:val="nil"/>
              <w:bottom w:val="nil"/>
            </w:tcBorders>
            <w:vAlign w:val="center"/>
          </w:tcPr>
          <w:p w14:paraId="686E597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883" w:type="dxa"/>
            <w:tcBorders>
              <w:top w:val="nil"/>
              <w:bottom w:val="nil"/>
            </w:tcBorders>
            <w:vAlign w:val="center"/>
          </w:tcPr>
          <w:p w14:paraId="6C6BCA0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62.98</w:t>
            </w:r>
          </w:p>
        </w:tc>
        <w:tc>
          <w:tcPr>
            <w:tcW w:w="973" w:type="dxa"/>
            <w:tcBorders>
              <w:top w:val="nil"/>
              <w:bottom w:val="nil"/>
            </w:tcBorders>
            <w:vAlign w:val="center"/>
          </w:tcPr>
          <w:p w14:paraId="7E32628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37.70</w:t>
            </w:r>
          </w:p>
        </w:tc>
        <w:tc>
          <w:tcPr>
            <w:tcW w:w="739" w:type="dxa"/>
            <w:tcBorders>
              <w:top w:val="nil"/>
              <w:bottom w:val="nil"/>
            </w:tcBorders>
            <w:vAlign w:val="center"/>
          </w:tcPr>
          <w:p w14:paraId="6DFADC2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2023</w:t>
            </w:r>
          </w:p>
        </w:tc>
        <w:tc>
          <w:tcPr>
            <w:tcW w:w="883" w:type="dxa"/>
            <w:tcBorders>
              <w:top w:val="nil"/>
              <w:bottom w:val="nil"/>
            </w:tcBorders>
            <w:vAlign w:val="center"/>
          </w:tcPr>
          <w:p w14:paraId="4BDC17B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62.98(0)</w:t>
            </w:r>
          </w:p>
        </w:tc>
        <w:tc>
          <w:tcPr>
            <w:tcW w:w="973" w:type="dxa"/>
            <w:tcBorders>
              <w:top w:val="nil"/>
              <w:bottom w:val="nil"/>
            </w:tcBorders>
            <w:vAlign w:val="center"/>
          </w:tcPr>
          <w:p w14:paraId="55876C3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-0.41(0)</w:t>
            </w:r>
          </w:p>
        </w:tc>
        <w:tc>
          <w:tcPr>
            <w:tcW w:w="739" w:type="dxa"/>
            <w:tcBorders>
              <w:top w:val="nil"/>
              <w:bottom w:val="nil"/>
            </w:tcBorders>
            <w:vAlign w:val="center"/>
          </w:tcPr>
          <w:p w14:paraId="474FBA3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3" w:type="dxa"/>
            <w:tcBorders>
              <w:top w:val="nil"/>
              <w:bottom w:val="nil"/>
            </w:tcBorders>
            <w:vAlign w:val="center"/>
          </w:tcPr>
          <w:p w14:paraId="58A8E02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62.98</w:t>
            </w:r>
          </w:p>
        </w:tc>
        <w:tc>
          <w:tcPr>
            <w:tcW w:w="973" w:type="dxa"/>
            <w:tcBorders>
              <w:top w:val="nil"/>
              <w:bottom w:val="nil"/>
            </w:tcBorders>
            <w:vAlign w:val="center"/>
          </w:tcPr>
          <w:p w14:paraId="61ACD74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37.70</w:t>
            </w:r>
          </w:p>
        </w:tc>
      </w:tr>
      <w:tr w:rsidR="006912F6" w:rsidRPr="006912F6" w14:paraId="43A5F225" w14:textId="77777777" w:rsidTr="001E39A4">
        <w:trPr>
          <w:trHeight w:val="385"/>
        </w:trPr>
        <w:tc>
          <w:tcPr>
            <w:tcW w:w="1026" w:type="dxa"/>
            <w:vMerge/>
          </w:tcPr>
          <w:p w14:paraId="3AEF4490" w14:textId="77777777" w:rsidR="001B757C" w:rsidRPr="006912F6" w:rsidRDefault="001B757C" w:rsidP="000C4BE5">
            <w:pPr>
              <w:spacing w:before="0" w:line="240" w:lineRule="auto"/>
              <w:rPr>
                <w:rFonts w:asciiTheme="majorHAnsi" w:hAnsiTheme="majorHAnsi" w:cstheme="majorHAnsi"/>
                <w:sz w:val="18"/>
                <w:szCs w:val="20"/>
              </w:rPr>
            </w:pPr>
          </w:p>
        </w:tc>
        <w:tc>
          <w:tcPr>
            <w:tcW w:w="1046" w:type="dxa"/>
            <w:tcBorders>
              <w:top w:val="nil"/>
              <w:bottom w:val="nil"/>
            </w:tcBorders>
            <w:vAlign w:val="center"/>
          </w:tcPr>
          <w:p w14:paraId="08260B8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883" w:type="dxa"/>
            <w:tcBorders>
              <w:top w:val="nil"/>
              <w:bottom w:val="nil"/>
            </w:tcBorders>
            <w:vAlign w:val="center"/>
          </w:tcPr>
          <w:p w14:paraId="3694EAE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67.83</w:t>
            </w:r>
          </w:p>
        </w:tc>
        <w:tc>
          <w:tcPr>
            <w:tcW w:w="973" w:type="dxa"/>
            <w:tcBorders>
              <w:top w:val="nil"/>
              <w:bottom w:val="nil"/>
            </w:tcBorders>
            <w:vAlign w:val="center"/>
          </w:tcPr>
          <w:p w14:paraId="0A043D8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33.91</w:t>
            </w:r>
          </w:p>
        </w:tc>
        <w:tc>
          <w:tcPr>
            <w:tcW w:w="739" w:type="dxa"/>
            <w:tcBorders>
              <w:top w:val="nil"/>
              <w:bottom w:val="nil"/>
            </w:tcBorders>
            <w:vAlign w:val="center"/>
          </w:tcPr>
          <w:p w14:paraId="5FB8C12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2028</w:t>
            </w:r>
          </w:p>
        </w:tc>
        <w:tc>
          <w:tcPr>
            <w:tcW w:w="883" w:type="dxa"/>
            <w:tcBorders>
              <w:top w:val="nil"/>
              <w:bottom w:val="nil"/>
            </w:tcBorders>
            <w:vAlign w:val="center"/>
          </w:tcPr>
          <w:p w14:paraId="4DD5D01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67.83(0)</w:t>
            </w:r>
          </w:p>
        </w:tc>
        <w:tc>
          <w:tcPr>
            <w:tcW w:w="973" w:type="dxa"/>
            <w:tcBorders>
              <w:top w:val="nil"/>
              <w:bottom w:val="nil"/>
            </w:tcBorders>
            <w:vAlign w:val="center"/>
          </w:tcPr>
          <w:p w14:paraId="1E9D495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-0.71(0)</w:t>
            </w:r>
          </w:p>
        </w:tc>
        <w:tc>
          <w:tcPr>
            <w:tcW w:w="739" w:type="dxa"/>
            <w:tcBorders>
              <w:top w:val="nil"/>
              <w:bottom w:val="nil"/>
            </w:tcBorders>
            <w:vAlign w:val="center"/>
          </w:tcPr>
          <w:p w14:paraId="13145F6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3" w:type="dxa"/>
            <w:tcBorders>
              <w:top w:val="nil"/>
              <w:bottom w:val="nil"/>
            </w:tcBorders>
            <w:vAlign w:val="center"/>
          </w:tcPr>
          <w:p w14:paraId="0F9D04D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67.83</w:t>
            </w:r>
          </w:p>
        </w:tc>
        <w:tc>
          <w:tcPr>
            <w:tcW w:w="973" w:type="dxa"/>
            <w:tcBorders>
              <w:top w:val="nil"/>
              <w:bottom w:val="nil"/>
            </w:tcBorders>
            <w:vAlign w:val="center"/>
          </w:tcPr>
          <w:p w14:paraId="15CF100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33.91</w:t>
            </w:r>
          </w:p>
        </w:tc>
      </w:tr>
      <w:tr w:rsidR="006912F6" w:rsidRPr="006912F6" w14:paraId="081CAB98" w14:textId="77777777" w:rsidTr="001E39A4">
        <w:trPr>
          <w:trHeight w:val="385"/>
        </w:trPr>
        <w:tc>
          <w:tcPr>
            <w:tcW w:w="1026" w:type="dxa"/>
            <w:vMerge/>
          </w:tcPr>
          <w:p w14:paraId="504751FA" w14:textId="77777777" w:rsidR="001B757C" w:rsidRPr="006912F6" w:rsidRDefault="001B757C" w:rsidP="000C4BE5">
            <w:pPr>
              <w:spacing w:before="0" w:line="240" w:lineRule="auto"/>
              <w:rPr>
                <w:rFonts w:asciiTheme="majorHAnsi" w:hAnsiTheme="majorHAnsi" w:cstheme="majorHAnsi"/>
                <w:sz w:val="18"/>
                <w:szCs w:val="20"/>
              </w:rPr>
            </w:pPr>
          </w:p>
        </w:tc>
        <w:tc>
          <w:tcPr>
            <w:tcW w:w="1046" w:type="dxa"/>
            <w:tcBorders>
              <w:top w:val="nil"/>
              <w:bottom w:val="single" w:sz="4" w:space="0" w:color="auto"/>
            </w:tcBorders>
            <w:vAlign w:val="center"/>
          </w:tcPr>
          <w:p w14:paraId="5B20CA2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883" w:type="dxa"/>
            <w:tcBorders>
              <w:top w:val="nil"/>
              <w:bottom w:val="single" w:sz="4" w:space="0" w:color="auto"/>
            </w:tcBorders>
            <w:vAlign w:val="center"/>
          </w:tcPr>
          <w:p w14:paraId="13F8D87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72.68</w:t>
            </w:r>
          </w:p>
        </w:tc>
        <w:tc>
          <w:tcPr>
            <w:tcW w:w="973" w:type="dxa"/>
            <w:tcBorders>
              <w:top w:val="nil"/>
              <w:bottom w:val="single" w:sz="4" w:space="0" w:color="auto"/>
            </w:tcBorders>
            <w:vAlign w:val="center"/>
          </w:tcPr>
          <w:p w14:paraId="4C954F4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30.86</w:t>
            </w:r>
          </w:p>
        </w:tc>
        <w:tc>
          <w:tcPr>
            <w:tcW w:w="739" w:type="dxa"/>
            <w:tcBorders>
              <w:top w:val="nil"/>
              <w:bottom w:val="single" w:sz="4" w:space="0" w:color="auto"/>
            </w:tcBorders>
            <w:vAlign w:val="center"/>
          </w:tcPr>
          <w:p w14:paraId="171049C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2031</w:t>
            </w:r>
          </w:p>
        </w:tc>
        <w:tc>
          <w:tcPr>
            <w:tcW w:w="883" w:type="dxa"/>
            <w:tcBorders>
              <w:top w:val="nil"/>
              <w:bottom w:val="single" w:sz="4" w:space="0" w:color="auto"/>
            </w:tcBorders>
            <w:vAlign w:val="center"/>
          </w:tcPr>
          <w:p w14:paraId="66EAA34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72.68(0)</w:t>
            </w:r>
          </w:p>
        </w:tc>
        <w:tc>
          <w:tcPr>
            <w:tcW w:w="973" w:type="dxa"/>
            <w:tcBorders>
              <w:top w:val="nil"/>
              <w:bottom w:val="single" w:sz="4" w:space="0" w:color="auto"/>
            </w:tcBorders>
            <w:vAlign w:val="center"/>
          </w:tcPr>
          <w:p w14:paraId="52874BD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-0.97(0)</w:t>
            </w:r>
          </w:p>
        </w:tc>
        <w:tc>
          <w:tcPr>
            <w:tcW w:w="739" w:type="dxa"/>
            <w:tcBorders>
              <w:top w:val="nil"/>
              <w:bottom w:val="single" w:sz="4" w:space="0" w:color="auto"/>
            </w:tcBorders>
            <w:vAlign w:val="center"/>
          </w:tcPr>
          <w:p w14:paraId="2B75378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3" w:type="dxa"/>
            <w:tcBorders>
              <w:top w:val="nil"/>
              <w:bottom w:val="single" w:sz="4" w:space="0" w:color="auto"/>
            </w:tcBorders>
            <w:vAlign w:val="center"/>
          </w:tcPr>
          <w:p w14:paraId="4AE0B16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72.68</w:t>
            </w:r>
          </w:p>
        </w:tc>
        <w:tc>
          <w:tcPr>
            <w:tcW w:w="973" w:type="dxa"/>
            <w:tcBorders>
              <w:top w:val="nil"/>
              <w:bottom w:val="single" w:sz="4" w:space="0" w:color="auto"/>
            </w:tcBorders>
            <w:vAlign w:val="center"/>
          </w:tcPr>
          <w:p w14:paraId="29038BF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30.86</w:t>
            </w:r>
          </w:p>
        </w:tc>
      </w:tr>
      <w:tr w:rsidR="006912F6" w:rsidRPr="006912F6" w14:paraId="3FA4FA6F" w14:textId="77777777" w:rsidTr="001E39A4">
        <w:trPr>
          <w:trHeight w:val="385"/>
        </w:trPr>
        <w:tc>
          <w:tcPr>
            <w:tcW w:w="1026" w:type="dxa"/>
            <w:vMerge w:val="restart"/>
            <w:vAlign w:val="center"/>
          </w:tcPr>
          <w:p w14:paraId="4EEF902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Medium</w:t>
            </w:r>
          </w:p>
        </w:tc>
        <w:tc>
          <w:tcPr>
            <w:tcW w:w="1046" w:type="dxa"/>
            <w:tcBorders>
              <w:bottom w:val="nil"/>
            </w:tcBorders>
            <w:vAlign w:val="center"/>
          </w:tcPr>
          <w:p w14:paraId="577B03C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883" w:type="dxa"/>
            <w:tcBorders>
              <w:bottom w:val="nil"/>
            </w:tcBorders>
            <w:vAlign w:val="center"/>
          </w:tcPr>
          <w:p w14:paraId="254C1B8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58.14</w:t>
            </w:r>
          </w:p>
        </w:tc>
        <w:tc>
          <w:tcPr>
            <w:tcW w:w="973" w:type="dxa"/>
            <w:tcBorders>
              <w:bottom w:val="nil"/>
            </w:tcBorders>
            <w:vAlign w:val="center"/>
          </w:tcPr>
          <w:p w14:paraId="73C8825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29.77</w:t>
            </w:r>
          </w:p>
        </w:tc>
        <w:tc>
          <w:tcPr>
            <w:tcW w:w="739" w:type="dxa"/>
            <w:tcBorders>
              <w:bottom w:val="nil"/>
            </w:tcBorders>
            <w:vAlign w:val="center"/>
          </w:tcPr>
          <w:p w14:paraId="6E3C8F2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2022</w:t>
            </w:r>
          </w:p>
        </w:tc>
        <w:tc>
          <w:tcPr>
            <w:tcW w:w="883" w:type="dxa"/>
            <w:tcBorders>
              <w:bottom w:val="nil"/>
            </w:tcBorders>
            <w:vAlign w:val="center"/>
          </w:tcPr>
          <w:p w14:paraId="244CC5A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58.14(0)</w:t>
            </w:r>
          </w:p>
        </w:tc>
        <w:tc>
          <w:tcPr>
            <w:tcW w:w="973" w:type="dxa"/>
            <w:tcBorders>
              <w:bottom w:val="nil"/>
            </w:tcBorders>
            <w:vAlign w:val="center"/>
          </w:tcPr>
          <w:p w14:paraId="3048571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-2.10(0)</w:t>
            </w:r>
          </w:p>
        </w:tc>
        <w:tc>
          <w:tcPr>
            <w:tcW w:w="739" w:type="dxa"/>
            <w:tcBorders>
              <w:bottom w:val="nil"/>
            </w:tcBorders>
            <w:vAlign w:val="center"/>
          </w:tcPr>
          <w:p w14:paraId="6241CDA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3" w:type="dxa"/>
            <w:tcBorders>
              <w:bottom w:val="nil"/>
            </w:tcBorders>
            <w:vAlign w:val="center"/>
          </w:tcPr>
          <w:p w14:paraId="117B06F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58.14</w:t>
            </w:r>
          </w:p>
        </w:tc>
        <w:tc>
          <w:tcPr>
            <w:tcW w:w="973" w:type="dxa"/>
            <w:tcBorders>
              <w:bottom w:val="nil"/>
            </w:tcBorders>
            <w:vAlign w:val="center"/>
          </w:tcPr>
          <w:p w14:paraId="37C5F06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29.77</w:t>
            </w:r>
          </w:p>
        </w:tc>
      </w:tr>
      <w:tr w:rsidR="006912F6" w:rsidRPr="006912F6" w14:paraId="1FB47E9B" w14:textId="77777777" w:rsidTr="001E39A4">
        <w:trPr>
          <w:trHeight w:val="385"/>
        </w:trPr>
        <w:tc>
          <w:tcPr>
            <w:tcW w:w="1026" w:type="dxa"/>
            <w:vMerge/>
          </w:tcPr>
          <w:p w14:paraId="37284BB1" w14:textId="77777777" w:rsidR="001B757C" w:rsidRPr="006912F6" w:rsidRDefault="001B757C" w:rsidP="000C4BE5">
            <w:pPr>
              <w:spacing w:before="0" w:line="240" w:lineRule="auto"/>
              <w:rPr>
                <w:rFonts w:asciiTheme="majorHAnsi" w:hAnsiTheme="majorHAnsi" w:cstheme="majorHAnsi"/>
                <w:sz w:val="18"/>
                <w:szCs w:val="20"/>
              </w:rPr>
            </w:pPr>
          </w:p>
        </w:tc>
        <w:tc>
          <w:tcPr>
            <w:tcW w:w="1046" w:type="dxa"/>
            <w:tcBorders>
              <w:top w:val="nil"/>
              <w:bottom w:val="nil"/>
            </w:tcBorders>
            <w:vAlign w:val="center"/>
          </w:tcPr>
          <w:p w14:paraId="1FEC973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883" w:type="dxa"/>
            <w:tcBorders>
              <w:top w:val="nil"/>
              <w:bottom w:val="nil"/>
            </w:tcBorders>
            <w:vAlign w:val="center"/>
          </w:tcPr>
          <w:p w14:paraId="5271477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62.98</w:t>
            </w:r>
          </w:p>
        </w:tc>
        <w:tc>
          <w:tcPr>
            <w:tcW w:w="973" w:type="dxa"/>
            <w:tcBorders>
              <w:top w:val="nil"/>
              <w:bottom w:val="nil"/>
            </w:tcBorders>
            <w:vAlign w:val="center"/>
          </w:tcPr>
          <w:p w14:paraId="5ECF3BB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26.48</w:t>
            </w:r>
          </w:p>
        </w:tc>
        <w:tc>
          <w:tcPr>
            <w:tcW w:w="739" w:type="dxa"/>
            <w:tcBorders>
              <w:top w:val="nil"/>
              <w:bottom w:val="nil"/>
            </w:tcBorders>
            <w:vAlign w:val="center"/>
          </w:tcPr>
          <w:p w14:paraId="4F3341C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2027</w:t>
            </w:r>
          </w:p>
        </w:tc>
        <w:tc>
          <w:tcPr>
            <w:tcW w:w="883" w:type="dxa"/>
            <w:tcBorders>
              <w:top w:val="nil"/>
              <w:bottom w:val="nil"/>
            </w:tcBorders>
            <w:vAlign w:val="center"/>
          </w:tcPr>
          <w:p w14:paraId="7C7089F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62.98(0)</w:t>
            </w:r>
          </w:p>
        </w:tc>
        <w:tc>
          <w:tcPr>
            <w:tcW w:w="973" w:type="dxa"/>
            <w:tcBorders>
              <w:top w:val="nil"/>
              <w:bottom w:val="nil"/>
            </w:tcBorders>
            <w:vAlign w:val="center"/>
          </w:tcPr>
          <w:p w14:paraId="046A054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-2.34(0)</w:t>
            </w:r>
          </w:p>
        </w:tc>
        <w:tc>
          <w:tcPr>
            <w:tcW w:w="739" w:type="dxa"/>
            <w:tcBorders>
              <w:top w:val="nil"/>
              <w:bottom w:val="nil"/>
            </w:tcBorders>
            <w:vAlign w:val="center"/>
          </w:tcPr>
          <w:p w14:paraId="7258426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3" w:type="dxa"/>
            <w:tcBorders>
              <w:top w:val="nil"/>
              <w:bottom w:val="nil"/>
            </w:tcBorders>
            <w:vAlign w:val="center"/>
          </w:tcPr>
          <w:p w14:paraId="3EF7BD8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62.98</w:t>
            </w:r>
          </w:p>
        </w:tc>
        <w:tc>
          <w:tcPr>
            <w:tcW w:w="973" w:type="dxa"/>
            <w:tcBorders>
              <w:top w:val="nil"/>
              <w:bottom w:val="nil"/>
            </w:tcBorders>
            <w:vAlign w:val="center"/>
          </w:tcPr>
          <w:p w14:paraId="412E13A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26.48</w:t>
            </w:r>
          </w:p>
        </w:tc>
      </w:tr>
      <w:tr w:rsidR="006912F6" w:rsidRPr="006912F6" w14:paraId="1D11102D" w14:textId="77777777" w:rsidTr="001E39A4">
        <w:trPr>
          <w:trHeight w:val="385"/>
        </w:trPr>
        <w:tc>
          <w:tcPr>
            <w:tcW w:w="1026" w:type="dxa"/>
            <w:vMerge/>
          </w:tcPr>
          <w:p w14:paraId="6A69B5BB" w14:textId="77777777" w:rsidR="001B757C" w:rsidRPr="006912F6" w:rsidRDefault="001B757C" w:rsidP="000C4BE5">
            <w:pPr>
              <w:spacing w:before="0" w:line="240" w:lineRule="auto"/>
              <w:rPr>
                <w:rFonts w:asciiTheme="majorHAnsi" w:hAnsiTheme="majorHAnsi" w:cstheme="majorHAnsi"/>
                <w:sz w:val="18"/>
                <w:szCs w:val="20"/>
              </w:rPr>
            </w:pPr>
          </w:p>
        </w:tc>
        <w:tc>
          <w:tcPr>
            <w:tcW w:w="1046" w:type="dxa"/>
            <w:tcBorders>
              <w:top w:val="nil"/>
              <w:bottom w:val="nil"/>
            </w:tcBorders>
            <w:vAlign w:val="center"/>
          </w:tcPr>
          <w:p w14:paraId="746DB45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883" w:type="dxa"/>
            <w:tcBorders>
              <w:top w:val="nil"/>
              <w:bottom w:val="nil"/>
            </w:tcBorders>
            <w:vAlign w:val="center"/>
          </w:tcPr>
          <w:p w14:paraId="2FABDBD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67.83</w:t>
            </w:r>
          </w:p>
        </w:tc>
        <w:tc>
          <w:tcPr>
            <w:tcW w:w="973" w:type="dxa"/>
            <w:tcBorders>
              <w:top w:val="nil"/>
              <w:bottom w:val="nil"/>
            </w:tcBorders>
            <w:vAlign w:val="center"/>
          </w:tcPr>
          <w:p w14:paraId="6F1DEBD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23.19</w:t>
            </w:r>
          </w:p>
        </w:tc>
        <w:tc>
          <w:tcPr>
            <w:tcW w:w="739" w:type="dxa"/>
            <w:tcBorders>
              <w:top w:val="nil"/>
              <w:bottom w:val="nil"/>
            </w:tcBorders>
            <w:vAlign w:val="center"/>
          </w:tcPr>
          <w:p w14:paraId="69EEB44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2032</w:t>
            </w:r>
          </w:p>
        </w:tc>
        <w:tc>
          <w:tcPr>
            <w:tcW w:w="883" w:type="dxa"/>
            <w:tcBorders>
              <w:top w:val="nil"/>
              <w:bottom w:val="nil"/>
            </w:tcBorders>
            <w:vAlign w:val="center"/>
          </w:tcPr>
          <w:p w14:paraId="058637B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67.83(0)</w:t>
            </w:r>
          </w:p>
        </w:tc>
        <w:tc>
          <w:tcPr>
            <w:tcW w:w="973" w:type="dxa"/>
            <w:tcBorders>
              <w:top w:val="nil"/>
              <w:bottom w:val="nil"/>
            </w:tcBorders>
            <w:vAlign w:val="center"/>
          </w:tcPr>
          <w:p w14:paraId="09137AD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-2.64(0)</w:t>
            </w:r>
          </w:p>
        </w:tc>
        <w:tc>
          <w:tcPr>
            <w:tcW w:w="739" w:type="dxa"/>
            <w:tcBorders>
              <w:top w:val="nil"/>
              <w:bottom w:val="nil"/>
            </w:tcBorders>
            <w:vAlign w:val="center"/>
          </w:tcPr>
          <w:p w14:paraId="4B5C2F0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3" w:type="dxa"/>
            <w:tcBorders>
              <w:top w:val="nil"/>
              <w:bottom w:val="nil"/>
            </w:tcBorders>
            <w:vAlign w:val="center"/>
          </w:tcPr>
          <w:p w14:paraId="2A85A7E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67.83</w:t>
            </w:r>
          </w:p>
        </w:tc>
        <w:tc>
          <w:tcPr>
            <w:tcW w:w="973" w:type="dxa"/>
            <w:tcBorders>
              <w:top w:val="nil"/>
              <w:bottom w:val="nil"/>
            </w:tcBorders>
            <w:vAlign w:val="center"/>
          </w:tcPr>
          <w:p w14:paraId="6486A91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23.19</w:t>
            </w:r>
          </w:p>
        </w:tc>
      </w:tr>
      <w:tr w:rsidR="006912F6" w:rsidRPr="006912F6" w14:paraId="6F15A713" w14:textId="77777777" w:rsidTr="001E39A4">
        <w:trPr>
          <w:trHeight w:val="385"/>
        </w:trPr>
        <w:tc>
          <w:tcPr>
            <w:tcW w:w="1026" w:type="dxa"/>
            <w:vMerge/>
          </w:tcPr>
          <w:p w14:paraId="32A652C2" w14:textId="77777777" w:rsidR="001B757C" w:rsidRPr="006912F6" w:rsidRDefault="001B757C" w:rsidP="000C4BE5">
            <w:pPr>
              <w:spacing w:before="0" w:line="240" w:lineRule="auto"/>
              <w:rPr>
                <w:rFonts w:asciiTheme="majorHAnsi" w:hAnsiTheme="majorHAnsi" w:cstheme="majorHAnsi"/>
                <w:sz w:val="18"/>
                <w:szCs w:val="20"/>
              </w:rPr>
            </w:pPr>
          </w:p>
        </w:tc>
        <w:tc>
          <w:tcPr>
            <w:tcW w:w="1046" w:type="dxa"/>
            <w:tcBorders>
              <w:top w:val="nil"/>
              <w:bottom w:val="single" w:sz="4" w:space="0" w:color="auto"/>
            </w:tcBorders>
            <w:vAlign w:val="center"/>
          </w:tcPr>
          <w:p w14:paraId="31C1B01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883" w:type="dxa"/>
            <w:tcBorders>
              <w:top w:val="nil"/>
              <w:bottom w:val="single" w:sz="4" w:space="0" w:color="auto"/>
            </w:tcBorders>
            <w:vAlign w:val="center"/>
          </w:tcPr>
          <w:p w14:paraId="6E8D7DD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72.68</w:t>
            </w:r>
          </w:p>
        </w:tc>
        <w:tc>
          <w:tcPr>
            <w:tcW w:w="973" w:type="dxa"/>
            <w:tcBorders>
              <w:top w:val="nil"/>
              <w:bottom w:val="single" w:sz="4" w:space="0" w:color="auto"/>
            </w:tcBorders>
            <w:vAlign w:val="center"/>
          </w:tcPr>
          <w:p w14:paraId="45212A8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20.64</w:t>
            </w:r>
          </w:p>
        </w:tc>
        <w:tc>
          <w:tcPr>
            <w:tcW w:w="739" w:type="dxa"/>
            <w:tcBorders>
              <w:top w:val="nil"/>
              <w:bottom w:val="single" w:sz="4" w:space="0" w:color="auto"/>
            </w:tcBorders>
            <w:vAlign w:val="center"/>
          </w:tcPr>
          <w:p w14:paraId="246A128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2037</w:t>
            </w:r>
          </w:p>
        </w:tc>
        <w:tc>
          <w:tcPr>
            <w:tcW w:w="883" w:type="dxa"/>
            <w:tcBorders>
              <w:top w:val="nil"/>
              <w:bottom w:val="single" w:sz="4" w:space="0" w:color="auto"/>
            </w:tcBorders>
            <w:vAlign w:val="center"/>
          </w:tcPr>
          <w:p w14:paraId="1454A9F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72.68(0)</w:t>
            </w:r>
          </w:p>
        </w:tc>
        <w:tc>
          <w:tcPr>
            <w:tcW w:w="973" w:type="dxa"/>
            <w:tcBorders>
              <w:top w:val="nil"/>
              <w:bottom w:val="single" w:sz="4" w:space="0" w:color="auto"/>
            </w:tcBorders>
            <w:vAlign w:val="center"/>
          </w:tcPr>
          <w:p w14:paraId="0F085C8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-2.91(0)</w:t>
            </w:r>
          </w:p>
        </w:tc>
        <w:tc>
          <w:tcPr>
            <w:tcW w:w="739" w:type="dxa"/>
            <w:tcBorders>
              <w:top w:val="nil"/>
              <w:bottom w:val="single" w:sz="4" w:space="0" w:color="auto"/>
            </w:tcBorders>
            <w:vAlign w:val="center"/>
          </w:tcPr>
          <w:p w14:paraId="4ED2F9B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3" w:type="dxa"/>
            <w:tcBorders>
              <w:top w:val="nil"/>
              <w:bottom w:val="single" w:sz="4" w:space="0" w:color="auto"/>
            </w:tcBorders>
            <w:vAlign w:val="center"/>
          </w:tcPr>
          <w:p w14:paraId="0EC3BF2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72.68</w:t>
            </w:r>
          </w:p>
        </w:tc>
        <w:tc>
          <w:tcPr>
            <w:tcW w:w="973" w:type="dxa"/>
            <w:tcBorders>
              <w:top w:val="nil"/>
              <w:bottom w:val="single" w:sz="4" w:space="0" w:color="auto"/>
            </w:tcBorders>
            <w:vAlign w:val="center"/>
          </w:tcPr>
          <w:p w14:paraId="0689C9F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20.64</w:t>
            </w:r>
          </w:p>
        </w:tc>
      </w:tr>
      <w:tr w:rsidR="006912F6" w:rsidRPr="006912F6" w14:paraId="7C22CAFD" w14:textId="77777777" w:rsidTr="001E39A4">
        <w:trPr>
          <w:trHeight w:val="385"/>
        </w:trPr>
        <w:tc>
          <w:tcPr>
            <w:tcW w:w="1026" w:type="dxa"/>
            <w:vMerge w:val="restart"/>
            <w:vAlign w:val="center"/>
          </w:tcPr>
          <w:p w14:paraId="2CB7736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Low</w:t>
            </w:r>
          </w:p>
        </w:tc>
        <w:tc>
          <w:tcPr>
            <w:tcW w:w="1046" w:type="dxa"/>
            <w:tcBorders>
              <w:bottom w:val="nil"/>
            </w:tcBorders>
            <w:vAlign w:val="center"/>
          </w:tcPr>
          <w:p w14:paraId="14D2CE5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883" w:type="dxa"/>
            <w:tcBorders>
              <w:bottom w:val="nil"/>
            </w:tcBorders>
            <w:vAlign w:val="center"/>
          </w:tcPr>
          <w:p w14:paraId="7641F77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58.14</w:t>
            </w:r>
          </w:p>
        </w:tc>
        <w:tc>
          <w:tcPr>
            <w:tcW w:w="973" w:type="dxa"/>
            <w:tcBorders>
              <w:bottom w:val="nil"/>
            </w:tcBorders>
            <w:vAlign w:val="center"/>
          </w:tcPr>
          <w:p w14:paraId="5BBF0AE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21.49</w:t>
            </w:r>
          </w:p>
        </w:tc>
        <w:tc>
          <w:tcPr>
            <w:tcW w:w="739" w:type="dxa"/>
            <w:tcBorders>
              <w:bottom w:val="nil"/>
            </w:tcBorders>
            <w:vAlign w:val="center"/>
          </w:tcPr>
          <w:p w14:paraId="4B126A8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2027</w:t>
            </w:r>
          </w:p>
        </w:tc>
        <w:tc>
          <w:tcPr>
            <w:tcW w:w="883" w:type="dxa"/>
            <w:tcBorders>
              <w:bottom w:val="nil"/>
            </w:tcBorders>
            <w:vAlign w:val="center"/>
          </w:tcPr>
          <w:p w14:paraId="1C8DADB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58.14(0)</w:t>
            </w:r>
          </w:p>
        </w:tc>
        <w:tc>
          <w:tcPr>
            <w:tcW w:w="973" w:type="dxa"/>
            <w:tcBorders>
              <w:bottom w:val="nil"/>
            </w:tcBorders>
            <w:vAlign w:val="center"/>
          </w:tcPr>
          <w:p w14:paraId="024EE65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-2.69(0)</w:t>
            </w:r>
          </w:p>
        </w:tc>
        <w:tc>
          <w:tcPr>
            <w:tcW w:w="739" w:type="dxa"/>
            <w:tcBorders>
              <w:bottom w:val="nil"/>
            </w:tcBorders>
            <w:vAlign w:val="center"/>
          </w:tcPr>
          <w:p w14:paraId="27E706F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3" w:type="dxa"/>
            <w:tcBorders>
              <w:bottom w:val="nil"/>
            </w:tcBorders>
            <w:vAlign w:val="center"/>
          </w:tcPr>
          <w:p w14:paraId="65034BD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58.14</w:t>
            </w:r>
          </w:p>
        </w:tc>
        <w:tc>
          <w:tcPr>
            <w:tcW w:w="973" w:type="dxa"/>
            <w:tcBorders>
              <w:bottom w:val="nil"/>
            </w:tcBorders>
            <w:vAlign w:val="center"/>
          </w:tcPr>
          <w:p w14:paraId="4A8219C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21.49</w:t>
            </w:r>
          </w:p>
        </w:tc>
      </w:tr>
      <w:tr w:rsidR="006912F6" w:rsidRPr="006912F6" w14:paraId="382C6016" w14:textId="77777777" w:rsidTr="001E39A4">
        <w:trPr>
          <w:trHeight w:val="385"/>
        </w:trPr>
        <w:tc>
          <w:tcPr>
            <w:tcW w:w="1026" w:type="dxa"/>
            <w:vMerge/>
          </w:tcPr>
          <w:p w14:paraId="5DD24FDB" w14:textId="77777777" w:rsidR="001B757C" w:rsidRPr="006912F6" w:rsidRDefault="001B757C" w:rsidP="000C4BE5">
            <w:pPr>
              <w:spacing w:before="0" w:line="240" w:lineRule="auto"/>
              <w:rPr>
                <w:rFonts w:asciiTheme="majorHAnsi" w:hAnsiTheme="majorHAnsi" w:cstheme="majorHAnsi"/>
                <w:sz w:val="18"/>
                <w:szCs w:val="20"/>
              </w:rPr>
            </w:pPr>
          </w:p>
        </w:tc>
        <w:tc>
          <w:tcPr>
            <w:tcW w:w="1046" w:type="dxa"/>
            <w:tcBorders>
              <w:top w:val="nil"/>
              <w:bottom w:val="nil"/>
            </w:tcBorders>
            <w:vAlign w:val="center"/>
          </w:tcPr>
          <w:p w14:paraId="684E7FD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883" w:type="dxa"/>
            <w:tcBorders>
              <w:top w:val="nil"/>
              <w:bottom w:val="nil"/>
            </w:tcBorders>
            <w:vAlign w:val="center"/>
          </w:tcPr>
          <w:p w14:paraId="268A470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62.98</w:t>
            </w:r>
          </w:p>
        </w:tc>
        <w:tc>
          <w:tcPr>
            <w:tcW w:w="973" w:type="dxa"/>
            <w:tcBorders>
              <w:top w:val="nil"/>
              <w:bottom w:val="nil"/>
            </w:tcBorders>
            <w:vAlign w:val="center"/>
          </w:tcPr>
          <w:p w14:paraId="21D4743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18.66</w:t>
            </w:r>
          </w:p>
        </w:tc>
        <w:tc>
          <w:tcPr>
            <w:tcW w:w="739" w:type="dxa"/>
            <w:tcBorders>
              <w:top w:val="nil"/>
              <w:bottom w:val="nil"/>
            </w:tcBorders>
            <w:vAlign w:val="center"/>
          </w:tcPr>
          <w:p w14:paraId="6E7A7E0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2032</w:t>
            </w:r>
          </w:p>
        </w:tc>
        <w:tc>
          <w:tcPr>
            <w:tcW w:w="883" w:type="dxa"/>
            <w:tcBorders>
              <w:top w:val="nil"/>
              <w:bottom w:val="nil"/>
            </w:tcBorders>
            <w:vAlign w:val="center"/>
          </w:tcPr>
          <w:p w14:paraId="6C41A08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62.98(0)</w:t>
            </w:r>
          </w:p>
        </w:tc>
        <w:tc>
          <w:tcPr>
            <w:tcW w:w="973" w:type="dxa"/>
            <w:tcBorders>
              <w:top w:val="nil"/>
              <w:bottom w:val="nil"/>
            </w:tcBorders>
            <w:vAlign w:val="center"/>
          </w:tcPr>
          <w:p w14:paraId="2CB8D1C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-2.94(0)</w:t>
            </w:r>
          </w:p>
        </w:tc>
        <w:tc>
          <w:tcPr>
            <w:tcW w:w="739" w:type="dxa"/>
            <w:tcBorders>
              <w:top w:val="nil"/>
              <w:bottom w:val="nil"/>
            </w:tcBorders>
            <w:vAlign w:val="center"/>
          </w:tcPr>
          <w:p w14:paraId="4954C50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3" w:type="dxa"/>
            <w:tcBorders>
              <w:top w:val="nil"/>
              <w:bottom w:val="nil"/>
            </w:tcBorders>
            <w:vAlign w:val="center"/>
          </w:tcPr>
          <w:p w14:paraId="5417F33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62.98</w:t>
            </w:r>
          </w:p>
        </w:tc>
        <w:tc>
          <w:tcPr>
            <w:tcW w:w="973" w:type="dxa"/>
            <w:tcBorders>
              <w:top w:val="nil"/>
              <w:bottom w:val="nil"/>
            </w:tcBorders>
            <w:vAlign w:val="center"/>
          </w:tcPr>
          <w:p w14:paraId="35DB468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18.66</w:t>
            </w:r>
          </w:p>
        </w:tc>
      </w:tr>
      <w:tr w:rsidR="006912F6" w:rsidRPr="006912F6" w14:paraId="4EE4DC01" w14:textId="77777777" w:rsidTr="001E39A4">
        <w:trPr>
          <w:trHeight w:val="385"/>
        </w:trPr>
        <w:tc>
          <w:tcPr>
            <w:tcW w:w="1026" w:type="dxa"/>
            <w:vMerge/>
          </w:tcPr>
          <w:p w14:paraId="196EFFB1" w14:textId="77777777" w:rsidR="001B757C" w:rsidRPr="006912F6" w:rsidRDefault="001B757C" w:rsidP="000C4BE5">
            <w:pPr>
              <w:spacing w:before="0" w:line="240" w:lineRule="auto"/>
              <w:rPr>
                <w:rFonts w:asciiTheme="majorHAnsi" w:hAnsiTheme="majorHAnsi" w:cstheme="majorHAnsi"/>
                <w:sz w:val="18"/>
                <w:szCs w:val="20"/>
              </w:rPr>
            </w:pPr>
          </w:p>
        </w:tc>
        <w:tc>
          <w:tcPr>
            <w:tcW w:w="1046" w:type="dxa"/>
            <w:tcBorders>
              <w:top w:val="nil"/>
              <w:bottom w:val="nil"/>
            </w:tcBorders>
            <w:vAlign w:val="center"/>
          </w:tcPr>
          <w:p w14:paraId="5253D8A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883" w:type="dxa"/>
            <w:tcBorders>
              <w:top w:val="nil"/>
              <w:bottom w:val="nil"/>
            </w:tcBorders>
            <w:vAlign w:val="center"/>
          </w:tcPr>
          <w:p w14:paraId="75AB771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67.83</w:t>
            </w:r>
          </w:p>
        </w:tc>
        <w:tc>
          <w:tcPr>
            <w:tcW w:w="973" w:type="dxa"/>
            <w:tcBorders>
              <w:top w:val="nil"/>
              <w:bottom w:val="nil"/>
            </w:tcBorders>
            <w:vAlign w:val="center"/>
          </w:tcPr>
          <w:p w14:paraId="4E04102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15.86</w:t>
            </w:r>
          </w:p>
        </w:tc>
        <w:tc>
          <w:tcPr>
            <w:tcW w:w="739" w:type="dxa"/>
            <w:tcBorders>
              <w:top w:val="nil"/>
              <w:bottom w:val="nil"/>
            </w:tcBorders>
            <w:vAlign w:val="center"/>
          </w:tcPr>
          <w:p w14:paraId="0CEBC87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2037</w:t>
            </w:r>
          </w:p>
        </w:tc>
        <w:tc>
          <w:tcPr>
            <w:tcW w:w="883" w:type="dxa"/>
            <w:tcBorders>
              <w:top w:val="nil"/>
              <w:bottom w:val="nil"/>
            </w:tcBorders>
            <w:vAlign w:val="center"/>
          </w:tcPr>
          <w:p w14:paraId="4C77189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67.83(0)</w:t>
            </w:r>
          </w:p>
        </w:tc>
        <w:tc>
          <w:tcPr>
            <w:tcW w:w="973" w:type="dxa"/>
            <w:tcBorders>
              <w:top w:val="nil"/>
              <w:bottom w:val="nil"/>
            </w:tcBorders>
            <w:vAlign w:val="center"/>
          </w:tcPr>
          <w:p w14:paraId="0FF7F12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-3.23(0)</w:t>
            </w:r>
          </w:p>
        </w:tc>
        <w:tc>
          <w:tcPr>
            <w:tcW w:w="739" w:type="dxa"/>
            <w:tcBorders>
              <w:top w:val="nil"/>
              <w:bottom w:val="nil"/>
            </w:tcBorders>
            <w:vAlign w:val="center"/>
          </w:tcPr>
          <w:p w14:paraId="35EB9F9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3" w:type="dxa"/>
            <w:tcBorders>
              <w:top w:val="nil"/>
              <w:bottom w:val="nil"/>
            </w:tcBorders>
            <w:vAlign w:val="center"/>
          </w:tcPr>
          <w:p w14:paraId="2B563AB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67.83</w:t>
            </w:r>
          </w:p>
        </w:tc>
        <w:tc>
          <w:tcPr>
            <w:tcW w:w="973" w:type="dxa"/>
            <w:tcBorders>
              <w:top w:val="nil"/>
              <w:bottom w:val="nil"/>
            </w:tcBorders>
            <w:vAlign w:val="center"/>
          </w:tcPr>
          <w:p w14:paraId="2616AC8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15.86</w:t>
            </w:r>
          </w:p>
        </w:tc>
      </w:tr>
      <w:tr w:rsidR="006912F6" w:rsidRPr="006912F6" w14:paraId="1D758806" w14:textId="77777777" w:rsidTr="001E39A4">
        <w:trPr>
          <w:trHeight w:val="385"/>
        </w:trPr>
        <w:tc>
          <w:tcPr>
            <w:tcW w:w="1026" w:type="dxa"/>
            <w:vMerge/>
          </w:tcPr>
          <w:p w14:paraId="3CD8F7F7" w14:textId="77777777" w:rsidR="001B757C" w:rsidRPr="006912F6" w:rsidRDefault="001B757C" w:rsidP="000C4BE5">
            <w:pPr>
              <w:spacing w:before="0" w:line="240" w:lineRule="auto"/>
              <w:rPr>
                <w:rFonts w:asciiTheme="majorHAnsi" w:hAnsiTheme="majorHAnsi" w:cstheme="majorHAnsi"/>
                <w:sz w:val="18"/>
                <w:szCs w:val="20"/>
              </w:rPr>
            </w:pPr>
          </w:p>
        </w:tc>
        <w:tc>
          <w:tcPr>
            <w:tcW w:w="1046" w:type="dxa"/>
            <w:tcBorders>
              <w:top w:val="nil"/>
              <w:bottom w:val="single" w:sz="4" w:space="0" w:color="auto"/>
            </w:tcBorders>
            <w:vAlign w:val="center"/>
          </w:tcPr>
          <w:p w14:paraId="6AADA44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883" w:type="dxa"/>
            <w:tcBorders>
              <w:top w:val="nil"/>
              <w:bottom w:val="single" w:sz="4" w:space="0" w:color="auto"/>
            </w:tcBorders>
            <w:vAlign w:val="center"/>
          </w:tcPr>
          <w:p w14:paraId="2283568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72.68</w:t>
            </w:r>
          </w:p>
        </w:tc>
        <w:tc>
          <w:tcPr>
            <w:tcW w:w="973" w:type="dxa"/>
            <w:tcBorders>
              <w:top w:val="nil"/>
              <w:bottom w:val="single" w:sz="4" w:space="0" w:color="auto"/>
            </w:tcBorders>
            <w:vAlign w:val="center"/>
          </w:tcPr>
          <w:p w14:paraId="239BA87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13.70</w:t>
            </w:r>
          </w:p>
        </w:tc>
        <w:tc>
          <w:tcPr>
            <w:tcW w:w="739" w:type="dxa"/>
            <w:tcBorders>
              <w:top w:val="nil"/>
              <w:bottom w:val="single" w:sz="4" w:space="0" w:color="auto"/>
            </w:tcBorders>
            <w:vAlign w:val="center"/>
          </w:tcPr>
          <w:p w14:paraId="259A261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2042</w:t>
            </w:r>
          </w:p>
        </w:tc>
        <w:tc>
          <w:tcPr>
            <w:tcW w:w="883" w:type="dxa"/>
            <w:tcBorders>
              <w:top w:val="nil"/>
              <w:bottom w:val="single" w:sz="4" w:space="0" w:color="auto"/>
            </w:tcBorders>
            <w:vAlign w:val="center"/>
          </w:tcPr>
          <w:p w14:paraId="25B3D97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72.68(0)</w:t>
            </w:r>
          </w:p>
        </w:tc>
        <w:tc>
          <w:tcPr>
            <w:tcW w:w="973" w:type="dxa"/>
            <w:tcBorders>
              <w:top w:val="nil"/>
              <w:bottom w:val="single" w:sz="4" w:space="0" w:color="auto"/>
            </w:tcBorders>
            <w:vAlign w:val="center"/>
          </w:tcPr>
          <w:p w14:paraId="7FAA319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-3.50(0)</w:t>
            </w:r>
          </w:p>
        </w:tc>
        <w:tc>
          <w:tcPr>
            <w:tcW w:w="739" w:type="dxa"/>
            <w:tcBorders>
              <w:top w:val="nil"/>
              <w:bottom w:val="single" w:sz="4" w:space="0" w:color="auto"/>
            </w:tcBorders>
            <w:vAlign w:val="center"/>
          </w:tcPr>
          <w:p w14:paraId="3F3CA69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3" w:type="dxa"/>
            <w:tcBorders>
              <w:top w:val="nil"/>
              <w:bottom w:val="single" w:sz="4" w:space="0" w:color="auto"/>
            </w:tcBorders>
            <w:vAlign w:val="center"/>
          </w:tcPr>
          <w:p w14:paraId="14D01F7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72.68</w:t>
            </w:r>
          </w:p>
        </w:tc>
        <w:tc>
          <w:tcPr>
            <w:tcW w:w="973" w:type="dxa"/>
            <w:tcBorders>
              <w:top w:val="nil"/>
              <w:bottom w:val="single" w:sz="4" w:space="0" w:color="auto"/>
            </w:tcBorders>
            <w:vAlign w:val="center"/>
          </w:tcPr>
          <w:p w14:paraId="0F53D09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13.70</w:t>
            </w:r>
          </w:p>
        </w:tc>
      </w:tr>
      <w:tr w:rsidR="006912F6" w:rsidRPr="006912F6" w14:paraId="5F9B9C74" w14:textId="77777777" w:rsidTr="001E39A4">
        <w:trPr>
          <w:trHeight w:val="385"/>
        </w:trPr>
        <w:tc>
          <w:tcPr>
            <w:tcW w:w="1026" w:type="dxa"/>
            <w:vMerge w:val="restart"/>
            <w:vAlign w:val="center"/>
          </w:tcPr>
          <w:p w14:paraId="40F001E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 xml:space="preserve">Historical </w:t>
            </w:r>
          </w:p>
          <w:p w14:paraId="5284FB5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Trend</w:t>
            </w:r>
          </w:p>
        </w:tc>
        <w:tc>
          <w:tcPr>
            <w:tcW w:w="1046" w:type="dxa"/>
            <w:tcBorders>
              <w:bottom w:val="nil"/>
            </w:tcBorders>
            <w:vAlign w:val="center"/>
          </w:tcPr>
          <w:p w14:paraId="52AA1F7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883" w:type="dxa"/>
            <w:tcBorders>
              <w:bottom w:val="nil"/>
            </w:tcBorders>
            <w:vAlign w:val="center"/>
          </w:tcPr>
          <w:p w14:paraId="6385747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58.14</w:t>
            </w:r>
          </w:p>
        </w:tc>
        <w:tc>
          <w:tcPr>
            <w:tcW w:w="973" w:type="dxa"/>
            <w:tcBorders>
              <w:bottom w:val="nil"/>
            </w:tcBorders>
            <w:vAlign w:val="center"/>
          </w:tcPr>
          <w:p w14:paraId="11D2C6F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1.89</w:t>
            </w:r>
          </w:p>
        </w:tc>
        <w:tc>
          <w:tcPr>
            <w:tcW w:w="739" w:type="dxa"/>
            <w:tcBorders>
              <w:bottom w:val="nil"/>
            </w:tcBorders>
            <w:vAlign w:val="center"/>
          </w:tcPr>
          <w:p w14:paraId="5E27A64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2067</w:t>
            </w:r>
          </w:p>
        </w:tc>
        <w:tc>
          <w:tcPr>
            <w:tcW w:w="883" w:type="dxa"/>
            <w:tcBorders>
              <w:bottom w:val="nil"/>
            </w:tcBorders>
            <w:vAlign w:val="center"/>
          </w:tcPr>
          <w:p w14:paraId="3221F21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58.14(0)</w:t>
            </w:r>
          </w:p>
        </w:tc>
        <w:tc>
          <w:tcPr>
            <w:tcW w:w="973" w:type="dxa"/>
            <w:tcBorders>
              <w:bottom w:val="nil"/>
            </w:tcBorders>
            <w:vAlign w:val="center"/>
          </w:tcPr>
          <w:p w14:paraId="5B522EF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-3.23(0)</w:t>
            </w:r>
          </w:p>
        </w:tc>
        <w:tc>
          <w:tcPr>
            <w:tcW w:w="739" w:type="dxa"/>
            <w:tcBorders>
              <w:bottom w:val="nil"/>
            </w:tcBorders>
            <w:vAlign w:val="center"/>
          </w:tcPr>
          <w:p w14:paraId="7AE0407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3" w:type="dxa"/>
            <w:tcBorders>
              <w:bottom w:val="nil"/>
            </w:tcBorders>
            <w:vAlign w:val="center"/>
          </w:tcPr>
          <w:p w14:paraId="0816492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58.14</w:t>
            </w:r>
          </w:p>
        </w:tc>
        <w:tc>
          <w:tcPr>
            <w:tcW w:w="973" w:type="dxa"/>
            <w:tcBorders>
              <w:bottom w:val="nil"/>
            </w:tcBorders>
            <w:vAlign w:val="center"/>
          </w:tcPr>
          <w:p w14:paraId="5A007BD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1.89</w:t>
            </w:r>
          </w:p>
        </w:tc>
      </w:tr>
      <w:tr w:rsidR="006912F6" w:rsidRPr="006912F6" w14:paraId="432A1576" w14:textId="77777777" w:rsidTr="001E39A4">
        <w:trPr>
          <w:trHeight w:val="385"/>
        </w:trPr>
        <w:tc>
          <w:tcPr>
            <w:tcW w:w="1026" w:type="dxa"/>
            <w:vMerge/>
          </w:tcPr>
          <w:p w14:paraId="6FCDF491" w14:textId="77777777" w:rsidR="001B757C" w:rsidRPr="006912F6" w:rsidRDefault="001B757C" w:rsidP="000C4BE5">
            <w:pPr>
              <w:spacing w:before="0" w:line="240" w:lineRule="auto"/>
              <w:rPr>
                <w:rFonts w:asciiTheme="majorHAnsi" w:hAnsiTheme="majorHAnsi" w:cstheme="majorHAnsi"/>
                <w:sz w:val="18"/>
                <w:szCs w:val="20"/>
              </w:rPr>
            </w:pPr>
          </w:p>
        </w:tc>
        <w:tc>
          <w:tcPr>
            <w:tcW w:w="1046" w:type="dxa"/>
            <w:tcBorders>
              <w:top w:val="nil"/>
              <w:bottom w:val="nil"/>
            </w:tcBorders>
            <w:vAlign w:val="center"/>
          </w:tcPr>
          <w:p w14:paraId="4B2C442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883" w:type="dxa"/>
            <w:tcBorders>
              <w:top w:val="nil"/>
              <w:bottom w:val="nil"/>
            </w:tcBorders>
            <w:vAlign w:val="center"/>
          </w:tcPr>
          <w:p w14:paraId="7C3E7DB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62.98</w:t>
            </w:r>
          </w:p>
        </w:tc>
        <w:tc>
          <w:tcPr>
            <w:tcW w:w="973" w:type="dxa"/>
            <w:tcBorders>
              <w:top w:val="nil"/>
              <w:bottom w:val="nil"/>
            </w:tcBorders>
            <w:vAlign w:val="center"/>
          </w:tcPr>
          <w:p w14:paraId="046A3D5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1.26</w:t>
            </w:r>
          </w:p>
        </w:tc>
        <w:tc>
          <w:tcPr>
            <w:tcW w:w="739" w:type="dxa"/>
            <w:tcBorders>
              <w:top w:val="nil"/>
              <w:bottom w:val="nil"/>
            </w:tcBorders>
            <w:vAlign w:val="center"/>
          </w:tcPr>
          <w:p w14:paraId="7ABED98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2018</w:t>
            </w:r>
          </w:p>
        </w:tc>
        <w:tc>
          <w:tcPr>
            <w:tcW w:w="883" w:type="dxa"/>
            <w:tcBorders>
              <w:top w:val="nil"/>
              <w:bottom w:val="nil"/>
            </w:tcBorders>
            <w:vAlign w:val="center"/>
          </w:tcPr>
          <w:p w14:paraId="06AC54C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62.98(0)</w:t>
            </w:r>
          </w:p>
        </w:tc>
        <w:tc>
          <w:tcPr>
            <w:tcW w:w="973" w:type="dxa"/>
            <w:tcBorders>
              <w:top w:val="nil"/>
              <w:bottom w:val="nil"/>
            </w:tcBorders>
            <w:vAlign w:val="center"/>
          </w:tcPr>
          <w:p w14:paraId="1C3E3C6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-3.48(0)</w:t>
            </w:r>
          </w:p>
        </w:tc>
        <w:tc>
          <w:tcPr>
            <w:tcW w:w="739" w:type="dxa"/>
            <w:tcBorders>
              <w:top w:val="nil"/>
              <w:bottom w:val="nil"/>
            </w:tcBorders>
            <w:vAlign w:val="center"/>
          </w:tcPr>
          <w:p w14:paraId="1A9F0B0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3" w:type="dxa"/>
            <w:tcBorders>
              <w:top w:val="nil"/>
              <w:bottom w:val="nil"/>
            </w:tcBorders>
            <w:vAlign w:val="center"/>
          </w:tcPr>
          <w:p w14:paraId="6277422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62.98</w:t>
            </w:r>
          </w:p>
        </w:tc>
        <w:tc>
          <w:tcPr>
            <w:tcW w:w="973" w:type="dxa"/>
            <w:tcBorders>
              <w:top w:val="nil"/>
              <w:bottom w:val="nil"/>
            </w:tcBorders>
            <w:vAlign w:val="center"/>
          </w:tcPr>
          <w:p w14:paraId="1431522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1.26</w:t>
            </w:r>
          </w:p>
        </w:tc>
      </w:tr>
      <w:tr w:rsidR="006912F6" w:rsidRPr="006912F6" w14:paraId="298006A6" w14:textId="77777777" w:rsidTr="001E39A4">
        <w:trPr>
          <w:trHeight w:val="385"/>
        </w:trPr>
        <w:tc>
          <w:tcPr>
            <w:tcW w:w="1026" w:type="dxa"/>
            <w:vMerge/>
          </w:tcPr>
          <w:p w14:paraId="4086218A" w14:textId="77777777" w:rsidR="001B757C" w:rsidRPr="006912F6" w:rsidRDefault="001B757C" w:rsidP="000C4BE5">
            <w:pPr>
              <w:spacing w:before="0" w:line="240" w:lineRule="auto"/>
              <w:rPr>
                <w:rFonts w:asciiTheme="majorHAnsi" w:hAnsiTheme="majorHAnsi" w:cstheme="majorHAnsi"/>
                <w:sz w:val="18"/>
                <w:szCs w:val="20"/>
              </w:rPr>
            </w:pPr>
          </w:p>
        </w:tc>
        <w:tc>
          <w:tcPr>
            <w:tcW w:w="1046" w:type="dxa"/>
            <w:tcBorders>
              <w:top w:val="nil"/>
              <w:bottom w:val="nil"/>
            </w:tcBorders>
            <w:vAlign w:val="center"/>
          </w:tcPr>
          <w:p w14:paraId="74C1848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883" w:type="dxa"/>
            <w:tcBorders>
              <w:top w:val="nil"/>
              <w:bottom w:val="nil"/>
            </w:tcBorders>
            <w:vAlign w:val="center"/>
          </w:tcPr>
          <w:p w14:paraId="3F05D6E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67.83</w:t>
            </w:r>
          </w:p>
        </w:tc>
        <w:tc>
          <w:tcPr>
            <w:tcW w:w="973" w:type="dxa"/>
            <w:tcBorders>
              <w:top w:val="nil"/>
              <w:bottom w:val="nil"/>
            </w:tcBorders>
            <w:vAlign w:val="center"/>
          </w:tcPr>
          <w:p w14:paraId="5E124E0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0.77</w:t>
            </w:r>
          </w:p>
        </w:tc>
        <w:tc>
          <w:tcPr>
            <w:tcW w:w="739" w:type="dxa"/>
            <w:tcBorders>
              <w:top w:val="nil"/>
              <w:bottom w:val="nil"/>
            </w:tcBorders>
            <w:vAlign w:val="center"/>
          </w:tcPr>
          <w:p w14:paraId="7F487B3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2092</w:t>
            </w:r>
          </w:p>
        </w:tc>
        <w:tc>
          <w:tcPr>
            <w:tcW w:w="883" w:type="dxa"/>
            <w:tcBorders>
              <w:top w:val="nil"/>
              <w:bottom w:val="nil"/>
            </w:tcBorders>
            <w:vAlign w:val="center"/>
          </w:tcPr>
          <w:p w14:paraId="1AAD00C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67.83(0)</w:t>
            </w:r>
          </w:p>
        </w:tc>
        <w:tc>
          <w:tcPr>
            <w:tcW w:w="973" w:type="dxa"/>
            <w:tcBorders>
              <w:top w:val="nil"/>
              <w:bottom w:val="nil"/>
            </w:tcBorders>
            <w:vAlign w:val="center"/>
          </w:tcPr>
          <w:p w14:paraId="7A035A2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-3.77(0)</w:t>
            </w:r>
          </w:p>
        </w:tc>
        <w:tc>
          <w:tcPr>
            <w:tcW w:w="739" w:type="dxa"/>
            <w:tcBorders>
              <w:top w:val="nil"/>
              <w:bottom w:val="nil"/>
            </w:tcBorders>
            <w:vAlign w:val="center"/>
          </w:tcPr>
          <w:p w14:paraId="6DA6B38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3" w:type="dxa"/>
            <w:tcBorders>
              <w:top w:val="nil"/>
              <w:bottom w:val="nil"/>
            </w:tcBorders>
            <w:vAlign w:val="center"/>
          </w:tcPr>
          <w:p w14:paraId="2F41492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67.83</w:t>
            </w:r>
          </w:p>
        </w:tc>
        <w:tc>
          <w:tcPr>
            <w:tcW w:w="973" w:type="dxa"/>
            <w:tcBorders>
              <w:top w:val="nil"/>
              <w:bottom w:val="nil"/>
            </w:tcBorders>
            <w:vAlign w:val="center"/>
          </w:tcPr>
          <w:p w14:paraId="76A16A8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0.77</w:t>
            </w:r>
          </w:p>
        </w:tc>
      </w:tr>
      <w:tr w:rsidR="006912F6" w:rsidRPr="006912F6" w14:paraId="3EB08531" w14:textId="77777777" w:rsidTr="001E39A4">
        <w:trPr>
          <w:trHeight w:val="385"/>
        </w:trPr>
        <w:tc>
          <w:tcPr>
            <w:tcW w:w="1026" w:type="dxa"/>
            <w:vMerge/>
          </w:tcPr>
          <w:p w14:paraId="2F8BC6E0" w14:textId="77777777" w:rsidR="001B757C" w:rsidRPr="006912F6" w:rsidRDefault="001B757C" w:rsidP="000C4BE5">
            <w:pPr>
              <w:spacing w:before="0" w:line="240" w:lineRule="auto"/>
              <w:rPr>
                <w:rFonts w:asciiTheme="majorHAnsi" w:hAnsiTheme="majorHAnsi" w:cstheme="majorHAnsi"/>
                <w:sz w:val="18"/>
                <w:szCs w:val="20"/>
              </w:rPr>
            </w:pPr>
          </w:p>
        </w:tc>
        <w:tc>
          <w:tcPr>
            <w:tcW w:w="1046" w:type="dxa"/>
            <w:tcBorders>
              <w:top w:val="nil"/>
            </w:tcBorders>
            <w:vAlign w:val="center"/>
          </w:tcPr>
          <w:p w14:paraId="20595E8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883" w:type="dxa"/>
            <w:tcBorders>
              <w:top w:val="nil"/>
            </w:tcBorders>
            <w:vAlign w:val="center"/>
          </w:tcPr>
          <w:p w14:paraId="1F8C7B7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72.68</w:t>
            </w:r>
          </w:p>
        </w:tc>
        <w:tc>
          <w:tcPr>
            <w:tcW w:w="973" w:type="dxa"/>
            <w:tcBorders>
              <w:top w:val="nil"/>
            </w:tcBorders>
            <w:vAlign w:val="center"/>
          </w:tcPr>
          <w:p w14:paraId="6B69924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0.47</w:t>
            </w:r>
          </w:p>
        </w:tc>
        <w:tc>
          <w:tcPr>
            <w:tcW w:w="739" w:type="dxa"/>
            <w:tcBorders>
              <w:top w:val="nil"/>
            </w:tcBorders>
            <w:vAlign w:val="center"/>
          </w:tcPr>
          <w:p w14:paraId="4C1E301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2100</w:t>
            </w:r>
          </w:p>
        </w:tc>
        <w:tc>
          <w:tcPr>
            <w:tcW w:w="883" w:type="dxa"/>
            <w:tcBorders>
              <w:top w:val="nil"/>
            </w:tcBorders>
            <w:vAlign w:val="center"/>
          </w:tcPr>
          <w:p w14:paraId="3D2700E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72.68(0)</w:t>
            </w:r>
          </w:p>
        </w:tc>
        <w:tc>
          <w:tcPr>
            <w:tcW w:w="973" w:type="dxa"/>
            <w:tcBorders>
              <w:top w:val="nil"/>
            </w:tcBorders>
            <w:vAlign w:val="center"/>
          </w:tcPr>
          <w:p w14:paraId="1C595F2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-4.04(0)</w:t>
            </w:r>
          </w:p>
        </w:tc>
        <w:tc>
          <w:tcPr>
            <w:tcW w:w="739" w:type="dxa"/>
            <w:tcBorders>
              <w:top w:val="nil"/>
            </w:tcBorders>
            <w:vAlign w:val="center"/>
          </w:tcPr>
          <w:p w14:paraId="2BA4237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w:t>
            </w:r>
          </w:p>
        </w:tc>
        <w:tc>
          <w:tcPr>
            <w:tcW w:w="883" w:type="dxa"/>
            <w:tcBorders>
              <w:top w:val="nil"/>
            </w:tcBorders>
            <w:vAlign w:val="center"/>
          </w:tcPr>
          <w:p w14:paraId="52F1BDA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72.68</w:t>
            </w:r>
          </w:p>
        </w:tc>
        <w:tc>
          <w:tcPr>
            <w:tcW w:w="973" w:type="dxa"/>
            <w:tcBorders>
              <w:top w:val="nil"/>
            </w:tcBorders>
            <w:vAlign w:val="center"/>
          </w:tcPr>
          <w:p w14:paraId="1F05DB0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0.47</w:t>
            </w:r>
          </w:p>
        </w:tc>
      </w:tr>
    </w:tbl>
    <w:p w14:paraId="14F286FD" w14:textId="4E807A33" w:rsidR="001B757C" w:rsidRPr="006912F6" w:rsidRDefault="001B757C" w:rsidP="001B757C"/>
    <w:bookmarkStart w:id="717" w:name="_Ref520601635"/>
    <w:p w14:paraId="722BE103" w14:textId="79F9D22C" w:rsidR="00507710" w:rsidRPr="006912F6" w:rsidRDefault="003C7583" w:rsidP="001E39A4">
      <w:pPr>
        <w:pStyle w:val="2"/>
        <w:numPr>
          <w:ilvl w:val="0"/>
          <w:numId w:val="12"/>
        </w:numPr>
        <w:spacing w:line="480" w:lineRule="auto"/>
        <w:rPr>
          <w:b w:val="0"/>
          <w:bCs/>
          <w:color w:val="auto"/>
          <w:sz w:val="20"/>
          <w:szCs w:val="22"/>
        </w:rPr>
      </w:pPr>
      <m:oMath>
        <m:sSub>
          <m:sSubPr>
            <m:ctrlPr>
              <w:rPr>
                <w:rFonts w:ascii="Cambria Math" w:hAnsi="Cambria Math"/>
                <w:b w:val="0"/>
                <w:bCs/>
                <w:color w:val="auto"/>
                <w:sz w:val="20"/>
                <w:szCs w:val="22"/>
              </w:rPr>
            </m:ctrlPr>
          </m:sSubPr>
          <m:e>
            <m:r>
              <m:rPr>
                <m:sty m:val="bi"/>
              </m:rPr>
              <w:rPr>
                <w:rFonts w:ascii="Cambria Math" w:hAnsi="Cambria Math"/>
                <w:color w:val="auto"/>
                <w:sz w:val="20"/>
                <w:szCs w:val="22"/>
              </w:rPr>
              <m:t>U</m:t>
            </m:r>
          </m:e>
          <m:sub>
            <m:r>
              <m:rPr>
                <m:sty m:val="bi"/>
              </m:rPr>
              <w:rPr>
                <w:rFonts w:ascii="Cambria Math" w:hAnsi="Cambria Math"/>
                <w:color w:val="auto"/>
                <w:sz w:val="20"/>
                <w:szCs w:val="22"/>
              </w:rPr>
              <m:t>c</m:t>
            </m:r>
            <m:r>
              <m:rPr>
                <m:sty m:val="b"/>
              </m:rPr>
              <w:rPr>
                <w:rFonts w:ascii="Cambria Math" w:hAnsi="Cambria Math" w:hint="eastAsia"/>
                <w:color w:val="auto"/>
                <w:sz w:val="20"/>
                <w:szCs w:val="22"/>
              </w:rPr>
              <m:t>→</m:t>
            </m:r>
            <m:r>
              <m:rPr>
                <m:sty m:val="b"/>
              </m:rPr>
              <w:rPr>
                <w:rFonts w:ascii="Cambria Math" w:hAnsi="Cambria Math"/>
                <w:color w:val="auto"/>
                <w:sz w:val="20"/>
                <w:szCs w:val="22"/>
              </w:rPr>
              <m:t>3.0</m:t>
            </m:r>
            <m:r>
              <m:rPr>
                <m:sty m:val="bi"/>
              </m:rPr>
              <w:rPr>
                <w:rFonts w:ascii="Cambria Math" w:hAnsi="Cambria Math"/>
                <w:color w:val="auto"/>
                <w:sz w:val="20"/>
                <w:szCs w:val="22"/>
              </w:rPr>
              <m:t>m</m:t>
            </m:r>
          </m:sub>
        </m:sSub>
        <m:r>
          <m:rPr>
            <m:sty m:val="b"/>
          </m:rPr>
          <w:rPr>
            <w:rFonts w:ascii="Cambria Math" w:hAnsi="Cambria Math"/>
            <w:color w:val="auto"/>
            <w:sz w:val="20"/>
            <w:szCs w:val="22"/>
          </w:rPr>
          <m:t>*</m:t>
        </m:r>
        <m:sSub>
          <m:sSubPr>
            <m:ctrlPr>
              <w:rPr>
                <w:rFonts w:ascii="Cambria Math" w:hAnsi="Cambria Math"/>
                <w:b w:val="0"/>
                <w:bCs/>
                <w:color w:val="auto"/>
                <w:sz w:val="20"/>
                <w:szCs w:val="22"/>
              </w:rPr>
            </m:ctrlPr>
          </m:sSubPr>
          <m:e>
            <m:r>
              <m:rPr>
                <m:sty m:val="bi"/>
              </m:rPr>
              <w:rPr>
                <w:rFonts w:ascii="Cambria Math" w:hAnsi="Cambria Math"/>
                <w:color w:val="auto"/>
                <w:sz w:val="20"/>
                <w:szCs w:val="22"/>
              </w:rPr>
              <m:t>U</m:t>
            </m:r>
          </m:e>
          <m:sub>
            <m:r>
              <m:rPr>
                <m:sty m:val="b"/>
              </m:rPr>
              <w:rPr>
                <w:rFonts w:ascii="Cambria Math" w:hAnsi="Cambria Math"/>
                <w:color w:val="auto"/>
                <w:sz w:val="20"/>
                <w:szCs w:val="22"/>
              </w:rPr>
              <m:t>3.0</m:t>
            </m:r>
            <m:r>
              <m:rPr>
                <m:sty m:val="bi"/>
              </m:rPr>
              <w:rPr>
                <w:rFonts w:ascii="Cambria Math" w:hAnsi="Cambria Math"/>
                <w:color w:val="auto"/>
                <w:sz w:val="20"/>
                <w:szCs w:val="22"/>
              </w:rPr>
              <m:t>m</m:t>
            </m:r>
            <m:r>
              <m:rPr>
                <m:sty m:val="b"/>
              </m:rPr>
              <w:rPr>
                <w:rFonts w:ascii="Cambria Math" w:hAnsi="Cambria Math" w:hint="eastAsia"/>
                <w:color w:val="auto"/>
                <w:sz w:val="20"/>
                <w:szCs w:val="22"/>
              </w:rPr>
              <m:t>→</m:t>
            </m:r>
            <m:r>
              <m:rPr>
                <m:sty m:val="b"/>
              </m:rPr>
              <w:rPr>
                <w:rFonts w:ascii="Cambria Math" w:hAnsi="Cambria Math"/>
                <w:color w:val="auto"/>
                <w:sz w:val="20"/>
                <w:szCs w:val="22"/>
              </w:rPr>
              <m:t>3.5</m:t>
            </m:r>
            <m:r>
              <m:rPr>
                <m:sty m:val="bi"/>
              </m:rPr>
              <w:rPr>
                <w:rFonts w:ascii="Cambria Math" w:hAnsi="Cambria Math"/>
                <w:color w:val="auto"/>
                <w:sz w:val="20"/>
                <w:szCs w:val="22"/>
              </w:rPr>
              <m:t>m</m:t>
            </m:r>
          </m:sub>
        </m:sSub>
        <m:r>
          <m:rPr>
            <m:sty m:val="b"/>
          </m:rPr>
          <w:rPr>
            <w:rFonts w:ascii="Cambria Math" w:hAnsi="Cambria Math"/>
            <w:color w:val="auto"/>
            <w:sz w:val="20"/>
            <w:szCs w:val="22"/>
          </w:rPr>
          <m:t>*</m:t>
        </m:r>
        <m:sSub>
          <m:sSubPr>
            <m:ctrlPr>
              <w:rPr>
                <w:rFonts w:ascii="Cambria Math" w:hAnsi="Cambria Math"/>
                <w:b w:val="0"/>
                <w:bCs/>
                <w:color w:val="auto"/>
                <w:sz w:val="20"/>
                <w:szCs w:val="22"/>
              </w:rPr>
            </m:ctrlPr>
          </m:sSubPr>
          <m:e>
            <m:r>
              <m:rPr>
                <m:sty m:val="bi"/>
              </m:rPr>
              <w:rPr>
                <w:rFonts w:ascii="Cambria Math" w:hAnsi="Cambria Math"/>
                <w:color w:val="auto"/>
                <w:sz w:val="20"/>
                <w:szCs w:val="22"/>
              </w:rPr>
              <m:t>U</m:t>
            </m:r>
          </m:e>
          <m:sub>
            <m:r>
              <m:rPr>
                <m:sty m:val="b"/>
              </m:rPr>
              <w:rPr>
                <w:rFonts w:ascii="Cambria Math" w:hAnsi="Cambria Math"/>
                <w:color w:val="auto"/>
                <w:sz w:val="20"/>
                <w:szCs w:val="22"/>
              </w:rPr>
              <m:t>3.5</m:t>
            </m:r>
            <m:r>
              <m:rPr>
                <m:sty m:val="bi"/>
              </m:rPr>
              <w:rPr>
                <w:rFonts w:ascii="Cambria Math" w:hAnsi="Cambria Math"/>
                <w:color w:val="auto"/>
                <w:sz w:val="20"/>
                <w:szCs w:val="22"/>
              </w:rPr>
              <m:t>m</m:t>
            </m:r>
            <m:r>
              <m:rPr>
                <m:sty m:val="b"/>
              </m:rPr>
              <w:rPr>
                <w:rFonts w:ascii="Cambria Math" w:hAnsi="Cambria Math" w:hint="eastAsia"/>
                <w:color w:val="auto"/>
                <w:sz w:val="20"/>
                <w:szCs w:val="22"/>
              </w:rPr>
              <m:t>→</m:t>
            </m:r>
            <m:r>
              <m:rPr>
                <m:sty m:val="b"/>
              </m:rPr>
              <w:rPr>
                <w:rFonts w:ascii="Cambria Math" w:hAnsi="Cambria Math"/>
                <w:color w:val="auto"/>
                <w:sz w:val="20"/>
                <w:szCs w:val="22"/>
              </w:rPr>
              <m:t>4.0</m:t>
            </m:r>
            <m:r>
              <m:rPr>
                <m:sty m:val="bi"/>
              </m:rPr>
              <w:rPr>
                <w:rFonts w:ascii="Cambria Math" w:hAnsi="Cambria Math"/>
                <w:color w:val="auto"/>
                <w:sz w:val="20"/>
                <w:szCs w:val="22"/>
              </w:rPr>
              <m:t>m</m:t>
            </m:r>
          </m:sub>
        </m:sSub>
      </m:oMath>
      <w:bookmarkEnd w:id="717"/>
    </w:p>
    <w:p w14:paraId="18642F3F" w14:textId="06D2F4F0" w:rsidR="00507710" w:rsidRPr="006912F6" w:rsidRDefault="00507710" w:rsidP="00D1263A">
      <w:pPr>
        <w:jc w:val="both"/>
        <w:rPr>
          <w:rFonts w:cs="Times New Roman"/>
          <w:sz w:val="20"/>
          <w:szCs w:val="18"/>
        </w:rPr>
      </w:pPr>
      <w:r w:rsidRPr="006912F6">
        <w:rPr>
          <w:rFonts w:cs="Times New Roman"/>
          <w:sz w:val="20"/>
          <w:szCs w:val="18"/>
        </w:rPr>
        <w:t>A three-stage adaptation option gives more flexible paths that decision-makers can take in response to sea-level rise than one- or two- stage adaptation. This adaptation path is also more robust against the risk of coastal flooding and future uncertainty. However, the three-stage adaptation option requires more cost of flexibility than the two-stage adaptation option due to the high degree of flexibility. To create three-stage adaptation path (</w:t>
      </w:r>
      <m:oMath>
        <m:sSub>
          <m:sSubPr>
            <m:ctrlPr>
              <w:rPr>
                <w:rFonts w:ascii="Cambria Math" w:hAnsi="Cambria Math"/>
                <w:sz w:val="20"/>
              </w:rPr>
            </m:ctrlPr>
          </m:sSubPr>
          <m:e>
            <m:r>
              <w:rPr>
                <w:rFonts w:ascii="Cambria Math" w:hAnsi="Cambria Math"/>
                <w:sz w:val="20"/>
              </w:rPr>
              <m:t>U</m:t>
            </m:r>
          </m:e>
          <m:sub>
            <m:r>
              <w:rPr>
                <w:rFonts w:ascii="Cambria Math" w:hAnsi="Cambria Math"/>
                <w:sz w:val="20"/>
              </w:rPr>
              <m:t>c</m:t>
            </m:r>
            <m:r>
              <m:rPr>
                <m:sty m:val="p"/>
              </m:rPr>
              <w:rPr>
                <w:rFonts w:ascii="Cambria Math" w:hAnsi="Cambria Math" w:hint="eastAsia"/>
                <w:sz w:val="20"/>
              </w:rPr>
              <m:t>→</m:t>
            </m:r>
            <m:r>
              <m:rPr>
                <m:sty m:val="p"/>
              </m:rPr>
              <w:rPr>
                <w:rFonts w:ascii="Cambria Math" w:hAnsi="Cambria Math"/>
                <w:sz w:val="20"/>
              </w:rPr>
              <m:t>3.0</m:t>
            </m:r>
            <m:r>
              <w:rPr>
                <w:rFonts w:ascii="Cambria Math" w:hAnsi="Cambria Math"/>
                <w:sz w:val="20"/>
              </w:rPr>
              <m:t>m</m:t>
            </m:r>
          </m:sub>
        </m:sSub>
        <m:r>
          <m:rPr>
            <m:sty m:val="p"/>
          </m:rPr>
          <w:rPr>
            <w:rFonts w:ascii="Cambria Math" w:hAnsi="Cambria Math"/>
            <w:sz w:val="20"/>
          </w:rPr>
          <m:t>*</m:t>
        </m:r>
        <m:sSub>
          <m:sSubPr>
            <m:ctrlPr>
              <w:rPr>
                <w:rFonts w:ascii="Cambria Math" w:hAnsi="Cambria Math"/>
                <w:sz w:val="20"/>
              </w:rPr>
            </m:ctrlPr>
          </m:sSubPr>
          <m:e>
            <m:r>
              <w:rPr>
                <w:rFonts w:ascii="Cambria Math" w:hAnsi="Cambria Math"/>
                <w:sz w:val="20"/>
              </w:rPr>
              <m:t>U</m:t>
            </m:r>
          </m:e>
          <m:sub>
            <m:r>
              <m:rPr>
                <m:sty m:val="p"/>
              </m:rPr>
              <w:rPr>
                <w:rFonts w:ascii="Cambria Math" w:hAnsi="Cambria Math"/>
                <w:sz w:val="20"/>
              </w:rPr>
              <m:t>3.0</m:t>
            </m:r>
            <m:r>
              <w:rPr>
                <w:rFonts w:ascii="Cambria Math" w:hAnsi="Cambria Math"/>
                <w:sz w:val="20"/>
              </w:rPr>
              <m:t>m</m:t>
            </m:r>
            <m:r>
              <m:rPr>
                <m:sty m:val="p"/>
              </m:rPr>
              <w:rPr>
                <w:rFonts w:ascii="Cambria Math" w:hAnsi="Cambria Math" w:hint="eastAsia"/>
                <w:sz w:val="20"/>
              </w:rPr>
              <m:t>→</m:t>
            </m:r>
            <m:r>
              <m:rPr>
                <m:sty m:val="p"/>
              </m:rPr>
              <w:rPr>
                <w:rFonts w:ascii="Cambria Math" w:hAnsi="Cambria Math"/>
                <w:sz w:val="20"/>
              </w:rPr>
              <m:t>3.5</m:t>
            </m:r>
            <m:r>
              <w:rPr>
                <w:rFonts w:ascii="Cambria Math" w:hAnsi="Cambria Math"/>
                <w:sz w:val="20"/>
              </w:rPr>
              <m:t>m</m:t>
            </m:r>
          </m:sub>
        </m:sSub>
        <m:r>
          <m:rPr>
            <m:sty m:val="p"/>
          </m:rPr>
          <w:rPr>
            <w:rFonts w:ascii="Cambria Math" w:hAnsi="Cambria Math"/>
            <w:sz w:val="20"/>
          </w:rPr>
          <m:t>*</m:t>
        </m:r>
        <m:sSub>
          <m:sSubPr>
            <m:ctrlPr>
              <w:rPr>
                <w:rFonts w:ascii="Cambria Math" w:hAnsi="Cambria Math"/>
                <w:sz w:val="20"/>
              </w:rPr>
            </m:ctrlPr>
          </m:sSubPr>
          <m:e>
            <m:r>
              <w:rPr>
                <w:rFonts w:ascii="Cambria Math" w:hAnsi="Cambria Math"/>
                <w:sz w:val="20"/>
              </w:rPr>
              <m:t>U</m:t>
            </m:r>
          </m:e>
          <m:sub>
            <m:r>
              <m:rPr>
                <m:sty m:val="p"/>
              </m:rPr>
              <w:rPr>
                <w:rFonts w:ascii="Cambria Math" w:hAnsi="Cambria Math"/>
                <w:sz w:val="20"/>
              </w:rPr>
              <m:t>3.5</m:t>
            </m:r>
            <m:r>
              <w:rPr>
                <w:rFonts w:ascii="Cambria Math" w:hAnsi="Cambria Math"/>
                <w:sz w:val="20"/>
              </w:rPr>
              <m:t>m</m:t>
            </m:r>
            <m:r>
              <m:rPr>
                <m:sty m:val="p"/>
              </m:rPr>
              <w:rPr>
                <w:rFonts w:ascii="Cambria Math" w:hAnsi="Cambria Math" w:hint="eastAsia"/>
                <w:sz w:val="20"/>
              </w:rPr>
              <m:t>→</m:t>
            </m:r>
            <m:r>
              <m:rPr>
                <m:sty m:val="p"/>
              </m:rPr>
              <w:rPr>
                <w:rFonts w:ascii="Cambria Math" w:hAnsi="Cambria Math"/>
                <w:sz w:val="20"/>
              </w:rPr>
              <m:t>4.0</m:t>
            </m:r>
            <m:r>
              <w:rPr>
                <w:rFonts w:ascii="Cambria Math" w:hAnsi="Cambria Math"/>
                <w:sz w:val="20"/>
              </w:rPr>
              <m:t>m</m:t>
            </m:r>
          </m:sub>
        </m:sSub>
      </m:oMath>
      <w:r w:rsidRPr="006912F6">
        <w:rPr>
          <w:rFonts w:cs="Times New Roman"/>
          <w:sz w:val="20"/>
        </w:rPr>
        <w:t>)</w:t>
      </w:r>
      <w:r w:rsidRPr="006912F6">
        <w:rPr>
          <w:rFonts w:cs="Times New Roman"/>
          <w:sz w:val="20"/>
          <w:szCs w:val="18"/>
        </w:rPr>
        <w:t>, the second adaptation (</w:t>
      </w:r>
      <m:oMath>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3.0</m:t>
            </m:r>
            <m:r>
              <w:rPr>
                <w:rFonts w:ascii="Cambria Math" w:hAnsi="Cambria Math" w:cs="Times New Roman" w:hint="eastAsia"/>
                <w:sz w:val="20"/>
                <w:szCs w:val="18"/>
              </w:rPr>
              <m:t>→</m:t>
            </m:r>
            <m:r>
              <w:rPr>
                <w:rFonts w:ascii="Cambria Math" w:hAnsi="Cambria Math" w:cs="Times New Roman"/>
                <w:sz w:val="20"/>
                <w:szCs w:val="18"/>
              </w:rPr>
              <m:t>4.0m</m:t>
            </m:r>
          </m:sub>
        </m:sSub>
      </m:oMath>
      <w:r w:rsidRPr="006912F6">
        <w:rPr>
          <w:rFonts w:cs="Times New Roman"/>
          <w:sz w:val="20"/>
          <w:szCs w:val="18"/>
        </w:rPr>
        <w:t xml:space="preserve">) of </w:t>
      </w:r>
      <m:oMath>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c</m:t>
            </m:r>
            <m:r>
              <w:rPr>
                <w:rFonts w:ascii="Cambria Math" w:hAnsi="Cambria Math" w:cs="Times New Roman" w:hint="eastAsia"/>
                <w:sz w:val="20"/>
                <w:szCs w:val="18"/>
              </w:rPr>
              <m:t>→</m:t>
            </m:r>
            <m:r>
              <w:rPr>
                <w:rFonts w:ascii="Cambria Math" w:hAnsi="Cambria Math" w:cs="Times New Roman"/>
                <w:sz w:val="20"/>
                <w:szCs w:val="18"/>
              </w:rPr>
              <m:t>3.0m</m:t>
            </m:r>
          </m:sub>
        </m:sSub>
        <m:r>
          <w:rPr>
            <w:rFonts w:ascii="Cambria Math" w:hAnsi="Cambria Math" w:cs="Times New Roman"/>
            <w:sz w:val="20"/>
            <w:szCs w:val="18"/>
          </w:rPr>
          <m:t>*</m:t>
        </m:r>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3.0</m:t>
            </m:r>
            <m:r>
              <w:rPr>
                <w:rFonts w:ascii="Cambria Math" w:hAnsi="Cambria Math" w:cs="Times New Roman" w:hint="eastAsia"/>
                <w:sz w:val="20"/>
                <w:szCs w:val="18"/>
              </w:rPr>
              <m:t>→</m:t>
            </m:r>
            <m:r>
              <w:rPr>
                <w:rFonts w:ascii="Cambria Math" w:hAnsi="Cambria Math" w:cs="Times New Roman"/>
                <w:sz w:val="20"/>
                <w:szCs w:val="18"/>
              </w:rPr>
              <m:t>4.0m</m:t>
            </m:r>
          </m:sub>
        </m:sSub>
      </m:oMath>
      <w:r w:rsidRPr="006912F6">
        <w:rPr>
          <w:rFonts w:cs="Times New Roman"/>
          <w:sz w:val="20"/>
          <w:szCs w:val="18"/>
        </w:rPr>
        <w:t xml:space="preserve"> has been divided into </w:t>
      </w:r>
      <m:oMath>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3.0</m:t>
            </m:r>
            <m:r>
              <w:rPr>
                <w:rFonts w:ascii="Cambria Math" w:hAnsi="Cambria Math" w:cs="Times New Roman" w:hint="eastAsia"/>
                <w:sz w:val="20"/>
                <w:szCs w:val="18"/>
              </w:rPr>
              <m:t>→</m:t>
            </m:r>
            <m:r>
              <w:rPr>
                <w:rFonts w:ascii="Cambria Math" w:hAnsi="Cambria Math" w:cs="Times New Roman"/>
                <w:sz w:val="20"/>
                <w:szCs w:val="18"/>
              </w:rPr>
              <m:t>3.5m</m:t>
            </m:r>
          </m:sub>
        </m:sSub>
        <m:r>
          <w:rPr>
            <w:rFonts w:ascii="Cambria Math" w:hAnsi="Cambria Math" w:cs="Times New Roman"/>
            <w:sz w:val="20"/>
            <w:szCs w:val="18"/>
          </w:rPr>
          <m:t>*</m:t>
        </m:r>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3.5</m:t>
            </m:r>
            <m:r>
              <w:rPr>
                <w:rFonts w:ascii="Cambria Math" w:hAnsi="Cambria Math" w:cs="Times New Roman" w:hint="eastAsia"/>
                <w:sz w:val="20"/>
                <w:szCs w:val="18"/>
              </w:rPr>
              <m:t>→</m:t>
            </m:r>
            <m:r>
              <w:rPr>
                <w:rFonts w:ascii="Cambria Math" w:hAnsi="Cambria Math" w:cs="Times New Roman"/>
                <w:sz w:val="20"/>
                <w:szCs w:val="18"/>
              </w:rPr>
              <m:t>4.0m</m:t>
            </m:r>
          </m:sub>
        </m:sSub>
      </m:oMath>
      <w:r w:rsidRPr="006912F6">
        <w:rPr>
          <w:rFonts w:cs="Times New Roman"/>
          <w:sz w:val="20"/>
          <w:szCs w:val="18"/>
        </w:rPr>
        <w:t xml:space="preserve">. The option values for the three-stage adaptation are listed according to SLR scenarios in Table </w:t>
      </w:r>
      <w:r w:rsidR="00B41568" w:rsidRPr="006912F6">
        <w:rPr>
          <w:rFonts w:cs="Times New Roman"/>
          <w:sz w:val="20"/>
          <w:szCs w:val="18"/>
        </w:rPr>
        <w:t>3.7</w:t>
      </w:r>
      <w:r w:rsidRPr="006912F6">
        <w:rPr>
          <w:rFonts w:cs="Times New Roman"/>
          <w:sz w:val="20"/>
          <w:szCs w:val="18"/>
        </w:rPr>
        <w:t xml:space="preserve">. </w:t>
      </w:r>
    </w:p>
    <w:p w14:paraId="567540CD" w14:textId="1BD88073" w:rsidR="00507710" w:rsidRPr="006912F6" w:rsidRDefault="00507710" w:rsidP="00D1263A">
      <w:pPr>
        <w:jc w:val="both"/>
        <w:rPr>
          <w:rFonts w:cs="Times New Roman"/>
          <w:sz w:val="20"/>
          <w:szCs w:val="18"/>
        </w:rPr>
      </w:pPr>
      <w:r w:rsidRPr="006912F6">
        <w:rPr>
          <w:rFonts w:cs="Times New Roman"/>
          <w:sz w:val="20"/>
          <w:szCs w:val="18"/>
        </w:rPr>
        <w:t xml:space="preserve">In the H++ SLR scenario, the first adaptation is implemented in 2016, the second adaptation will be implemented in 2045 to 2055 and the last adaptation will be in 2069 to 2081. The overall investment cost is the highest among all the adaptation paths. In the High SLR scenario, the first and second adaptation option will be implemented while the third option will not. In the Medium, Low and Historical Trend SLR scenarios, only the first stage adaptation option will be implemented with the overall investment cost ranging from £ 58.14 M to 72.68 M.    </w:t>
      </w:r>
    </w:p>
    <w:p w14:paraId="26FC3397" w14:textId="77777777" w:rsidR="00B41568" w:rsidRPr="006912F6" w:rsidRDefault="00B41568">
      <w:pPr>
        <w:spacing w:before="0" w:after="160" w:line="259" w:lineRule="auto"/>
        <w:rPr>
          <w:b/>
          <w:bCs/>
          <w:iCs/>
          <w:sz w:val="20"/>
          <w:szCs w:val="18"/>
        </w:rPr>
      </w:pPr>
      <w:bookmarkStart w:id="718" w:name="_Toc18071472"/>
      <w:bookmarkEnd w:id="712"/>
      <w:bookmarkEnd w:id="713"/>
    </w:p>
    <w:p w14:paraId="3453E273" w14:textId="79107917" w:rsidR="00B41568" w:rsidRPr="006912F6" w:rsidRDefault="003C7583" w:rsidP="00B41568">
      <w:pPr>
        <w:pStyle w:val="2"/>
        <w:numPr>
          <w:ilvl w:val="0"/>
          <w:numId w:val="12"/>
        </w:numPr>
        <w:spacing w:line="480" w:lineRule="auto"/>
        <w:rPr>
          <w:b w:val="0"/>
          <w:bCs/>
          <w:color w:val="auto"/>
          <w:sz w:val="20"/>
          <w:szCs w:val="22"/>
        </w:rPr>
      </w:pPr>
      <m:oMath>
        <m:sSub>
          <m:sSubPr>
            <m:ctrlPr>
              <w:rPr>
                <w:rFonts w:ascii="Cambria Math" w:hAnsi="Cambria Math"/>
                <w:b w:val="0"/>
                <w:bCs/>
                <w:color w:val="auto"/>
                <w:sz w:val="20"/>
                <w:szCs w:val="22"/>
              </w:rPr>
            </m:ctrlPr>
          </m:sSubPr>
          <m:e>
            <m:r>
              <m:rPr>
                <m:sty m:val="bi"/>
              </m:rPr>
              <w:rPr>
                <w:rFonts w:ascii="Cambria Math" w:hAnsi="Cambria Math"/>
                <w:color w:val="auto"/>
                <w:sz w:val="20"/>
                <w:szCs w:val="22"/>
              </w:rPr>
              <m:t>U</m:t>
            </m:r>
          </m:e>
          <m:sub>
            <m:r>
              <m:rPr>
                <m:sty m:val="bi"/>
              </m:rPr>
              <w:rPr>
                <w:rFonts w:ascii="Cambria Math" w:hAnsi="Cambria Math"/>
                <w:color w:val="auto"/>
                <w:sz w:val="20"/>
                <w:szCs w:val="22"/>
              </w:rPr>
              <m:t>c</m:t>
            </m:r>
            <m:r>
              <m:rPr>
                <m:sty m:val="b"/>
              </m:rPr>
              <w:rPr>
                <w:rFonts w:ascii="Cambria Math" w:hAnsi="Cambria Math" w:hint="eastAsia"/>
                <w:color w:val="auto"/>
                <w:sz w:val="20"/>
                <w:szCs w:val="22"/>
              </w:rPr>
              <m:t>→</m:t>
            </m:r>
            <m:r>
              <m:rPr>
                <m:sty m:val="b"/>
              </m:rPr>
              <w:rPr>
                <w:rFonts w:ascii="Cambria Math" w:hAnsi="Cambria Math"/>
                <w:color w:val="auto"/>
                <w:sz w:val="20"/>
                <w:szCs w:val="22"/>
              </w:rPr>
              <m:t>3.25</m:t>
            </m:r>
            <m:r>
              <m:rPr>
                <m:sty m:val="bi"/>
              </m:rPr>
              <w:rPr>
                <w:rFonts w:ascii="Cambria Math" w:hAnsi="Cambria Math"/>
                <w:color w:val="auto"/>
                <w:sz w:val="20"/>
                <w:szCs w:val="22"/>
              </w:rPr>
              <m:t>m</m:t>
            </m:r>
          </m:sub>
        </m:sSub>
        <m:r>
          <m:rPr>
            <m:sty m:val="b"/>
          </m:rPr>
          <w:rPr>
            <w:rFonts w:ascii="Cambria Math" w:hAnsi="Cambria Math"/>
            <w:color w:val="auto"/>
            <w:sz w:val="20"/>
            <w:szCs w:val="22"/>
          </w:rPr>
          <m:t>*</m:t>
        </m:r>
        <m:sSub>
          <m:sSubPr>
            <m:ctrlPr>
              <w:rPr>
                <w:rFonts w:ascii="Cambria Math" w:hAnsi="Cambria Math"/>
                <w:b w:val="0"/>
                <w:bCs/>
                <w:color w:val="auto"/>
                <w:sz w:val="20"/>
                <w:szCs w:val="22"/>
              </w:rPr>
            </m:ctrlPr>
          </m:sSubPr>
          <m:e>
            <m:r>
              <m:rPr>
                <m:sty m:val="bi"/>
              </m:rPr>
              <w:rPr>
                <w:rFonts w:ascii="Cambria Math" w:hAnsi="Cambria Math"/>
                <w:color w:val="auto"/>
                <w:sz w:val="20"/>
                <w:szCs w:val="22"/>
              </w:rPr>
              <m:t>U</m:t>
            </m:r>
          </m:e>
          <m:sub>
            <m:r>
              <m:rPr>
                <m:sty m:val="b"/>
              </m:rPr>
              <w:rPr>
                <w:rFonts w:ascii="Cambria Math" w:hAnsi="Cambria Math"/>
                <w:color w:val="auto"/>
                <w:sz w:val="20"/>
                <w:szCs w:val="22"/>
              </w:rPr>
              <m:t>3.25</m:t>
            </m:r>
            <m:r>
              <m:rPr>
                <m:sty m:val="bi"/>
              </m:rPr>
              <w:rPr>
                <w:rFonts w:ascii="Cambria Math" w:hAnsi="Cambria Math"/>
                <w:color w:val="auto"/>
                <w:sz w:val="20"/>
                <w:szCs w:val="22"/>
              </w:rPr>
              <m:t>m</m:t>
            </m:r>
            <m:r>
              <m:rPr>
                <m:sty m:val="b"/>
              </m:rPr>
              <w:rPr>
                <w:rFonts w:ascii="Cambria Math" w:hAnsi="Cambria Math" w:hint="eastAsia"/>
                <w:color w:val="auto"/>
                <w:sz w:val="20"/>
                <w:szCs w:val="22"/>
              </w:rPr>
              <m:t>→</m:t>
            </m:r>
            <m:r>
              <m:rPr>
                <m:sty m:val="b"/>
              </m:rPr>
              <w:rPr>
                <w:rFonts w:ascii="Cambria Math" w:hAnsi="Cambria Math"/>
                <w:color w:val="auto"/>
                <w:sz w:val="20"/>
                <w:szCs w:val="22"/>
              </w:rPr>
              <m:t>4.0</m:t>
            </m:r>
            <m:r>
              <m:rPr>
                <m:sty m:val="bi"/>
              </m:rPr>
              <w:rPr>
                <w:rFonts w:ascii="Cambria Math" w:hAnsi="Cambria Math"/>
                <w:color w:val="auto"/>
                <w:sz w:val="20"/>
                <w:szCs w:val="22"/>
              </w:rPr>
              <m:t>m</m:t>
            </m:r>
          </m:sub>
        </m:sSub>
      </m:oMath>
    </w:p>
    <w:p w14:paraId="3AC5406F" w14:textId="77777777" w:rsidR="0037226C" w:rsidRPr="006912F6" w:rsidRDefault="00D25EE1" w:rsidP="00D25EE1">
      <w:pPr>
        <w:jc w:val="both"/>
        <w:rPr>
          <w:rFonts w:cs="Times New Roman"/>
          <w:sz w:val="20"/>
          <w:szCs w:val="18"/>
        </w:rPr>
      </w:pPr>
      <w:r w:rsidRPr="006912F6">
        <w:rPr>
          <w:rFonts w:cs="Times New Roman"/>
          <w:sz w:val="20"/>
          <w:szCs w:val="18"/>
        </w:rPr>
        <w:t xml:space="preserve">The option evaluation of </w:t>
      </w:r>
      <m:oMath>
        <m:sSub>
          <m:sSubPr>
            <m:ctrlPr>
              <w:rPr>
                <w:rFonts w:ascii="Cambria Math" w:hAnsi="Cambria Math" w:cs="Times New Roman"/>
                <w:sz w:val="20"/>
                <w:szCs w:val="18"/>
              </w:rPr>
            </m:ctrlPr>
          </m:sSubPr>
          <m:e>
            <m:r>
              <w:rPr>
                <w:rFonts w:ascii="Cambria Math" w:hAnsi="Cambria Math" w:cs="Times New Roman"/>
                <w:sz w:val="20"/>
                <w:szCs w:val="18"/>
              </w:rPr>
              <m:t>U</m:t>
            </m:r>
          </m:e>
          <m:sub>
            <m:r>
              <w:rPr>
                <w:rFonts w:ascii="Cambria Math" w:hAnsi="Cambria Math" w:cs="Times New Roman"/>
                <w:sz w:val="20"/>
                <w:szCs w:val="18"/>
              </w:rPr>
              <m:t>c</m:t>
            </m:r>
            <m:r>
              <m:rPr>
                <m:sty m:val="p"/>
              </m:rPr>
              <w:rPr>
                <w:rFonts w:ascii="Cambria Math" w:hAnsi="Cambria Math" w:cs="Times New Roman" w:hint="eastAsia"/>
                <w:sz w:val="20"/>
                <w:szCs w:val="18"/>
              </w:rPr>
              <m:t>→</m:t>
            </m:r>
            <m:r>
              <m:rPr>
                <m:sty m:val="p"/>
              </m:rPr>
              <w:rPr>
                <w:rFonts w:ascii="Cambria Math" w:hAnsi="Cambria Math" w:cs="Times New Roman"/>
                <w:sz w:val="20"/>
                <w:szCs w:val="18"/>
              </w:rPr>
              <m:t>3.25</m:t>
            </m:r>
            <m:r>
              <w:rPr>
                <w:rFonts w:ascii="Cambria Math" w:hAnsi="Cambria Math" w:cs="Times New Roman"/>
                <w:sz w:val="20"/>
                <w:szCs w:val="18"/>
              </w:rPr>
              <m:t>m</m:t>
            </m:r>
          </m:sub>
        </m:sSub>
        <m:r>
          <m:rPr>
            <m:sty m:val="p"/>
          </m:rPr>
          <w:rPr>
            <w:rFonts w:ascii="Cambria Math" w:hAnsi="Cambria Math" w:cs="Times New Roman"/>
            <w:sz w:val="20"/>
            <w:szCs w:val="18"/>
          </w:rPr>
          <m:t>*</m:t>
        </m:r>
        <m:sSub>
          <m:sSubPr>
            <m:ctrlPr>
              <w:rPr>
                <w:rFonts w:ascii="Cambria Math" w:hAnsi="Cambria Math" w:cs="Times New Roman"/>
                <w:sz w:val="20"/>
                <w:szCs w:val="18"/>
              </w:rPr>
            </m:ctrlPr>
          </m:sSubPr>
          <m:e>
            <m:r>
              <w:rPr>
                <w:rFonts w:ascii="Cambria Math" w:hAnsi="Cambria Math" w:cs="Times New Roman"/>
                <w:sz w:val="20"/>
                <w:szCs w:val="18"/>
              </w:rPr>
              <m:t>U</m:t>
            </m:r>
          </m:e>
          <m:sub>
            <m:r>
              <m:rPr>
                <m:sty m:val="p"/>
              </m:rPr>
              <w:rPr>
                <w:rFonts w:ascii="Cambria Math" w:hAnsi="Cambria Math" w:cs="Times New Roman"/>
                <w:sz w:val="20"/>
                <w:szCs w:val="18"/>
              </w:rPr>
              <m:t>3.25</m:t>
            </m:r>
            <m:r>
              <w:rPr>
                <w:rFonts w:ascii="Cambria Math" w:hAnsi="Cambria Math" w:cs="Times New Roman"/>
                <w:sz w:val="20"/>
                <w:szCs w:val="18"/>
              </w:rPr>
              <m:t>m</m:t>
            </m:r>
            <m:r>
              <m:rPr>
                <m:sty m:val="p"/>
              </m:rPr>
              <w:rPr>
                <w:rFonts w:ascii="Cambria Math" w:hAnsi="Cambria Math" w:cs="Times New Roman" w:hint="eastAsia"/>
                <w:sz w:val="20"/>
                <w:szCs w:val="18"/>
              </w:rPr>
              <m:t>→</m:t>
            </m:r>
            <m:r>
              <m:rPr>
                <m:sty m:val="p"/>
              </m:rPr>
              <w:rPr>
                <w:rFonts w:ascii="Cambria Math" w:hAnsi="Cambria Math" w:cs="Times New Roman"/>
                <w:sz w:val="20"/>
                <w:szCs w:val="18"/>
              </w:rPr>
              <m:t>4.0</m:t>
            </m:r>
            <m:r>
              <w:rPr>
                <w:rFonts w:ascii="Cambria Math" w:hAnsi="Cambria Math" w:cs="Times New Roman"/>
                <w:sz w:val="20"/>
                <w:szCs w:val="18"/>
              </w:rPr>
              <m:t>m</m:t>
            </m:r>
          </m:sub>
        </m:sSub>
      </m:oMath>
      <w:r w:rsidRPr="006912F6">
        <w:rPr>
          <w:rFonts w:cs="Times New Roman"/>
          <w:sz w:val="20"/>
          <w:szCs w:val="18"/>
        </w:rPr>
        <w:t xml:space="preserve"> is included for comparison to coastal adaptations with different increments (i.e. 0.5m, 0.75m and 1m). Table 3.8 shows the option values of </w:t>
      </w:r>
      <m:oMath>
        <m:sSub>
          <m:sSubPr>
            <m:ctrlPr>
              <w:rPr>
                <w:rFonts w:ascii="Cambria Math" w:hAnsi="Cambria Math" w:cs="Times New Roman"/>
                <w:sz w:val="20"/>
                <w:szCs w:val="18"/>
              </w:rPr>
            </m:ctrlPr>
          </m:sSubPr>
          <m:e>
            <m:r>
              <w:rPr>
                <w:rFonts w:ascii="Cambria Math" w:hAnsi="Cambria Math" w:cs="Times New Roman"/>
                <w:sz w:val="20"/>
                <w:szCs w:val="18"/>
              </w:rPr>
              <m:t>U</m:t>
            </m:r>
          </m:e>
          <m:sub>
            <m:r>
              <w:rPr>
                <w:rFonts w:ascii="Cambria Math" w:hAnsi="Cambria Math" w:cs="Times New Roman"/>
                <w:sz w:val="20"/>
                <w:szCs w:val="18"/>
              </w:rPr>
              <m:t>c</m:t>
            </m:r>
            <m:r>
              <m:rPr>
                <m:sty m:val="p"/>
              </m:rPr>
              <w:rPr>
                <w:rFonts w:ascii="Cambria Math" w:hAnsi="Cambria Math" w:cs="Times New Roman" w:hint="eastAsia"/>
                <w:sz w:val="20"/>
                <w:szCs w:val="18"/>
              </w:rPr>
              <m:t>→</m:t>
            </m:r>
            <m:r>
              <m:rPr>
                <m:sty m:val="p"/>
              </m:rPr>
              <w:rPr>
                <w:rFonts w:ascii="Cambria Math" w:hAnsi="Cambria Math" w:cs="Times New Roman"/>
                <w:sz w:val="20"/>
                <w:szCs w:val="18"/>
              </w:rPr>
              <m:t>3.25</m:t>
            </m:r>
            <m:r>
              <w:rPr>
                <w:rFonts w:ascii="Cambria Math" w:hAnsi="Cambria Math" w:cs="Times New Roman"/>
                <w:sz w:val="20"/>
                <w:szCs w:val="18"/>
              </w:rPr>
              <m:t>m</m:t>
            </m:r>
          </m:sub>
        </m:sSub>
        <m:r>
          <m:rPr>
            <m:sty m:val="p"/>
          </m:rPr>
          <w:rPr>
            <w:rFonts w:ascii="Cambria Math" w:hAnsi="Cambria Math" w:cs="Times New Roman"/>
            <w:sz w:val="20"/>
            <w:szCs w:val="18"/>
          </w:rPr>
          <m:t>*</m:t>
        </m:r>
        <m:sSub>
          <m:sSubPr>
            <m:ctrlPr>
              <w:rPr>
                <w:rFonts w:ascii="Cambria Math" w:hAnsi="Cambria Math" w:cs="Times New Roman"/>
                <w:sz w:val="20"/>
                <w:szCs w:val="18"/>
              </w:rPr>
            </m:ctrlPr>
          </m:sSubPr>
          <m:e>
            <m:r>
              <w:rPr>
                <w:rFonts w:ascii="Cambria Math" w:hAnsi="Cambria Math" w:cs="Times New Roman"/>
                <w:sz w:val="20"/>
                <w:szCs w:val="18"/>
              </w:rPr>
              <m:t>U</m:t>
            </m:r>
          </m:e>
          <m:sub>
            <m:r>
              <m:rPr>
                <m:sty m:val="p"/>
              </m:rPr>
              <w:rPr>
                <w:rFonts w:ascii="Cambria Math" w:hAnsi="Cambria Math" w:cs="Times New Roman"/>
                <w:sz w:val="20"/>
                <w:szCs w:val="18"/>
              </w:rPr>
              <m:t>3.25</m:t>
            </m:r>
            <m:r>
              <w:rPr>
                <w:rFonts w:ascii="Cambria Math" w:hAnsi="Cambria Math" w:cs="Times New Roman"/>
                <w:sz w:val="20"/>
                <w:szCs w:val="18"/>
              </w:rPr>
              <m:t>m</m:t>
            </m:r>
            <m:r>
              <m:rPr>
                <m:sty m:val="p"/>
              </m:rPr>
              <w:rPr>
                <w:rFonts w:ascii="Cambria Math" w:hAnsi="Cambria Math" w:cs="Times New Roman" w:hint="eastAsia"/>
                <w:sz w:val="20"/>
                <w:szCs w:val="18"/>
              </w:rPr>
              <m:t>→</m:t>
            </m:r>
            <m:r>
              <m:rPr>
                <m:sty m:val="p"/>
              </m:rPr>
              <w:rPr>
                <w:rFonts w:ascii="Cambria Math" w:hAnsi="Cambria Math" w:cs="Times New Roman"/>
                <w:sz w:val="20"/>
                <w:szCs w:val="18"/>
              </w:rPr>
              <m:t>4.0</m:t>
            </m:r>
            <m:r>
              <w:rPr>
                <w:rFonts w:ascii="Cambria Math" w:hAnsi="Cambria Math" w:cs="Times New Roman"/>
                <w:sz w:val="20"/>
                <w:szCs w:val="18"/>
              </w:rPr>
              <m:t>m</m:t>
            </m:r>
          </m:sub>
        </m:sSub>
      </m:oMath>
      <w:r w:rsidRPr="006912F6">
        <w:rPr>
          <w:rFonts w:cs="Times New Roman"/>
          <w:sz w:val="20"/>
          <w:szCs w:val="18"/>
        </w:rPr>
        <w:t xml:space="preserve"> across the costs of flexibility by different SLR scenarios.</w:t>
      </w:r>
      <w:r w:rsidR="0037226C" w:rsidRPr="006912F6">
        <w:rPr>
          <w:rFonts w:cs="Times New Roman"/>
          <w:sz w:val="20"/>
          <w:szCs w:val="18"/>
        </w:rPr>
        <w:t xml:space="preserve"> This adaptation path has the different levels of heightening (i.e. 0.75m). The first stage adaptation in </w:t>
      </w:r>
      <m:oMath>
        <m:sSub>
          <m:sSubPr>
            <m:ctrlPr>
              <w:rPr>
                <w:rFonts w:ascii="Cambria Math" w:hAnsi="Cambria Math" w:cs="Times New Roman"/>
                <w:sz w:val="20"/>
                <w:szCs w:val="18"/>
              </w:rPr>
            </m:ctrlPr>
          </m:sSubPr>
          <m:e>
            <m:r>
              <w:rPr>
                <w:rFonts w:ascii="Cambria Math" w:hAnsi="Cambria Math" w:cs="Times New Roman"/>
                <w:sz w:val="20"/>
                <w:szCs w:val="18"/>
              </w:rPr>
              <m:t>U</m:t>
            </m:r>
          </m:e>
          <m:sub>
            <m:r>
              <w:rPr>
                <w:rFonts w:ascii="Cambria Math" w:hAnsi="Cambria Math" w:cs="Times New Roman"/>
                <w:sz w:val="20"/>
                <w:szCs w:val="18"/>
              </w:rPr>
              <m:t>c</m:t>
            </m:r>
            <m:r>
              <m:rPr>
                <m:sty m:val="p"/>
              </m:rPr>
              <w:rPr>
                <w:rFonts w:ascii="Cambria Math" w:hAnsi="Cambria Math" w:cs="Times New Roman" w:hint="eastAsia"/>
                <w:sz w:val="20"/>
                <w:szCs w:val="18"/>
              </w:rPr>
              <m:t>→</m:t>
            </m:r>
            <m:r>
              <m:rPr>
                <m:sty m:val="p"/>
              </m:rPr>
              <w:rPr>
                <w:rFonts w:ascii="Cambria Math" w:hAnsi="Cambria Math" w:cs="Times New Roman"/>
                <w:sz w:val="20"/>
                <w:szCs w:val="18"/>
              </w:rPr>
              <m:t>3.25</m:t>
            </m:r>
            <m:r>
              <w:rPr>
                <w:rFonts w:ascii="Cambria Math" w:hAnsi="Cambria Math" w:cs="Times New Roman"/>
                <w:sz w:val="20"/>
                <w:szCs w:val="18"/>
              </w:rPr>
              <m:t>m</m:t>
            </m:r>
          </m:sub>
        </m:sSub>
        <m:r>
          <m:rPr>
            <m:sty m:val="p"/>
          </m:rPr>
          <w:rPr>
            <w:rFonts w:ascii="Cambria Math" w:hAnsi="Cambria Math" w:cs="Times New Roman"/>
            <w:sz w:val="20"/>
            <w:szCs w:val="18"/>
          </w:rPr>
          <m:t>*</m:t>
        </m:r>
        <m:sSub>
          <m:sSubPr>
            <m:ctrlPr>
              <w:rPr>
                <w:rFonts w:ascii="Cambria Math" w:hAnsi="Cambria Math" w:cs="Times New Roman"/>
                <w:sz w:val="20"/>
                <w:szCs w:val="18"/>
              </w:rPr>
            </m:ctrlPr>
          </m:sSubPr>
          <m:e>
            <m:r>
              <w:rPr>
                <w:rFonts w:ascii="Cambria Math" w:hAnsi="Cambria Math" w:cs="Times New Roman"/>
                <w:sz w:val="20"/>
                <w:szCs w:val="18"/>
              </w:rPr>
              <m:t>U</m:t>
            </m:r>
          </m:e>
          <m:sub>
            <m:r>
              <m:rPr>
                <m:sty m:val="p"/>
              </m:rPr>
              <w:rPr>
                <w:rFonts w:ascii="Cambria Math" w:hAnsi="Cambria Math" w:cs="Times New Roman"/>
                <w:sz w:val="20"/>
                <w:szCs w:val="18"/>
              </w:rPr>
              <m:t>3.25</m:t>
            </m:r>
            <m:r>
              <w:rPr>
                <w:rFonts w:ascii="Cambria Math" w:hAnsi="Cambria Math" w:cs="Times New Roman"/>
                <w:sz w:val="20"/>
                <w:szCs w:val="18"/>
              </w:rPr>
              <m:t>m</m:t>
            </m:r>
            <m:r>
              <m:rPr>
                <m:sty m:val="p"/>
              </m:rPr>
              <w:rPr>
                <w:rFonts w:ascii="Cambria Math" w:hAnsi="Cambria Math" w:cs="Times New Roman" w:hint="eastAsia"/>
                <w:sz w:val="20"/>
                <w:szCs w:val="18"/>
              </w:rPr>
              <m:t>→</m:t>
            </m:r>
            <m:r>
              <m:rPr>
                <m:sty m:val="p"/>
              </m:rPr>
              <w:rPr>
                <w:rFonts w:ascii="Cambria Math" w:hAnsi="Cambria Math" w:cs="Times New Roman"/>
                <w:sz w:val="20"/>
                <w:szCs w:val="18"/>
              </w:rPr>
              <m:t>4.0</m:t>
            </m:r>
            <m:r>
              <w:rPr>
                <w:rFonts w:ascii="Cambria Math" w:hAnsi="Cambria Math" w:cs="Times New Roman"/>
                <w:sz w:val="20"/>
                <w:szCs w:val="18"/>
              </w:rPr>
              <m:t>m</m:t>
            </m:r>
          </m:sub>
        </m:sSub>
      </m:oMath>
      <w:r w:rsidR="0037226C" w:rsidRPr="006912F6">
        <w:rPr>
          <w:rFonts w:cs="Times New Roman"/>
          <w:sz w:val="20"/>
          <w:szCs w:val="18"/>
        </w:rPr>
        <w:t xml:space="preserve"> </w:t>
      </w:r>
      <w:r w:rsidR="0037226C" w:rsidRPr="006912F6">
        <w:rPr>
          <w:rFonts w:cs="Times New Roman"/>
          <w:sz w:val="20"/>
          <w:szCs w:val="18"/>
        </w:rPr>
        <w:t xml:space="preserve">may be considered excessive when compared to </w:t>
      </w:r>
      <m:oMath>
        <m:sSub>
          <m:sSubPr>
            <m:ctrlPr>
              <w:rPr>
                <w:rFonts w:ascii="Cambria Math" w:hAnsi="Cambria Math" w:cs="Times New Roman"/>
                <w:sz w:val="20"/>
                <w:szCs w:val="18"/>
              </w:rPr>
            </m:ctrlPr>
          </m:sSubPr>
          <m:e>
            <m:r>
              <w:rPr>
                <w:rFonts w:ascii="Cambria Math" w:hAnsi="Cambria Math" w:cs="Times New Roman"/>
                <w:sz w:val="20"/>
                <w:szCs w:val="18"/>
              </w:rPr>
              <m:t>U</m:t>
            </m:r>
          </m:e>
          <m:sub>
            <m:r>
              <w:rPr>
                <w:rFonts w:ascii="Cambria Math" w:hAnsi="Cambria Math" w:cs="Times New Roman"/>
                <w:sz w:val="20"/>
                <w:szCs w:val="18"/>
              </w:rPr>
              <m:t>c</m:t>
            </m:r>
            <m:r>
              <m:rPr>
                <m:sty m:val="p"/>
              </m:rPr>
              <w:rPr>
                <w:rFonts w:ascii="Cambria Math" w:hAnsi="Cambria Math" w:cs="Times New Roman" w:hint="eastAsia"/>
                <w:sz w:val="20"/>
                <w:szCs w:val="18"/>
              </w:rPr>
              <m:t>→</m:t>
            </m:r>
            <m:r>
              <m:rPr>
                <m:sty m:val="p"/>
              </m:rPr>
              <w:rPr>
                <w:rFonts w:ascii="Cambria Math" w:hAnsi="Cambria Math" w:cs="Times New Roman"/>
                <w:sz w:val="20"/>
                <w:szCs w:val="18"/>
              </w:rPr>
              <m:t>3.</m:t>
            </m:r>
            <m:r>
              <m:rPr>
                <m:sty m:val="p"/>
              </m:rPr>
              <w:rPr>
                <w:rFonts w:ascii="Cambria Math" w:hAnsi="Cambria Math" w:cs="Times New Roman"/>
                <w:sz w:val="20"/>
                <w:szCs w:val="18"/>
              </w:rPr>
              <m:t>0</m:t>
            </m:r>
            <m:r>
              <w:rPr>
                <w:rFonts w:ascii="Cambria Math" w:hAnsi="Cambria Math" w:cs="Times New Roman"/>
                <w:sz w:val="20"/>
                <w:szCs w:val="18"/>
              </w:rPr>
              <m:t>m</m:t>
            </m:r>
          </m:sub>
        </m:sSub>
      </m:oMath>
      <w:r w:rsidR="0037226C" w:rsidRPr="006912F6">
        <w:rPr>
          <w:rFonts w:cs="Times New Roman"/>
          <w:sz w:val="20"/>
          <w:szCs w:val="18"/>
        </w:rPr>
        <w:t xml:space="preserve"> while it may be considered less excessive </w:t>
      </w:r>
      <w:r w:rsidR="0037226C" w:rsidRPr="006912F6">
        <w:rPr>
          <w:rFonts w:cs="Times New Roman" w:hint="eastAsia"/>
          <w:sz w:val="20"/>
          <w:szCs w:val="18"/>
        </w:rPr>
        <w:t>w</w:t>
      </w:r>
      <w:r w:rsidR="0037226C" w:rsidRPr="006912F6">
        <w:rPr>
          <w:rFonts w:cs="Times New Roman"/>
          <w:sz w:val="20"/>
          <w:szCs w:val="18"/>
        </w:rPr>
        <w:t xml:space="preserve">hen compared to </w:t>
      </w:r>
      <m:oMath>
        <m:sSub>
          <m:sSubPr>
            <m:ctrlPr>
              <w:rPr>
                <w:rFonts w:ascii="Cambria Math" w:hAnsi="Cambria Math" w:cs="Times New Roman"/>
                <w:sz w:val="20"/>
                <w:szCs w:val="18"/>
              </w:rPr>
            </m:ctrlPr>
          </m:sSubPr>
          <m:e>
            <m:r>
              <w:rPr>
                <w:rFonts w:ascii="Cambria Math" w:hAnsi="Cambria Math" w:cs="Times New Roman"/>
                <w:sz w:val="20"/>
                <w:szCs w:val="18"/>
              </w:rPr>
              <m:t>U</m:t>
            </m:r>
          </m:e>
          <m:sub>
            <m:r>
              <w:rPr>
                <w:rFonts w:ascii="Cambria Math" w:hAnsi="Cambria Math" w:cs="Times New Roman"/>
                <w:sz w:val="20"/>
                <w:szCs w:val="18"/>
              </w:rPr>
              <m:t>c</m:t>
            </m:r>
            <m:r>
              <m:rPr>
                <m:sty m:val="p"/>
              </m:rPr>
              <w:rPr>
                <w:rFonts w:ascii="Cambria Math" w:hAnsi="Cambria Math" w:cs="Times New Roman" w:hint="eastAsia"/>
                <w:sz w:val="20"/>
                <w:szCs w:val="18"/>
              </w:rPr>
              <m:t>→</m:t>
            </m:r>
            <m:r>
              <m:rPr>
                <m:sty m:val="p"/>
              </m:rPr>
              <w:rPr>
                <w:rFonts w:ascii="Cambria Math" w:hAnsi="Cambria Math" w:cs="Times New Roman"/>
                <w:sz w:val="20"/>
                <w:szCs w:val="18"/>
              </w:rPr>
              <m:t>3.</m:t>
            </m:r>
            <m:r>
              <m:rPr>
                <m:sty m:val="p"/>
              </m:rPr>
              <w:rPr>
                <w:rFonts w:ascii="Cambria Math" w:hAnsi="Cambria Math" w:cs="Times New Roman"/>
                <w:sz w:val="20"/>
                <w:szCs w:val="18"/>
              </w:rPr>
              <m:t>5</m:t>
            </m:r>
            <m:r>
              <w:rPr>
                <w:rFonts w:ascii="Cambria Math" w:hAnsi="Cambria Math" w:cs="Times New Roman"/>
                <w:sz w:val="20"/>
                <w:szCs w:val="18"/>
              </w:rPr>
              <m:t>m</m:t>
            </m:r>
          </m:sub>
        </m:sSub>
      </m:oMath>
      <w:r w:rsidR="0037226C" w:rsidRPr="006912F6">
        <w:rPr>
          <w:rFonts w:cs="Times New Roman"/>
          <w:sz w:val="20"/>
          <w:szCs w:val="18"/>
        </w:rPr>
        <w:t xml:space="preserve">. This judgement depends on what future scenario will unfold.   </w:t>
      </w:r>
    </w:p>
    <w:p w14:paraId="3A31A03F" w14:textId="25ABA852" w:rsidR="00B41568" w:rsidRPr="006912F6" w:rsidRDefault="0037226C" w:rsidP="00D25EE1">
      <w:pPr>
        <w:jc w:val="both"/>
        <w:rPr>
          <w:rFonts w:cs="Times New Roman"/>
          <w:sz w:val="20"/>
          <w:szCs w:val="18"/>
        </w:rPr>
      </w:pPr>
      <w:r w:rsidRPr="006912F6">
        <w:rPr>
          <w:rFonts w:cs="Times New Roman"/>
          <w:sz w:val="20"/>
          <w:szCs w:val="18"/>
        </w:rPr>
        <w:t>In H++ SLR scenario, the first stage adaptation will be implemented</w:t>
      </w:r>
      <w:r w:rsidR="00A86367" w:rsidRPr="006912F6">
        <w:rPr>
          <w:rFonts w:cs="Times New Roman"/>
          <w:sz w:val="20"/>
          <w:szCs w:val="18"/>
        </w:rPr>
        <w:t xml:space="preserve"> immediately (i.e. now) for all the flexibility premium scenarios. For the second stage adaptation, the investment time differs depending on flexibility costs which occurs in 2062 to 2066. Sea-level rise at this time is read around 92cm in Figure 1.3. Thus, the first- and second- stage adaptations will be implemented in the worst-case SLR scenario. On the contrary, the second-stage adaptation is considered to be excessive for any other SLR scenarios. No investment in the second-stage adaptation is made so that the investment cost will be saved in any other scenarios. It is because the first-stage adaptation that raises coastal defence up to 3.25 mAOD is enough to protect </w:t>
      </w:r>
      <w:r w:rsidR="006C451C" w:rsidRPr="006912F6">
        <w:rPr>
          <w:rFonts w:cs="Times New Roman"/>
          <w:sz w:val="20"/>
          <w:szCs w:val="18"/>
        </w:rPr>
        <w:t xml:space="preserve">Lyminton from expected coastal flooding. In addition, in High to Historic SLR scenarios, the investment time of the first stage adaptation occurs in 2026 to 2089 for 20% premium scenario. </w:t>
      </w:r>
      <w:r w:rsidR="006C451C" w:rsidRPr="006912F6">
        <w:rPr>
          <w:rFonts w:cs="Times New Roman"/>
          <w:sz w:val="20"/>
          <w:szCs w:val="18"/>
        </w:rPr>
        <w:t>The efficiency of this adaptation path has been evaluated for all the SLR scenarios by different premium scenarios in Table 3.8.</w:t>
      </w:r>
      <w:r w:rsidR="00A86367" w:rsidRPr="006912F6">
        <w:rPr>
          <w:rFonts w:cs="Times New Roman"/>
          <w:sz w:val="20"/>
          <w:szCs w:val="18"/>
        </w:rPr>
        <w:t xml:space="preserve">   </w:t>
      </w:r>
      <w:r w:rsidRPr="006912F6">
        <w:rPr>
          <w:rFonts w:cs="Times New Roman"/>
          <w:sz w:val="20"/>
          <w:szCs w:val="18"/>
        </w:rPr>
        <w:t xml:space="preserve"> </w:t>
      </w:r>
      <w:r w:rsidR="00D25EE1" w:rsidRPr="006912F6">
        <w:rPr>
          <w:rFonts w:cs="Times New Roman"/>
          <w:sz w:val="20"/>
          <w:szCs w:val="18"/>
        </w:rPr>
        <w:t xml:space="preserve">   </w:t>
      </w:r>
      <w:r w:rsidR="00B41568" w:rsidRPr="006912F6">
        <w:rPr>
          <w:rFonts w:cs="Times New Roman"/>
          <w:sz w:val="20"/>
          <w:szCs w:val="18"/>
        </w:rPr>
        <w:br w:type="page"/>
      </w:r>
    </w:p>
    <w:p w14:paraId="201C00D8" w14:textId="556FB9A4" w:rsidR="001B757C" w:rsidRPr="006912F6" w:rsidRDefault="001B757C" w:rsidP="001B757C">
      <w:pPr>
        <w:spacing w:after="240"/>
        <w:rPr>
          <w:rFonts w:cs="Times New Roman"/>
          <w:sz w:val="20"/>
          <w:szCs w:val="18"/>
        </w:rPr>
      </w:pPr>
      <w:r w:rsidRPr="006912F6">
        <w:rPr>
          <w:b/>
          <w:bCs/>
          <w:iCs/>
          <w:sz w:val="20"/>
          <w:szCs w:val="18"/>
        </w:rPr>
        <w:lastRenderedPageBreak/>
        <w:t xml:space="preserve">Table </w:t>
      </w:r>
      <w:r w:rsidR="00B41568" w:rsidRPr="006912F6">
        <w:rPr>
          <w:b/>
          <w:bCs/>
          <w:iCs/>
          <w:sz w:val="20"/>
          <w:szCs w:val="18"/>
        </w:rPr>
        <w:t>3.</w:t>
      </w:r>
      <w:r w:rsidR="00AC3AA0" w:rsidRPr="006912F6">
        <w:rPr>
          <w:b/>
          <w:bCs/>
          <w:iCs/>
          <w:sz w:val="20"/>
          <w:szCs w:val="18"/>
        </w:rPr>
        <w:t>7</w:t>
      </w:r>
      <w:r w:rsidRPr="006912F6">
        <w:rPr>
          <w:b/>
          <w:bCs/>
          <w:iCs/>
          <w:sz w:val="20"/>
          <w:szCs w:val="18"/>
        </w:rPr>
        <w:t xml:space="preserve">. </w:t>
      </w:r>
      <w:r w:rsidRPr="006912F6">
        <w:rPr>
          <w:rFonts w:cs="Times New Roman"/>
          <w:iCs/>
          <w:sz w:val="20"/>
          <w:szCs w:val="18"/>
        </w:rPr>
        <w:t>Option values (NPV</w:t>
      </w:r>
      <w:r w:rsidRPr="006912F6">
        <w:rPr>
          <w:rFonts w:cs="Times New Roman"/>
          <w:iCs/>
          <w:sz w:val="20"/>
          <w:szCs w:val="18"/>
          <w:vertAlign w:val="subscript"/>
        </w:rPr>
        <w:t>opt</w:t>
      </w:r>
      <w:r w:rsidRPr="006912F6">
        <w:rPr>
          <w:rFonts w:cs="Times New Roman"/>
          <w:iCs/>
          <w:sz w:val="20"/>
          <w:szCs w:val="18"/>
        </w:rPr>
        <w:t>) and optimal times (OIT) by different premium values in different SLR scenarios</w:t>
      </w:r>
      <w:r w:rsidRPr="006912F6">
        <w:rPr>
          <w:rFonts w:cs="Times New Roman"/>
          <w:sz w:val="20"/>
          <w:szCs w:val="18"/>
        </w:rPr>
        <w:t xml:space="preserve"> for the adaptation path of </w:t>
      </w:r>
      <m:oMath>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c</m:t>
            </m:r>
            <m:r>
              <w:rPr>
                <w:rFonts w:ascii="Cambria Math" w:hAnsi="Cambria Math" w:cs="Times New Roman" w:hint="eastAsia"/>
                <w:sz w:val="20"/>
                <w:szCs w:val="18"/>
              </w:rPr>
              <m:t>→</m:t>
            </m:r>
            <m:r>
              <w:rPr>
                <w:rFonts w:ascii="Cambria Math" w:hAnsi="Cambria Math" w:cs="Times New Roman"/>
                <w:sz w:val="20"/>
                <w:szCs w:val="18"/>
              </w:rPr>
              <m:t>3.0m</m:t>
            </m:r>
          </m:sub>
        </m:sSub>
        <m:r>
          <w:rPr>
            <w:rFonts w:ascii="Cambria Math" w:hAnsi="Cambria Math" w:cs="Times New Roman"/>
            <w:sz w:val="20"/>
            <w:szCs w:val="18"/>
          </w:rPr>
          <m:t>*</m:t>
        </m:r>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3.0m</m:t>
            </m:r>
            <m:r>
              <w:rPr>
                <w:rFonts w:ascii="Cambria Math" w:hAnsi="Cambria Math" w:cs="Times New Roman" w:hint="eastAsia"/>
                <w:sz w:val="20"/>
                <w:szCs w:val="18"/>
              </w:rPr>
              <m:t>→</m:t>
            </m:r>
            <m:r>
              <w:rPr>
                <w:rFonts w:ascii="Cambria Math" w:hAnsi="Cambria Math" w:cs="Times New Roman"/>
                <w:sz w:val="20"/>
                <w:szCs w:val="18"/>
              </w:rPr>
              <m:t>3.5m</m:t>
            </m:r>
          </m:sub>
        </m:sSub>
        <m:r>
          <w:rPr>
            <w:rFonts w:ascii="Cambria Math" w:hAnsi="Cambria Math" w:cs="Times New Roman"/>
            <w:sz w:val="20"/>
            <w:szCs w:val="18"/>
          </w:rPr>
          <m:t>*</m:t>
        </m:r>
        <m:sSub>
          <m:sSubPr>
            <m:ctrlPr>
              <w:rPr>
                <w:rFonts w:ascii="Cambria Math" w:hAnsi="Cambria Math" w:cs="Times New Roman"/>
                <w:i/>
                <w:sz w:val="20"/>
                <w:szCs w:val="18"/>
              </w:rPr>
            </m:ctrlPr>
          </m:sSubPr>
          <m:e>
            <m:r>
              <w:rPr>
                <w:rFonts w:ascii="Cambria Math" w:hAnsi="Cambria Math" w:cs="Times New Roman"/>
                <w:sz w:val="20"/>
                <w:szCs w:val="18"/>
              </w:rPr>
              <m:t>U</m:t>
            </m:r>
          </m:e>
          <m:sub>
            <m:r>
              <w:rPr>
                <w:rFonts w:ascii="Cambria Math" w:hAnsi="Cambria Math" w:cs="Times New Roman"/>
                <w:sz w:val="20"/>
                <w:szCs w:val="18"/>
              </w:rPr>
              <m:t>3.5m</m:t>
            </m:r>
            <m:r>
              <w:rPr>
                <w:rFonts w:ascii="Cambria Math" w:hAnsi="Cambria Math" w:cs="Times New Roman" w:hint="eastAsia"/>
                <w:sz w:val="20"/>
                <w:szCs w:val="18"/>
              </w:rPr>
              <m:t>→</m:t>
            </m:r>
            <m:r>
              <w:rPr>
                <w:rFonts w:ascii="Cambria Math" w:hAnsi="Cambria Math" w:cs="Times New Roman"/>
                <w:sz w:val="20"/>
                <w:szCs w:val="18"/>
              </w:rPr>
              <m:t>4.0m</m:t>
            </m:r>
          </m:sub>
        </m:sSub>
      </m:oMath>
      <w:bookmarkEnd w:id="718"/>
    </w:p>
    <w:tbl>
      <w:tblPr>
        <w:tblStyle w:val="a3"/>
        <w:tblW w:w="8931" w:type="dxa"/>
        <w:tblBorders>
          <w:left w:val="none" w:sz="0" w:space="0" w:color="auto"/>
          <w:right w:val="none" w:sz="0" w:space="0" w:color="auto"/>
        </w:tblBorders>
        <w:tblLayout w:type="fixed"/>
        <w:tblLook w:val="04A0" w:firstRow="1" w:lastRow="0" w:firstColumn="1" w:lastColumn="0" w:noHBand="0" w:noVBand="1"/>
      </w:tblPr>
      <w:tblGrid>
        <w:gridCol w:w="851"/>
        <w:gridCol w:w="706"/>
        <w:gridCol w:w="690"/>
        <w:gridCol w:w="624"/>
        <w:gridCol w:w="625"/>
        <w:gridCol w:w="624"/>
        <w:gridCol w:w="624"/>
        <w:gridCol w:w="628"/>
        <w:gridCol w:w="666"/>
        <w:gridCol w:w="667"/>
        <w:gridCol w:w="667"/>
        <w:gridCol w:w="709"/>
        <w:gridCol w:w="850"/>
      </w:tblGrid>
      <w:tr w:rsidR="006912F6" w:rsidRPr="006912F6" w14:paraId="5DA43A49" w14:textId="77777777" w:rsidTr="000C4BE5">
        <w:trPr>
          <w:trHeight w:val="515"/>
        </w:trPr>
        <w:tc>
          <w:tcPr>
            <w:tcW w:w="851" w:type="dxa"/>
            <w:vMerge w:val="restart"/>
            <w:vAlign w:val="center"/>
          </w:tcPr>
          <w:p w14:paraId="6D591983" w14:textId="77777777" w:rsidR="001B757C" w:rsidRPr="006912F6" w:rsidRDefault="001B757C" w:rsidP="000C4BE5">
            <w:pPr>
              <w:spacing w:before="0" w:line="240" w:lineRule="auto"/>
              <w:jc w:val="center"/>
              <w:rPr>
                <w:rFonts w:asciiTheme="majorHAnsi" w:hAnsiTheme="majorHAnsi" w:cstheme="majorHAnsi"/>
                <w:sz w:val="18"/>
              </w:rPr>
            </w:pPr>
            <w:r w:rsidRPr="006912F6">
              <w:rPr>
                <w:rFonts w:asciiTheme="majorHAnsi" w:hAnsiTheme="majorHAnsi" w:cstheme="majorHAnsi"/>
                <w:sz w:val="16"/>
              </w:rPr>
              <w:t>SLR scenario</w:t>
            </w:r>
          </w:p>
        </w:tc>
        <w:tc>
          <w:tcPr>
            <w:tcW w:w="706" w:type="dxa"/>
            <w:vMerge w:val="restart"/>
            <w:vAlign w:val="center"/>
          </w:tcPr>
          <w:p w14:paraId="0E349587" w14:textId="77777777" w:rsidR="001B757C" w:rsidRPr="006912F6" w:rsidRDefault="001B757C" w:rsidP="000C4BE5">
            <w:pPr>
              <w:spacing w:before="0" w:line="240" w:lineRule="auto"/>
              <w:jc w:val="center"/>
              <w:rPr>
                <w:rFonts w:asciiTheme="majorHAnsi" w:hAnsiTheme="majorHAnsi" w:cstheme="majorHAnsi"/>
                <w:sz w:val="18"/>
              </w:rPr>
            </w:pPr>
            <w:r w:rsidRPr="006912F6">
              <w:rPr>
                <w:rFonts w:asciiTheme="majorHAnsi" w:hAnsiTheme="majorHAnsi" w:cstheme="majorHAnsi"/>
                <w:sz w:val="16"/>
              </w:rPr>
              <w:t>Pre-mium</w:t>
            </w:r>
          </w:p>
        </w:tc>
        <w:tc>
          <w:tcPr>
            <w:tcW w:w="1939" w:type="dxa"/>
            <w:gridSpan w:val="3"/>
            <w:vAlign w:val="center"/>
          </w:tcPr>
          <w:p w14:paraId="125914EB" w14:textId="77777777" w:rsidR="001B757C" w:rsidRPr="006912F6" w:rsidRDefault="001B757C" w:rsidP="000C4BE5">
            <w:pPr>
              <w:spacing w:before="0" w:line="240" w:lineRule="auto"/>
              <w:jc w:val="center"/>
              <w:rPr>
                <w:rFonts w:asciiTheme="majorHAnsi" w:hAnsiTheme="majorHAnsi" w:cstheme="majorHAnsi"/>
                <w:sz w:val="16"/>
              </w:rPr>
            </w:pPr>
            <w:r w:rsidRPr="006912F6">
              <w:rPr>
                <w:rFonts w:asciiTheme="majorHAnsi" w:hAnsiTheme="majorHAnsi" w:cstheme="majorHAnsi"/>
                <w:sz w:val="16"/>
              </w:rPr>
              <w:t>The first phase adaptation (</w:t>
            </w:r>
            <m:oMath>
              <m:sSub>
                <m:sSubPr>
                  <m:ctrlPr>
                    <w:rPr>
                      <w:rFonts w:ascii="Cambria Math" w:hAnsi="Cambria Math" w:cstheme="majorHAnsi"/>
                      <w:i/>
                      <w:sz w:val="16"/>
                    </w:rPr>
                  </m:ctrlPr>
                </m:sSubPr>
                <m:e>
                  <m:r>
                    <w:rPr>
                      <w:rFonts w:ascii="Cambria Math" w:hAnsi="Cambria Math" w:cstheme="majorHAnsi"/>
                      <w:sz w:val="16"/>
                    </w:rPr>
                    <m:t>U</m:t>
                  </m:r>
                </m:e>
                <m:sub>
                  <m:r>
                    <w:rPr>
                      <w:rFonts w:ascii="Cambria Math" w:hAnsi="Cambria Math" w:cstheme="majorHAnsi"/>
                      <w:sz w:val="16"/>
                    </w:rPr>
                    <m:t>c→3.0m</m:t>
                  </m:r>
                </m:sub>
              </m:sSub>
              <m:r>
                <w:rPr>
                  <w:rFonts w:ascii="Cambria Math" w:hAnsi="Cambria Math" w:cstheme="majorHAnsi"/>
                  <w:sz w:val="16"/>
                </w:rPr>
                <m:t>)</m:t>
              </m:r>
            </m:oMath>
          </w:p>
        </w:tc>
        <w:tc>
          <w:tcPr>
            <w:tcW w:w="1876" w:type="dxa"/>
            <w:gridSpan w:val="3"/>
            <w:vAlign w:val="center"/>
          </w:tcPr>
          <w:p w14:paraId="7E8429AC" w14:textId="77777777" w:rsidR="001B757C" w:rsidRPr="006912F6" w:rsidRDefault="001B757C" w:rsidP="000C4BE5">
            <w:pPr>
              <w:spacing w:before="0" w:line="240" w:lineRule="auto"/>
              <w:jc w:val="center"/>
              <w:rPr>
                <w:rFonts w:asciiTheme="majorHAnsi" w:hAnsiTheme="majorHAnsi" w:cstheme="majorHAnsi"/>
                <w:sz w:val="16"/>
              </w:rPr>
            </w:pPr>
            <w:r w:rsidRPr="006912F6">
              <w:rPr>
                <w:rFonts w:asciiTheme="majorHAnsi" w:hAnsiTheme="majorHAnsi" w:cstheme="majorHAnsi"/>
                <w:sz w:val="16"/>
              </w:rPr>
              <w:t>The second phase adaptation (</w:t>
            </w:r>
            <m:oMath>
              <m:sSub>
                <m:sSubPr>
                  <m:ctrlPr>
                    <w:rPr>
                      <w:rFonts w:ascii="Cambria Math" w:hAnsi="Cambria Math" w:cstheme="majorHAnsi"/>
                      <w:i/>
                      <w:sz w:val="16"/>
                    </w:rPr>
                  </m:ctrlPr>
                </m:sSubPr>
                <m:e>
                  <m:r>
                    <w:rPr>
                      <w:rFonts w:ascii="Cambria Math" w:hAnsi="Cambria Math" w:cstheme="majorHAnsi"/>
                      <w:sz w:val="16"/>
                    </w:rPr>
                    <m:t>U</m:t>
                  </m:r>
                </m:e>
                <m:sub>
                  <m:r>
                    <w:rPr>
                      <w:rFonts w:ascii="Cambria Math" w:hAnsi="Cambria Math" w:cstheme="majorHAnsi"/>
                      <w:sz w:val="16"/>
                    </w:rPr>
                    <m:t>3.0m→3.5m</m:t>
                  </m:r>
                </m:sub>
              </m:sSub>
              <m:r>
                <w:rPr>
                  <w:rFonts w:ascii="Cambria Math" w:hAnsi="Cambria Math" w:cstheme="majorHAnsi"/>
                  <w:sz w:val="16"/>
                </w:rPr>
                <m:t>)</m:t>
              </m:r>
            </m:oMath>
          </w:p>
        </w:tc>
        <w:tc>
          <w:tcPr>
            <w:tcW w:w="2000" w:type="dxa"/>
            <w:gridSpan w:val="3"/>
            <w:vAlign w:val="center"/>
          </w:tcPr>
          <w:p w14:paraId="2F3FB56E" w14:textId="77777777" w:rsidR="001B757C" w:rsidRPr="006912F6" w:rsidRDefault="001B757C" w:rsidP="000C4BE5">
            <w:pPr>
              <w:spacing w:before="0" w:line="240" w:lineRule="auto"/>
              <w:jc w:val="center"/>
              <w:rPr>
                <w:rFonts w:asciiTheme="majorHAnsi" w:hAnsiTheme="majorHAnsi" w:cstheme="majorHAnsi"/>
                <w:sz w:val="16"/>
              </w:rPr>
            </w:pPr>
            <w:r w:rsidRPr="006912F6">
              <w:rPr>
                <w:rFonts w:asciiTheme="majorHAnsi" w:hAnsiTheme="majorHAnsi" w:cstheme="majorHAnsi"/>
                <w:sz w:val="16"/>
              </w:rPr>
              <w:t xml:space="preserve">The third phase </w:t>
            </w:r>
          </w:p>
          <w:p w14:paraId="3A1FFFDF" w14:textId="77777777" w:rsidR="001B757C" w:rsidRPr="006912F6" w:rsidRDefault="001B757C" w:rsidP="000C4BE5">
            <w:pPr>
              <w:spacing w:before="0" w:line="240" w:lineRule="auto"/>
              <w:jc w:val="center"/>
              <w:rPr>
                <w:rFonts w:asciiTheme="majorHAnsi" w:hAnsiTheme="majorHAnsi" w:cstheme="majorHAnsi"/>
                <w:sz w:val="16"/>
              </w:rPr>
            </w:pPr>
            <w:r w:rsidRPr="006912F6">
              <w:rPr>
                <w:rFonts w:asciiTheme="majorHAnsi" w:hAnsiTheme="majorHAnsi" w:cstheme="majorHAnsi"/>
                <w:sz w:val="16"/>
              </w:rPr>
              <w:t>adaptation (</w:t>
            </w:r>
            <m:oMath>
              <m:sSub>
                <m:sSubPr>
                  <m:ctrlPr>
                    <w:rPr>
                      <w:rFonts w:ascii="Cambria Math" w:hAnsi="Cambria Math" w:cstheme="majorHAnsi"/>
                      <w:i/>
                      <w:sz w:val="16"/>
                    </w:rPr>
                  </m:ctrlPr>
                </m:sSubPr>
                <m:e>
                  <m:r>
                    <w:rPr>
                      <w:rFonts w:ascii="Cambria Math" w:hAnsi="Cambria Math" w:cstheme="majorHAnsi"/>
                      <w:sz w:val="16"/>
                    </w:rPr>
                    <m:t>U</m:t>
                  </m:r>
                </m:e>
                <m:sub>
                  <m:r>
                    <w:rPr>
                      <w:rFonts w:ascii="Cambria Math" w:hAnsi="Cambria Math" w:cstheme="majorHAnsi"/>
                      <w:sz w:val="16"/>
                    </w:rPr>
                    <m:t>3.5m→4.0m</m:t>
                  </m:r>
                </m:sub>
              </m:sSub>
              <m:r>
                <w:rPr>
                  <w:rFonts w:ascii="Cambria Math" w:hAnsi="Cambria Math" w:cstheme="majorHAnsi"/>
                  <w:sz w:val="16"/>
                </w:rPr>
                <m:t>)</m:t>
              </m:r>
            </m:oMath>
          </w:p>
        </w:tc>
        <w:tc>
          <w:tcPr>
            <w:tcW w:w="1559" w:type="dxa"/>
            <w:gridSpan w:val="2"/>
            <w:vAlign w:val="center"/>
          </w:tcPr>
          <w:p w14:paraId="78A7EFB7" w14:textId="77777777" w:rsidR="001B757C" w:rsidRPr="006912F6" w:rsidRDefault="001B757C" w:rsidP="000C4BE5">
            <w:pPr>
              <w:spacing w:before="0" w:line="240" w:lineRule="auto"/>
              <w:jc w:val="center"/>
              <w:rPr>
                <w:rFonts w:asciiTheme="majorHAnsi" w:hAnsiTheme="majorHAnsi" w:cstheme="majorHAnsi"/>
                <w:sz w:val="16"/>
              </w:rPr>
            </w:pPr>
            <w:r w:rsidRPr="006912F6">
              <w:rPr>
                <w:rFonts w:asciiTheme="majorHAnsi" w:hAnsiTheme="majorHAnsi" w:cstheme="majorHAnsi"/>
                <w:sz w:val="16"/>
              </w:rPr>
              <w:t>The overall adaptations</w:t>
            </w:r>
          </w:p>
        </w:tc>
      </w:tr>
      <w:tr w:rsidR="006912F6" w:rsidRPr="006912F6" w14:paraId="7CCA6386" w14:textId="77777777" w:rsidTr="000C4BE5">
        <w:trPr>
          <w:trHeight w:val="421"/>
        </w:trPr>
        <w:tc>
          <w:tcPr>
            <w:tcW w:w="851" w:type="dxa"/>
            <w:vMerge/>
            <w:vAlign w:val="center"/>
          </w:tcPr>
          <w:p w14:paraId="005CF7A3" w14:textId="77777777" w:rsidR="001B757C" w:rsidRPr="006912F6" w:rsidRDefault="001B757C" w:rsidP="000C4BE5">
            <w:pPr>
              <w:spacing w:before="0" w:line="240" w:lineRule="auto"/>
              <w:rPr>
                <w:rFonts w:asciiTheme="majorHAnsi" w:hAnsiTheme="majorHAnsi" w:cstheme="majorHAnsi"/>
                <w:sz w:val="16"/>
              </w:rPr>
            </w:pPr>
          </w:p>
        </w:tc>
        <w:tc>
          <w:tcPr>
            <w:tcW w:w="706" w:type="dxa"/>
            <w:vMerge/>
            <w:tcBorders>
              <w:bottom w:val="single" w:sz="4" w:space="0" w:color="auto"/>
            </w:tcBorders>
            <w:vAlign w:val="center"/>
          </w:tcPr>
          <w:p w14:paraId="0994D806" w14:textId="77777777" w:rsidR="001B757C" w:rsidRPr="006912F6" w:rsidRDefault="001B757C" w:rsidP="000C4BE5">
            <w:pPr>
              <w:spacing w:before="0" w:line="240" w:lineRule="auto"/>
              <w:rPr>
                <w:rFonts w:asciiTheme="majorHAnsi" w:hAnsiTheme="majorHAnsi" w:cstheme="majorHAnsi"/>
                <w:sz w:val="16"/>
              </w:rPr>
            </w:pPr>
          </w:p>
        </w:tc>
        <w:tc>
          <w:tcPr>
            <w:tcW w:w="690" w:type="dxa"/>
            <w:tcBorders>
              <w:bottom w:val="single" w:sz="4" w:space="0" w:color="auto"/>
            </w:tcBorders>
            <w:vAlign w:val="center"/>
          </w:tcPr>
          <w:p w14:paraId="2E300D50" w14:textId="102E69BE" w:rsidR="001B757C" w:rsidRPr="006912F6" w:rsidRDefault="001B757C" w:rsidP="000C4BE5">
            <w:pPr>
              <w:spacing w:before="0" w:line="240" w:lineRule="auto"/>
              <w:jc w:val="center"/>
              <w:rPr>
                <w:rFonts w:asciiTheme="majorHAnsi" w:hAnsiTheme="majorHAnsi" w:cstheme="majorHAnsi"/>
                <w:i/>
                <w:spacing w:val="-14"/>
                <w:sz w:val="16"/>
                <w:szCs w:val="28"/>
              </w:rPr>
            </w:pPr>
            <w:r w:rsidRPr="006912F6">
              <w:rPr>
                <w:rFonts w:asciiTheme="majorHAnsi" w:hAnsiTheme="majorHAnsi" w:cstheme="majorHAnsi"/>
                <w:i/>
                <w:spacing w:val="-14"/>
                <w:sz w:val="16"/>
                <w:szCs w:val="28"/>
              </w:rPr>
              <w:t>I + I</w:t>
            </w:r>
            <w:r w:rsidR="006912F6" w:rsidRPr="006912F6">
              <w:rPr>
                <w:rFonts w:asciiTheme="majorHAnsi" w:hAnsiTheme="majorHAnsi" w:cstheme="majorHAnsi"/>
                <w:i/>
                <w:spacing w:val="-14"/>
                <w:sz w:val="16"/>
                <w:szCs w:val="28"/>
                <w:vertAlign w:val="subscript"/>
              </w:rPr>
              <w:t>f</w:t>
            </w:r>
          </w:p>
          <w:p w14:paraId="047B8196" w14:textId="77777777" w:rsidR="001B757C" w:rsidRPr="006912F6" w:rsidRDefault="001B757C" w:rsidP="000C4BE5">
            <w:pPr>
              <w:spacing w:before="0" w:line="240" w:lineRule="auto"/>
              <w:jc w:val="center"/>
              <w:rPr>
                <w:rFonts w:asciiTheme="majorHAnsi" w:hAnsiTheme="majorHAnsi" w:cstheme="majorHAnsi"/>
                <w:spacing w:val="-14"/>
                <w:sz w:val="16"/>
                <w:szCs w:val="28"/>
              </w:rPr>
            </w:pPr>
            <w:r w:rsidRPr="006912F6">
              <w:rPr>
                <w:rFonts w:asciiTheme="majorHAnsi" w:hAnsiTheme="majorHAnsi" w:cstheme="majorHAnsi"/>
                <w:spacing w:val="-14"/>
                <w:sz w:val="16"/>
                <w:szCs w:val="28"/>
              </w:rPr>
              <w:t xml:space="preserve"> (£ M)</w:t>
            </w:r>
          </w:p>
        </w:tc>
        <w:tc>
          <w:tcPr>
            <w:tcW w:w="624" w:type="dxa"/>
            <w:tcBorders>
              <w:bottom w:val="single" w:sz="4" w:space="0" w:color="auto"/>
            </w:tcBorders>
            <w:vAlign w:val="center"/>
          </w:tcPr>
          <w:p w14:paraId="1126FF52" w14:textId="77777777" w:rsidR="001B757C" w:rsidRPr="006912F6" w:rsidRDefault="001B757C" w:rsidP="000C4BE5">
            <w:pPr>
              <w:spacing w:before="0" w:line="240" w:lineRule="auto"/>
              <w:jc w:val="center"/>
              <w:rPr>
                <w:rFonts w:asciiTheme="majorHAnsi" w:hAnsiTheme="majorHAnsi" w:cstheme="majorHAnsi"/>
                <w:spacing w:val="-14"/>
                <w:sz w:val="16"/>
                <w:szCs w:val="28"/>
              </w:rPr>
            </w:pPr>
            <w:r w:rsidRPr="006912F6">
              <w:rPr>
                <w:rFonts w:asciiTheme="majorHAnsi" w:hAnsiTheme="majorHAnsi" w:cstheme="majorHAnsi"/>
                <w:spacing w:val="-14"/>
                <w:sz w:val="16"/>
                <w:szCs w:val="28"/>
              </w:rPr>
              <w:t>NPV</w:t>
            </w:r>
            <w:r w:rsidRPr="006912F6">
              <w:rPr>
                <w:rFonts w:asciiTheme="majorHAnsi" w:hAnsiTheme="majorHAnsi" w:cstheme="majorHAnsi"/>
                <w:spacing w:val="-14"/>
                <w:sz w:val="16"/>
                <w:szCs w:val="28"/>
                <w:vertAlign w:val="subscript"/>
              </w:rPr>
              <w:t>OPT</w:t>
            </w:r>
            <w:r w:rsidRPr="006912F6">
              <w:rPr>
                <w:rFonts w:asciiTheme="majorHAnsi" w:hAnsiTheme="majorHAnsi" w:cstheme="majorHAnsi"/>
                <w:spacing w:val="-14"/>
                <w:sz w:val="16"/>
                <w:szCs w:val="28"/>
              </w:rPr>
              <w:t xml:space="preserve"> (£ M)</w:t>
            </w:r>
          </w:p>
        </w:tc>
        <w:tc>
          <w:tcPr>
            <w:tcW w:w="625" w:type="dxa"/>
            <w:tcBorders>
              <w:bottom w:val="single" w:sz="4" w:space="0" w:color="auto"/>
            </w:tcBorders>
            <w:vAlign w:val="center"/>
          </w:tcPr>
          <w:p w14:paraId="201DA1E1" w14:textId="77777777" w:rsidR="001B757C" w:rsidRPr="006912F6" w:rsidRDefault="001B757C" w:rsidP="000C4BE5">
            <w:pPr>
              <w:spacing w:before="0" w:line="240" w:lineRule="auto"/>
              <w:jc w:val="center"/>
              <w:rPr>
                <w:rFonts w:asciiTheme="majorHAnsi" w:hAnsiTheme="majorHAnsi" w:cstheme="majorHAnsi"/>
                <w:spacing w:val="-14"/>
                <w:sz w:val="16"/>
                <w:szCs w:val="28"/>
              </w:rPr>
            </w:pPr>
            <w:r w:rsidRPr="006912F6">
              <w:rPr>
                <w:rFonts w:asciiTheme="majorHAnsi" w:hAnsiTheme="majorHAnsi" w:cstheme="majorHAnsi"/>
                <w:spacing w:val="-14"/>
                <w:sz w:val="16"/>
                <w:szCs w:val="28"/>
              </w:rPr>
              <w:t>OIT</w:t>
            </w:r>
          </w:p>
        </w:tc>
        <w:tc>
          <w:tcPr>
            <w:tcW w:w="624" w:type="dxa"/>
            <w:tcBorders>
              <w:bottom w:val="single" w:sz="4" w:space="0" w:color="auto"/>
            </w:tcBorders>
            <w:vAlign w:val="center"/>
          </w:tcPr>
          <w:p w14:paraId="2BD7EF99" w14:textId="459659D6" w:rsidR="001B757C" w:rsidRPr="006912F6" w:rsidRDefault="001B757C" w:rsidP="000C4BE5">
            <w:pPr>
              <w:spacing w:before="0" w:line="240" w:lineRule="auto"/>
              <w:jc w:val="center"/>
              <w:rPr>
                <w:rFonts w:asciiTheme="majorHAnsi" w:hAnsiTheme="majorHAnsi" w:cstheme="majorHAnsi"/>
                <w:i/>
                <w:spacing w:val="-14"/>
                <w:sz w:val="16"/>
                <w:szCs w:val="28"/>
              </w:rPr>
            </w:pPr>
            <w:r w:rsidRPr="006912F6">
              <w:rPr>
                <w:rFonts w:asciiTheme="majorHAnsi" w:hAnsiTheme="majorHAnsi" w:cstheme="majorHAnsi"/>
                <w:i/>
                <w:spacing w:val="-14"/>
                <w:sz w:val="16"/>
                <w:szCs w:val="28"/>
              </w:rPr>
              <w:t>I +</w:t>
            </w:r>
            <w:r w:rsidR="006912F6" w:rsidRPr="006912F6">
              <w:rPr>
                <w:rFonts w:asciiTheme="majorHAnsi" w:hAnsiTheme="majorHAnsi" w:cstheme="majorHAnsi"/>
                <w:i/>
                <w:spacing w:val="-14"/>
                <w:sz w:val="16"/>
                <w:szCs w:val="28"/>
              </w:rPr>
              <w:t>I</w:t>
            </w:r>
            <w:r w:rsidR="006912F6" w:rsidRPr="006912F6">
              <w:rPr>
                <w:rFonts w:asciiTheme="majorHAnsi" w:hAnsiTheme="majorHAnsi" w:cstheme="majorHAnsi"/>
                <w:i/>
                <w:spacing w:val="-14"/>
                <w:sz w:val="16"/>
                <w:szCs w:val="28"/>
                <w:vertAlign w:val="subscript"/>
              </w:rPr>
              <w:t>f</w:t>
            </w:r>
          </w:p>
          <w:p w14:paraId="160F7AEB" w14:textId="77777777" w:rsidR="001B757C" w:rsidRPr="006912F6" w:rsidRDefault="001B757C" w:rsidP="000C4BE5">
            <w:pPr>
              <w:spacing w:before="0" w:line="240" w:lineRule="auto"/>
              <w:jc w:val="center"/>
              <w:rPr>
                <w:rFonts w:asciiTheme="majorHAnsi" w:hAnsiTheme="majorHAnsi" w:cstheme="majorHAnsi"/>
                <w:spacing w:val="-14"/>
                <w:sz w:val="16"/>
                <w:szCs w:val="28"/>
              </w:rPr>
            </w:pPr>
            <w:r w:rsidRPr="006912F6">
              <w:rPr>
                <w:rFonts w:asciiTheme="majorHAnsi" w:hAnsiTheme="majorHAnsi" w:cstheme="majorHAnsi"/>
                <w:spacing w:val="-14"/>
                <w:sz w:val="16"/>
                <w:szCs w:val="28"/>
              </w:rPr>
              <w:t xml:space="preserve"> (£ M)</w:t>
            </w:r>
          </w:p>
        </w:tc>
        <w:tc>
          <w:tcPr>
            <w:tcW w:w="624" w:type="dxa"/>
            <w:tcBorders>
              <w:bottom w:val="single" w:sz="4" w:space="0" w:color="auto"/>
            </w:tcBorders>
            <w:vAlign w:val="center"/>
          </w:tcPr>
          <w:p w14:paraId="6AEB3949" w14:textId="77777777" w:rsidR="001B757C" w:rsidRPr="006912F6" w:rsidRDefault="001B757C" w:rsidP="000C4BE5">
            <w:pPr>
              <w:spacing w:before="0" w:line="240" w:lineRule="auto"/>
              <w:jc w:val="center"/>
              <w:rPr>
                <w:rFonts w:asciiTheme="majorHAnsi" w:hAnsiTheme="majorHAnsi" w:cstheme="majorHAnsi"/>
                <w:spacing w:val="-14"/>
                <w:sz w:val="16"/>
                <w:szCs w:val="28"/>
              </w:rPr>
            </w:pPr>
            <w:r w:rsidRPr="006912F6">
              <w:rPr>
                <w:rFonts w:asciiTheme="majorHAnsi" w:hAnsiTheme="majorHAnsi" w:cstheme="majorHAnsi"/>
                <w:spacing w:val="-14"/>
                <w:sz w:val="16"/>
                <w:szCs w:val="28"/>
              </w:rPr>
              <w:t>NPV</w:t>
            </w:r>
            <w:r w:rsidRPr="006912F6">
              <w:rPr>
                <w:rFonts w:asciiTheme="majorHAnsi" w:hAnsiTheme="majorHAnsi" w:cstheme="majorHAnsi"/>
                <w:spacing w:val="-14"/>
                <w:sz w:val="16"/>
                <w:szCs w:val="28"/>
                <w:vertAlign w:val="subscript"/>
              </w:rPr>
              <w:t>OPT</w:t>
            </w:r>
            <w:r w:rsidRPr="006912F6">
              <w:rPr>
                <w:rFonts w:asciiTheme="majorHAnsi" w:hAnsiTheme="majorHAnsi" w:cstheme="majorHAnsi"/>
                <w:spacing w:val="-14"/>
                <w:sz w:val="16"/>
                <w:szCs w:val="28"/>
              </w:rPr>
              <w:t xml:space="preserve"> (£ M)</w:t>
            </w:r>
          </w:p>
        </w:tc>
        <w:tc>
          <w:tcPr>
            <w:tcW w:w="628" w:type="dxa"/>
            <w:tcBorders>
              <w:bottom w:val="single" w:sz="4" w:space="0" w:color="auto"/>
            </w:tcBorders>
            <w:vAlign w:val="center"/>
          </w:tcPr>
          <w:p w14:paraId="5D0198A5" w14:textId="77777777" w:rsidR="001B757C" w:rsidRPr="006912F6" w:rsidRDefault="001B757C" w:rsidP="000C4BE5">
            <w:pPr>
              <w:spacing w:before="0" w:line="240" w:lineRule="auto"/>
              <w:jc w:val="center"/>
              <w:rPr>
                <w:rFonts w:asciiTheme="majorHAnsi" w:hAnsiTheme="majorHAnsi" w:cstheme="majorHAnsi"/>
                <w:spacing w:val="-14"/>
                <w:sz w:val="16"/>
                <w:szCs w:val="28"/>
              </w:rPr>
            </w:pPr>
            <w:r w:rsidRPr="006912F6">
              <w:rPr>
                <w:rFonts w:asciiTheme="majorHAnsi" w:hAnsiTheme="majorHAnsi" w:cstheme="majorHAnsi"/>
                <w:spacing w:val="-14"/>
                <w:sz w:val="16"/>
                <w:szCs w:val="28"/>
              </w:rPr>
              <w:t>OIT</w:t>
            </w:r>
          </w:p>
        </w:tc>
        <w:tc>
          <w:tcPr>
            <w:tcW w:w="666" w:type="dxa"/>
            <w:tcBorders>
              <w:bottom w:val="single" w:sz="4" w:space="0" w:color="auto"/>
            </w:tcBorders>
            <w:vAlign w:val="center"/>
          </w:tcPr>
          <w:p w14:paraId="2149E290" w14:textId="167007D7" w:rsidR="001B757C" w:rsidRPr="006912F6" w:rsidRDefault="001B757C" w:rsidP="000C4BE5">
            <w:pPr>
              <w:spacing w:before="0" w:line="240" w:lineRule="auto"/>
              <w:jc w:val="center"/>
              <w:rPr>
                <w:rFonts w:asciiTheme="majorHAnsi" w:hAnsiTheme="majorHAnsi" w:cstheme="majorHAnsi"/>
                <w:i/>
                <w:spacing w:val="-14"/>
                <w:sz w:val="16"/>
                <w:szCs w:val="28"/>
              </w:rPr>
            </w:pPr>
            <w:r w:rsidRPr="006912F6">
              <w:rPr>
                <w:rFonts w:asciiTheme="majorHAnsi" w:hAnsiTheme="majorHAnsi" w:cstheme="majorHAnsi"/>
                <w:i/>
                <w:spacing w:val="-14"/>
                <w:sz w:val="16"/>
                <w:szCs w:val="28"/>
              </w:rPr>
              <w:t>I +</w:t>
            </w:r>
            <w:r w:rsidR="006912F6" w:rsidRPr="006912F6">
              <w:rPr>
                <w:rFonts w:asciiTheme="majorHAnsi" w:hAnsiTheme="majorHAnsi" w:cstheme="majorHAnsi"/>
                <w:i/>
                <w:spacing w:val="-14"/>
                <w:sz w:val="16"/>
                <w:szCs w:val="28"/>
              </w:rPr>
              <w:t>I</w:t>
            </w:r>
            <w:r w:rsidR="006912F6" w:rsidRPr="006912F6">
              <w:rPr>
                <w:rFonts w:asciiTheme="majorHAnsi" w:hAnsiTheme="majorHAnsi" w:cstheme="majorHAnsi"/>
                <w:i/>
                <w:spacing w:val="-14"/>
                <w:sz w:val="16"/>
                <w:szCs w:val="28"/>
                <w:vertAlign w:val="subscript"/>
              </w:rPr>
              <w:t>f</w:t>
            </w:r>
          </w:p>
          <w:p w14:paraId="2A856204" w14:textId="77777777" w:rsidR="001B757C" w:rsidRPr="006912F6" w:rsidRDefault="001B757C" w:rsidP="000C4BE5">
            <w:pPr>
              <w:spacing w:before="0" w:line="240" w:lineRule="auto"/>
              <w:jc w:val="center"/>
              <w:rPr>
                <w:rFonts w:asciiTheme="majorHAnsi" w:hAnsiTheme="majorHAnsi" w:cstheme="majorHAnsi"/>
                <w:spacing w:val="-14"/>
                <w:sz w:val="16"/>
                <w:szCs w:val="28"/>
              </w:rPr>
            </w:pPr>
            <w:r w:rsidRPr="006912F6">
              <w:rPr>
                <w:rFonts w:asciiTheme="majorHAnsi" w:hAnsiTheme="majorHAnsi" w:cstheme="majorHAnsi"/>
                <w:spacing w:val="-14"/>
                <w:sz w:val="16"/>
                <w:szCs w:val="28"/>
              </w:rPr>
              <w:t xml:space="preserve"> (£ M)</w:t>
            </w:r>
          </w:p>
        </w:tc>
        <w:tc>
          <w:tcPr>
            <w:tcW w:w="667" w:type="dxa"/>
            <w:tcBorders>
              <w:bottom w:val="single" w:sz="4" w:space="0" w:color="auto"/>
            </w:tcBorders>
            <w:vAlign w:val="center"/>
          </w:tcPr>
          <w:p w14:paraId="5A0DF3AA" w14:textId="77777777" w:rsidR="001B757C" w:rsidRPr="006912F6" w:rsidRDefault="001B757C" w:rsidP="000C4BE5">
            <w:pPr>
              <w:spacing w:before="0" w:line="240" w:lineRule="auto"/>
              <w:jc w:val="center"/>
              <w:rPr>
                <w:rFonts w:asciiTheme="majorHAnsi" w:hAnsiTheme="majorHAnsi" w:cstheme="majorHAnsi"/>
                <w:spacing w:val="-14"/>
                <w:sz w:val="16"/>
                <w:szCs w:val="28"/>
              </w:rPr>
            </w:pPr>
            <w:r w:rsidRPr="006912F6">
              <w:rPr>
                <w:rFonts w:asciiTheme="majorHAnsi" w:hAnsiTheme="majorHAnsi" w:cstheme="majorHAnsi"/>
                <w:spacing w:val="-14"/>
                <w:sz w:val="16"/>
                <w:szCs w:val="28"/>
              </w:rPr>
              <w:t>NPV</w:t>
            </w:r>
            <w:r w:rsidRPr="006912F6">
              <w:rPr>
                <w:rFonts w:asciiTheme="majorHAnsi" w:hAnsiTheme="majorHAnsi" w:cstheme="majorHAnsi"/>
                <w:spacing w:val="-14"/>
                <w:sz w:val="16"/>
                <w:szCs w:val="28"/>
                <w:vertAlign w:val="subscript"/>
              </w:rPr>
              <w:t>OPT</w:t>
            </w:r>
            <w:r w:rsidRPr="006912F6">
              <w:rPr>
                <w:rFonts w:asciiTheme="majorHAnsi" w:hAnsiTheme="majorHAnsi" w:cstheme="majorHAnsi"/>
                <w:spacing w:val="-14"/>
                <w:sz w:val="16"/>
                <w:szCs w:val="28"/>
              </w:rPr>
              <w:t xml:space="preserve"> (£ M)</w:t>
            </w:r>
          </w:p>
        </w:tc>
        <w:tc>
          <w:tcPr>
            <w:tcW w:w="667" w:type="dxa"/>
            <w:tcBorders>
              <w:bottom w:val="single" w:sz="4" w:space="0" w:color="auto"/>
            </w:tcBorders>
            <w:vAlign w:val="center"/>
          </w:tcPr>
          <w:p w14:paraId="6449B425" w14:textId="77777777" w:rsidR="001B757C" w:rsidRPr="006912F6" w:rsidRDefault="001B757C" w:rsidP="000C4BE5">
            <w:pPr>
              <w:spacing w:before="0" w:line="240" w:lineRule="auto"/>
              <w:jc w:val="center"/>
              <w:rPr>
                <w:rFonts w:asciiTheme="majorHAnsi" w:hAnsiTheme="majorHAnsi" w:cstheme="majorHAnsi"/>
                <w:spacing w:val="-14"/>
                <w:sz w:val="16"/>
                <w:szCs w:val="28"/>
              </w:rPr>
            </w:pPr>
            <w:r w:rsidRPr="006912F6">
              <w:rPr>
                <w:rFonts w:asciiTheme="majorHAnsi" w:hAnsiTheme="majorHAnsi" w:cstheme="majorHAnsi"/>
                <w:spacing w:val="-14"/>
                <w:sz w:val="16"/>
                <w:szCs w:val="28"/>
              </w:rPr>
              <w:t>OIT</w:t>
            </w:r>
          </w:p>
        </w:tc>
        <w:tc>
          <w:tcPr>
            <w:tcW w:w="709" w:type="dxa"/>
            <w:tcBorders>
              <w:bottom w:val="single" w:sz="4" w:space="0" w:color="auto"/>
            </w:tcBorders>
            <w:vAlign w:val="center"/>
          </w:tcPr>
          <w:p w14:paraId="7A90E527" w14:textId="346B01CA" w:rsidR="001B757C" w:rsidRPr="006912F6" w:rsidRDefault="001B757C" w:rsidP="000C4BE5">
            <w:pPr>
              <w:spacing w:before="0" w:line="240" w:lineRule="auto"/>
              <w:jc w:val="center"/>
              <w:rPr>
                <w:rFonts w:asciiTheme="majorHAnsi" w:hAnsiTheme="majorHAnsi" w:cstheme="majorHAnsi"/>
                <w:i/>
                <w:spacing w:val="-14"/>
                <w:sz w:val="16"/>
                <w:szCs w:val="28"/>
              </w:rPr>
            </w:pPr>
            <w:r w:rsidRPr="006912F6">
              <w:rPr>
                <w:rFonts w:asciiTheme="majorHAnsi" w:hAnsiTheme="majorHAnsi" w:cstheme="majorHAnsi"/>
                <w:i/>
                <w:spacing w:val="-14"/>
                <w:sz w:val="16"/>
                <w:szCs w:val="28"/>
              </w:rPr>
              <w:t>I +</w:t>
            </w:r>
            <w:r w:rsidR="006912F6" w:rsidRPr="006912F6">
              <w:rPr>
                <w:rFonts w:asciiTheme="majorHAnsi" w:hAnsiTheme="majorHAnsi" w:cstheme="majorHAnsi"/>
                <w:i/>
                <w:spacing w:val="-14"/>
                <w:sz w:val="16"/>
                <w:szCs w:val="28"/>
              </w:rPr>
              <w:t>I</w:t>
            </w:r>
            <w:r w:rsidR="006912F6" w:rsidRPr="006912F6">
              <w:rPr>
                <w:rFonts w:asciiTheme="majorHAnsi" w:hAnsiTheme="majorHAnsi" w:cstheme="majorHAnsi"/>
                <w:i/>
                <w:spacing w:val="-14"/>
                <w:sz w:val="16"/>
                <w:szCs w:val="28"/>
                <w:vertAlign w:val="subscript"/>
              </w:rPr>
              <w:t>f</w:t>
            </w:r>
          </w:p>
          <w:p w14:paraId="23B3F0B9" w14:textId="77777777" w:rsidR="001B757C" w:rsidRPr="006912F6" w:rsidRDefault="001B757C" w:rsidP="000C4BE5">
            <w:pPr>
              <w:spacing w:before="0" w:line="240" w:lineRule="auto"/>
              <w:jc w:val="center"/>
              <w:rPr>
                <w:rFonts w:asciiTheme="majorHAnsi" w:hAnsiTheme="majorHAnsi" w:cstheme="majorHAnsi"/>
                <w:spacing w:val="-14"/>
                <w:sz w:val="16"/>
                <w:szCs w:val="28"/>
              </w:rPr>
            </w:pPr>
            <w:r w:rsidRPr="006912F6">
              <w:rPr>
                <w:rFonts w:asciiTheme="majorHAnsi" w:hAnsiTheme="majorHAnsi" w:cstheme="majorHAnsi"/>
                <w:spacing w:val="-14"/>
                <w:sz w:val="16"/>
                <w:szCs w:val="28"/>
              </w:rPr>
              <w:t>(£ M)</w:t>
            </w:r>
          </w:p>
        </w:tc>
        <w:tc>
          <w:tcPr>
            <w:tcW w:w="850" w:type="dxa"/>
            <w:tcBorders>
              <w:bottom w:val="single" w:sz="4" w:space="0" w:color="auto"/>
            </w:tcBorders>
            <w:vAlign w:val="center"/>
          </w:tcPr>
          <w:p w14:paraId="49269DE2" w14:textId="77777777" w:rsidR="001B757C" w:rsidRPr="006912F6" w:rsidRDefault="001B757C" w:rsidP="000C4BE5">
            <w:pPr>
              <w:spacing w:before="0" w:line="240" w:lineRule="auto"/>
              <w:jc w:val="center"/>
              <w:rPr>
                <w:rFonts w:asciiTheme="majorHAnsi" w:hAnsiTheme="majorHAnsi" w:cstheme="majorHAnsi"/>
                <w:spacing w:val="-14"/>
                <w:sz w:val="16"/>
                <w:szCs w:val="28"/>
              </w:rPr>
            </w:pPr>
            <w:r w:rsidRPr="006912F6">
              <w:rPr>
                <w:rFonts w:asciiTheme="majorHAnsi" w:hAnsiTheme="majorHAnsi" w:cstheme="majorHAnsi"/>
                <w:spacing w:val="-14"/>
                <w:sz w:val="16"/>
                <w:szCs w:val="28"/>
              </w:rPr>
              <w:t>NPV</w:t>
            </w:r>
            <w:r w:rsidRPr="006912F6">
              <w:rPr>
                <w:rFonts w:asciiTheme="majorHAnsi" w:hAnsiTheme="majorHAnsi" w:cstheme="majorHAnsi"/>
                <w:spacing w:val="-14"/>
                <w:sz w:val="16"/>
                <w:szCs w:val="28"/>
                <w:vertAlign w:val="subscript"/>
              </w:rPr>
              <w:t>OPT</w:t>
            </w:r>
            <w:r w:rsidRPr="006912F6">
              <w:rPr>
                <w:rFonts w:asciiTheme="majorHAnsi" w:hAnsiTheme="majorHAnsi" w:cstheme="majorHAnsi"/>
                <w:spacing w:val="-14"/>
                <w:sz w:val="16"/>
                <w:szCs w:val="28"/>
              </w:rPr>
              <w:t xml:space="preserve"> </w:t>
            </w:r>
          </w:p>
          <w:p w14:paraId="6983B52D" w14:textId="77777777" w:rsidR="001B757C" w:rsidRPr="006912F6" w:rsidRDefault="001B757C" w:rsidP="000C4BE5">
            <w:pPr>
              <w:spacing w:before="0" w:line="240" w:lineRule="auto"/>
              <w:jc w:val="center"/>
              <w:rPr>
                <w:rFonts w:asciiTheme="majorHAnsi" w:hAnsiTheme="majorHAnsi" w:cstheme="majorHAnsi"/>
                <w:spacing w:val="-14"/>
                <w:sz w:val="16"/>
                <w:szCs w:val="28"/>
              </w:rPr>
            </w:pPr>
            <w:r w:rsidRPr="006912F6">
              <w:rPr>
                <w:rFonts w:asciiTheme="majorHAnsi" w:hAnsiTheme="majorHAnsi" w:cstheme="majorHAnsi"/>
                <w:spacing w:val="-14"/>
                <w:sz w:val="16"/>
                <w:szCs w:val="28"/>
              </w:rPr>
              <w:t>(£ M)</w:t>
            </w:r>
          </w:p>
        </w:tc>
      </w:tr>
      <w:tr w:rsidR="006912F6" w:rsidRPr="006912F6" w14:paraId="30F2D373" w14:textId="77777777" w:rsidTr="000C4BE5">
        <w:trPr>
          <w:trHeight w:val="285"/>
        </w:trPr>
        <w:tc>
          <w:tcPr>
            <w:tcW w:w="851" w:type="dxa"/>
            <w:vMerge w:val="restart"/>
            <w:vAlign w:val="center"/>
          </w:tcPr>
          <w:p w14:paraId="7B590642" w14:textId="77777777" w:rsidR="001B757C" w:rsidRPr="006912F6" w:rsidRDefault="001B757C" w:rsidP="00B41568">
            <w:pPr>
              <w:spacing w:before="0"/>
              <w:jc w:val="center"/>
              <w:rPr>
                <w:rFonts w:asciiTheme="majorHAnsi" w:hAnsiTheme="majorHAnsi" w:cstheme="majorHAnsi"/>
                <w:sz w:val="18"/>
                <w:szCs w:val="20"/>
              </w:rPr>
            </w:pPr>
            <w:bookmarkStart w:id="719" w:name="_Hlk42595218"/>
            <w:r w:rsidRPr="006912F6">
              <w:rPr>
                <w:rFonts w:asciiTheme="majorHAnsi" w:hAnsiTheme="majorHAnsi" w:cstheme="majorHAnsi"/>
                <w:sz w:val="18"/>
                <w:szCs w:val="20"/>
              </w:rPr>
              <w:t>H++</w:t>
            </w:r>
          </w:p>
        </w:tc>
        <w:tc>
          <w:tcPr>
            <w:tcW w:w="706" w:type="dxa"/>
            <w:tcBorders>
              <w:bottom w:val="nil"/>
            </w:tcBorders>
            <w:vAlign w:val="center"/>
          </w:tcPr>
          <w:p w14:paraId="2152187A"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690" w:type="dxa"/>
            <w:tcBorders>
              <w:bottom w:val="nil"/>
            </w:tcBorders>
            <w:vAlign w:val="center"/>
          </w:tcPr>
          <w:p w14:paraId="6581B598"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58.14</w:t>
            </w:r>
          </w:p>
        </w:tc>
        <w:tc>
          <w:tcPr>
            <w:tcW w:w="624" w:type="dxa"/>
            <w:tcBorders>
              <w:bottom w:val="nil"/>
            </w:tcBorders>
            <w:vAlign w:val="center"/>
          </w:tcPr>
          <w:p w14:paraId="3C2067AE"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99.11</w:t>
            </w:r>
          </w:p>
        </w:tc>
        <w:tc>
          <w:tcPr>
            <w:tcW w:w="625" w:type="dxa"/>
            <w:tcBorders>
              <w:bottom w:val="nil"/>
            </w:tcBorders>
            <w:vAlign w:val="center"/>
          </w:tcPr>
          <w:p w14:paraId="4236416C"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Now</w:t>
            </w:r>
          </w:p>
        </w:tc>
        <w:tc>
          <w:tcPr>
            <w:tcW w:w="624" w:type="dxa"/>
            <w:tcBorders>
              <w:bottom w:val="nil"/>
            </w:tcBorders>
            <w:vAlign w:val="center"/>
          </w:tcPr>
          <w:p w14:paraId="3678A374"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34.89</w:t>
            </w:r>
          </w:p>
        </w:tc>
        <w:tc>
          <w:tcPr>
            <w:tcW w:w="624" w:type="dxa"/>
            <w:tcBorders>
              <w:bottom w:val="nil"/>
            </w:tcBorders>
            <w:vAlign w:val="center"/>
          </w:tcPr>
          <w:p w14:paraId="4D235D1A"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39.54</w:t>
            </w:r>
          </w:p>
        </w:tc>
        <w:tc>
          <w:tcPr>
            <w:tcW w:w="628" w:type="dxa"/>
            <w:tcBorders>
              <w:bottom w:val="nil"/>
            </w:tcBorders>
            <w:vAlign w:val="center"/>
          </w:tcPr>
          <w:p w14:paraId="60B77E9E"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2045</w:t>
            </w:r>
          </w:p>
        </w:tc>
        <w:tc>
          <w:tcPr>
            <w:tcW w:w="666" w:type="dxa"/>
            <w:tcBorders>
              <w:bottom w:val="nil"/>
            </w:tcBorders>
            <w:vAlign w:val="center"/>
          </w:tcPr>
          <w:p w14:paraId="7A815ADF"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34.89</w:t>
            </w:r>
          </w:p>
        </w:tc>
        <w:tc>
          <w:tcPr>
            <w:tcW w:w="667" w:type="dxa"/>
            <w:tcBorders>
              <w:bottom w:val="nil"/>
            </w:tcBorders>
            <w:vAlign w:val="center"/>
          </w:tcPr>
          <w:p w14:paraId="4F88174B"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14.29</w:t>
            </w:r>
          </w:p>
        </w:tc>
        <w:tc>
          <w:tcPr>
            <w:tcW w:w="667" w:type="dxa"/>
            <w:tcBorders>
              <w:bottom w:val="nil"/>
            </w:tcBorders>
            <w:vAlign w:val="center"/>
          </w:tcPr>
          <w:p w14:paraId="32F282DF"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2069</w:t>
            </w:r>
          </w:p>
        </w:tc>
        <w:tc>
          <w:tcPr>
            <w:tcW w:w="709" w:type="dxa"/>
            <w:tcBorders>
              <w:bottom w:val="nil"/>
            </w:tcBorders>
            <w:vAlign w:val="center"/>
          </w:tcPr>
          <w:p w14:paraId="1C936AB3"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127.91</w:t>
            </w:r>
          </w:p>
        </w:tc>
        <w:tc>
          <w:tcPr>
            <w:tcW w:w="850" w:type="dxa"/>
            <w:tcBorders>
              <w:bottom w:val="nil"/>
            </w:tcBorders>
            <w:vAlign w:val="center"/>
          </w:tcPr>
          <w:p w14:paraId="5E7105A7"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152.94</w:t>
            </w:r>
          </w:p>
        </w:tc>
      </w:tr>
      <w:tr w:rsidR="006912F6" w:rsidRPr="006912F6" w14:paraId="592E5185" w14:textId="77777777" w:rsidTr="000C4BE5">
        <w:trPr>
          <w:trHeight w:val="285"/>
        </w:trPr>
        <w:tc>
          <w:tcPr>
            <w:tcW w:w="851" w:type="dxa"/>
            <w:vMerge/>
          </w:tcPr>
          <w:p w14:paraId="6EA6BF50" w14:textId="77777777" w:rsidR="001B757C" w:rsidRPr="006912F6" w:rsidRDefault="001B757C" w:rsidP="00B41568">
            <w:pPr>
              <w:spacing w:before="0"/>
              <w:rPr>
                <w:rFonts w:asciiTheme="majorHAnsi" w:hAnsiTheme="majorHAnsi" w:cstheme="majorHAnsi"/>
                <w:sz w:val="18"/>
                <w:szCs w:val="20"/>
              </w:rPr>
            </w:pPr>
          </w:p>
        </w:tc>
        <w:tc>
          <w:tcPr>
            <w:tcW w:w="706" w:type="dxa"/>
            <w:tcBorders>
              <w:top w:val="nil"/>
              <w:bottom w:val="nil"/>
            </w:tcBorders>
            <w:vAlign w:val="center"/>
          </w:tcPr>
          <w:p w14:paraId="0E06466B"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690" w:type="dxa"/>
            <w:tcBorders>
              <w:top w:val="nil"/>
              <w:bottom w:val="nil"/>
            </w:tcBorders>
            <w:vAlign w:val="center"/>
          </w:tcPr>
          <w:p w14:paraId="21C82F25"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62.98</w:t>
            </w:r>
          </w:p>
        </w:tc>
        <w:tc>
          <w:tcPr>
            <w:tcW w:w="624" w:type="dxa"/>
            <w:tcBorders>
              <w:top w:val="nil"/>
              <w:bottom w:val="nil"/>
            </w:tcBorders>
            <w:vAlign w:val="center"/>
          </w:tcPr>
          <w:p w14:paraId="17C561BB"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94.27</w:t>
            </w:r>
          </w:p>
        </w:tc>
        <w:tc>
          <w:tcPr>
            <w:tcW w:w="625" w:type="dxa"/>
            <w:tcBorders>
              <w:top w:val="nil"/>
              <w:bottom w:val="nil"/>
            </w:tcBorders>
            <w:vAlign w:val="center"/>
          </w:tcPr>
          <w:p w14:paraId="0A42FAC2"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Now</w:t>
            </w:r>
          </w:p>
        </w:tc>
        <w:tc>
          <w:tcPr>
            <w:tcW w:w="624" w:type="dxa"/>
            <w:tcBorders>
              <w:top w:val="nil"/>
              <w:bottom w:val="nil"/>
            </w:tcBorders>
            <w:vAlign w:val="center"/>
          </w:tcPr>
          <w:p w14:paraId="469AA451"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40.94</w:t>
            </w:r>
          </w:p>
        </w:tc>
        <w:tc>
          <w:tcPr>
            <w:tcW w:w="624" w:type="dxa"/>
            <w:tcBorders>
              <w:top w:val="nil"/>
              <w:bottom w:val="nil"/>
            </w:tcBorders>
            <w:vAlign w:val="center"/>
          </w:tcPr>
          <w:p w14:paraId="359E87FA"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37.48</w:t>
            </w:r>
          </w:p>
        </w:tc>
        <w:tc>
          <w:tcPr>
            <w:tcW w:w="628" w:type="dxa"/>
            <w:tcBorders>
              <w:top w:val="nil"/>
              <w:bottom w:val="nil"/>
            </w:tcBorders>
            <w:vAlign w:val="center"/>
          </w:tcPr>
          <w:p w14:paraId="1DD33F6A"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2049</w:t>
            </w:r>
          </w:p>
        </w:tc>
        <w:tc>
          <w:tcPr>
            <w:tcW w:w="666" w:type="dxa"/>
            <w:tcBorders>
              <w:top w:val="nil"/>
              <w:bottom w:val="nil"/>
            </w:tcBorders>
            <w:vAlign w:val="center"/>
          </w:tcPr>
          <w:p w14:paraId="4C3484D2"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40.94</w:t>
            </w:r>
          </w:p>
        </w:tc>
        <w:tc>
          <w:tcPr>
            <w:tcW w:w="667" w:type="dxa"/>
            <w:tcBorders>
              <w:top w:val="nil"/>
              <w:bottom w:val="nil"/>
            </w:tcBorders>
            <w:vAlign w:val="center"/>
          </w:tcPr>
          <w:p w14:paraId="15D858CA"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13.99</w:t>
            </w:r>
          </w:p>
        </w:tc>
        <w:tc>
          <w:tcPr>
            <w:tcW w:w="667" w:type="dxa"/>
            <w:tcBorders>
              <w:top w:val="nil"/>
              <w:bottom w:val="nil"/>
            </w:tcBorders>
            <w:vAlign w:val="center"/>
          </w:tcPr>
          <w:p w14:paraId="27D2F176"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2080</w:t>
            </w:r>
          </w:p>
        </w:tc>
        <w:tc>
          <w:tcPr>
            <w:tcW w:w="709" w:type="dxa"/>
            <w:tcBorders>
              <w:top w:val="nil"/>
              <w:bottom w:val="nil"/>
            </w:tcBorders>
            <w:vAlign w:val="center"/>
          </w:tcPr>
          <w:p w14:paraId="6285F88F"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144.86</w:t>
            </w:r>
          </w:p>
        </w:tc>
        <w:tc>
          <w:tcPr>
            <w:tcW w:w="850" w:type="dxa"/>
            <w:tcBorders>
              <w:top w:val="nil"/>
              <w:bottom w:val="nil"/>
            </w:tcBorders>
            <w:vAlign w:val="center"/>
          </w:tcPr>
          <w:p w14:paraId="489D64BC"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145.74</w:t>
            </w:r>
          </w:p>
        </w:tc>
      </w:tr>
      <w:tr w:rsidR="006912F6" w:rsidRPr="006912F6" w14:paraId="78915D39" w14:textId="77777777" w:rsidTr="000C4BE5">
        <w:trPr>
          <w:trHeight w:val="285"/>
        </w:trPr>
        <w:tc>
          <w:tcPr>
            <w:tcW w:w="851" w:type="dxa"/>
            <w:vMerge/>
          </w:tcPr>
          <w:p w14:paraId="60FA3142" w14:textId="77777777" w:rsidR="001B757C" w:rsidRPr="006912F6" w:rsidRDefault="001B757C" w:rsidP="00B41568">
            <w:pPr>
              <w:spacing w:before="0"/>
              <w:rPr>
                <w:rFonts w:asciiTheme="majorHAnsi" w:hAnsiTheme="majorHAnsi" w:cstheme="majorHAnsi"/>
                <w:sz w:val="18"/>
                <w:szCs w:val="20"/>
              </w:rPr>
            </w:pPr>
          </w:p>
        </w:tc>
        <w:tc>
          <w:tcPr>
            <w:tcW w:w="706" w:type="dxa"/>
            <w:tcBorders>
              <w:top w:val="nil"/>
              <w:bottom w:val="nil"/>
            </w:tcBorders>
            <w:vAlign w:val="center"/>
          </w:tcPr>
          <w:p w14:paraId="794097ED"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690" w:type="dxa"/>
            <w:tcBorders>
              <w:top w:val="nil"/>
              <w:bottom w:val="nil"/>
            </w:tcBorders>
            <w:vAlign w:val="center"/>
          </w:tcPr>
          <w:p w14:paraId="3E114EF7"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67.83</w:t>
            </w:r>
          </w:p>
        </w:tc>
        <w:tc>
          <w:tcPr>
            <w:tcW w:w="624" w:type="dxa"/>
            <w:tcBorders>
              <w:top w:val="nil"/>
              <w:bottom w:val="nil"/>
            </w:tcBorders>
            <w:vAlign w:val="center"/>
          </w:tcPr>
          <w:p w14:paraId="390F3AEA"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89.42</w:t>
            </w:r>
          </w:p>
        </w:tc>
        <w:tc>
          <w:tcPr>
            <w:tcW w:w="625" w:type="dxa"/>
            <w:tcBorders>
              <w:top w:val="nil"/>
              <w:bottom w:val="nil"/>
            </w:tcBorders>
            <w:vAlign w:val="center"/>
          </w:tcPr>
          <w:p w14:paraId="1853ED0A"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Now</w:t>
            </w:r>
          </w:p>
        </w:tc>
        <w:tc>
          <w:tcPr>
            <w:tcW w:w="624" w:type="dxa"/>
            <w:tcBorders>
              <w:top w:val="nil"/>
              <w:bottom w:val="nil"/>
            </w:tcBorders>
            <w:vAlign w:val="center"/>
          </w:tcPr>
          <w:p w14:paraId="66B95DCA"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47.48</w:t>
            </w:r>
          </w:p>
        </w:tc>
        <w:tc>
          <w:tcPr>
            <w:tcW w:w="624" w:type="dxa"/>
            <w:tcBorders>
              <w:top w:val="nil"/>
              <w:bottom w:val="nil"/>
            </w:tcBorders>
            <w:vAlign w:val="center"/>
          </w:tcPr>
          <w:p w14:paraId="70500152"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35.51</w:t>
            </w:r>
          </w:p>
        </w:tc>
        <w:tc>
          <w:tcPr>
            <w:tcW w:w="628" w:type="dxa"/>
            <w:tcBorders>
              <w:top w:val="nil"/>
              <w:bottom w:val="nil"/>
            </w:tcBorders>
            <w:vAlign w:val="center"/>
          </w:tcPr>
          <w:p w14:paraId="484F990E"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2053</w:t>
            </w:r>
          </w:p>
        </w:tc>
        <w:tc>
          <w:tcPr>
            <w:tcW w:w="666" w:type="dxa"/>
            <w:tcBorders>
              <w:top w:val="nil"/>
              <w:bottom w:val="nil"/>
            </w:tcBorders>
            <w:vAlign w:val="center"/>
          </w:tcPr>
          <w:p w14:paraId="30AF8813"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47.48</w:t>
            </w:r>
          </w:p>
        </w:tc>
        <w:tc>
          <w:tcPr>
            <w:tcW w:w="667" w:type="dxa"/>
            <w:tcBorders>
              <w:top w:val="nil"/>
              <w:bottom w:val="nil"/>
            </w:tcBorders>
            <w:vAlign w:val="center"/>
          </w:tcPr>
          <w:p w14:paraId="59042082"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13.27</w:t>
            </w:r>
          </w:p>
        </w:tc>
        <w:tc>
          <w:tcPr>
            <w:tcW w:w="667" w:type="dxa"/>
            <w:tcBorders>
              <w:top w:val="nil"/>
              <w:bottom w:val="nil"/>
            </w:tcBorders>
            <w:vAlign w:val="center"/>
          </w:tcPr>
          <w:p w14:paraId="0E6012BE"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2080</w:t>
            </w:r>
          </w:p>
        </w:tc>
        <w:tc>
          <w:tcPr>
            <w:tcW w:w="709" w:type="dxa"/>
            <w:tcBorders>
              <w:top w:val="nil"/>
              <w:bottom w:val="nil"/>
            </w:tcBorders>
            <w:vAlign w:val="center"/>
          </w:tcPr>
          <w:p w14:paraId="16BBABA3"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162.79</w:t>
            </w:r>
          </w:p>
        </w:tc>
        <w:tc>
          <w:tcPr>
            <w:tcW w:w="850" w:type="dxa"/>
            <w:tcBorders>
              <w:top w:val="nil"/>
              <w:bottom w:val="nil"/>
            </w:tcBorders>
            <w:vAlign w:val="center"/>
          </w:tcPr>
          <w:p w14:paraId="38B450ED"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138.2</w:t>
            </w:r>
          </w:p>
        </w:tc>
      </w:tr>
      <w:tr w:rsidR="006912F6" w:rsidRPr="006912F6" w14:paraId="5976EFC0" w14:textId="77777777" w:rsidTr="000C4BE5">
        <w:trPr>
          <w:trHeight w:val="285"/>
        </w:trPr>
        <w:tc>
          <w:tcPr>
            <w:tcW w:w="851" w:type="dxa"/>
            <w:vMerge/>
          </w:tcPr>
          <w:p w14:paraId="7BB25EB2" w14:textId="77777777" w:rsidR="001B757C" w:rsidRPr="006912F6" w:rsidRDefault="001B757C" w:rsidP="00B41568">
            <w:pPr>
              <w:spacing w:before="0"/>
              <w:rPr>
                <w:rFonts w:asciiTheme="majorHAnsi" w:hAnsiTheme="majorHAnsi" w:cstheme="majorHAnsi"/>
                <w:sz w:val="18"/>
                <w:szCs w:val="20"/>
              </w:rPr>
            </w:pPr>
          </w:p>
        </w:tc>
        <w:tc>
          <w:tcPr>
            <w:tcW w:w="706" w:type="dxa"/>
            <w:tcBorders>
              <w:top w:val="nil"/>
              <w:bottom w:val="single" w:sz="4" w:space="0" w:color="auto"/>
            </w:tcBorders>
            <w:vAlign w:val="center"/>
          </w:tcPr>
          <w:p w14:paraId="04E7D0C6"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690" w:type="dxa"/>
            <w:tcBorders>
              <w:top w:val="nil"/>
              <w:bottom w:val="single" w:sz="4" w:space="0" w:color="auto"/>
            </w:tcBorders>
            <w:vAlign w:val="center"/>
          </w:tcPr>
          <w:p w14:paraId="4C40E404"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72.68</w:t>
            </w:r>
          </w:p>
        </w:tc>
        <w:tc>
          <w:tcPr>
            <w:tcW w:w="624" w:type="dxa"/>
            <w:tcBorders>
              <w:top w:val="nil"/>
              <w:bottom w:val="single" w:sz="4" w:space="0" w:color="auto"/>
            </w:tcBorders>
            <w:vAlign w:val="center"/>
          </w:tcPr>
          <w:p w14:paraId="70784E1C"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84.57</w:t>
            </w:r>
          </w:p>
        </w:tc>
        <w:tc>
          <w:tcPr>
            <w:tcW w:w="625" w:type="dxa"/>
            <w:tcBorders>
              <w:top w:val="nil"/>
              <w:bottom w:val="single" w:sz="4" w:space="0" w:color="auto"/>
            </w:tcBorders>
            <w:vAlign w:val="center"/>
          </w:tcPr>
          <w:p w14:paraId="52596E26"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Now</w:t>
            </w:r>
          </w:p>
        </w:tc>
        <w:tc>
          <w:tcPr>
            <w:tcW w:w="624" w:type="dxa"/>
            <w:tcBorders>
              <w:top w:val="nil"/>
              <w:bottom w:val="single" w:sz="4" w:space="0" w:color="auto"/>
            </w:tcBorders>
            <w:vAlign w:val="center"/>
          </w:tcPr>
          <w:p w14:paraId="4BE389E3"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54.51</w:t>
            </w:r>
          </w:p>
        </w:tc>
        <w:tc>
          <w:tcPr>
            <w:tcW w:w="624" w:type="dxa"/>
            <w:tcBorders>
              <w:top w:val="nil"/>
              <w:bottom w:val="single" w:sz="4" w:space="0" w:color="auto"/>
            </w:tcBorders>
            <w:vAlign w:val="center"/>
          </w:tcPr>
          <w:p w14:paraId="732D9A62"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33.63</w:t>
            </w:r>
          </w:p>
        </w:tc>
        <w:tc>
          <w:tcPr>
            <w:tcW w:w="628" w:type="dxa"/>
            <w:tcBorders>
              <w:top w:val="nil"/>
              <w:bottom w:val="single" w:sz="4" w:space="0" w:color="auto"/>
            </w:tcBorders>
            <w:vAlign w:val="center"/>
          </w:tcPr>
          <w:p w14:paraId="3788A866"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2055</w:t>
            </w:r>
          </w:p>
        </w:tc>
        <w:tc>
          <w:tcPr>
            <w:tcW w:w="666" w:type="dxa"/>
            <w:tcBorders>
              <w:top w:val="nil"/>
              <w:bottom w:val="single" w:sz="4" w:space="0" w:color="auto"/>
            </w:tcBorders>
            <w:vAlign w:val="center"/>
          </w:tcPr>
          <w:p w14:paraId="10B12235"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54.51</w:t>
            </w:r>
          </w:p>
        </w:tc>
        <w:tc>
          <w:tcPr>
            <w:tcW w:w="667" w:type="dxa"/>
            <w:tcBorders>
              <w:top w:val="nil"/>
              <w:bottom w:val="single" w:sz="4" w:space="0" w:color="auto"/>
            </w:tcBorders>
            <w:vAlign w:val="center"/>
          </w:tcPr>
          <w:p w14:paraId="7679F3DD"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12.80</w:t>
            </w:r>
          </w:p>
        </w:tc>
        <w:tc>
          <w:tcPr>
            <w:tcW w:w="667" w:type="dxa"/>
            <w:tcBorders>
              <w:top w:val="nil"/>
              <w:bottom w:val="single" w:sz="4" w:space="0" w:color="auto"/>
            </w:tcBorders>
            <w:vAlign w:val="center"/>
          </w:tcPr>
          <w:p w14:paraId="3F8D505C"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2081</w:t>
            </w:r>
          </w:p>
        </w:tc>
        <w:tc>
          <w:tcPr>
            <w:tcW w:w="709" w:type="dxa"/>
            <w:tcBorders>
              <w:top w:val="nil"/>
              <w:bottom w:val="single" w:sz="4" w:space="0" w:color="auto"/>
            </w:tcBorders>
            <w:vAlign w:val="center"/>
          </w:tcPr>
          <w:p w14:paraId="2B50A2A1"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181.70</w:t>
            </w:r>
          </w:p>
        </w:tc>
        <w:tc>
          <w:tcPr>
            <w:tcW w:w="850" w:type="dxa"/>
            <w:tcBorders>
              <w:top w:val="nil"/>
              <w:bottom w:val="single" w:sz="4" w:space="0" w:color="auto"/>
            </w:tcBorders>
            <w:vAlign w:val="center"/>
          </w:tcPr>
          <w:p w14:paraId="4F7BBFB9"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131</w:t>
            </w:r>
          </w:p>
        </w:tc>
      </w:tr>
      <w:bookmarkEnd w:id="719"/>
      <w:tr w:rsidR="006912F6" w:rsidRPr="006912F6" w14:paraId="192CE32B" w14:textId="77777777" w:rsidTr="000C4BE5">
        <w:trPr>
          <w:trHeight w:val="285"/>
        </w:trPr>
        <w:tc>
          <w:tcPr>
            <w:tcW w:w="851" w:type="dxa"/>
            <w:vMerge w:val="restart"/>
            <w:vAlign w:val="center"/>
          </w:tcPr>
          <w:p w14:paraId="42D886E5"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H1</w:t>
            </w:r>
          </w:p>
        </w:tc>
        <w:tc>
          <w:tcPr>
            <w:tcW w:w="706" w:type="dxa"/>
            <w:tcBorders>
              <w:bottom w:val="nil"/>
            </w:tcBorders>
            <w:vAlign w:val="center"/>
          </w:tcPr>
          <w:p w14:paraId="07BBD97C"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690" w:type="dxa"/>
            <w:tcBorders>
              <w:bottom w:val="nil"/>
            </w:tcBorders>
            <w:vAlign w:val="center"/>
          </w:tcPr>
          <w:p w14:paraId="4C9318CD"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58.14</w:t>
            </w:r>
          </w:p>
        </w:tc>
        <w:tc>
          <w:tcPr>
            <w:tcW w:w="624" w:type="dxa"/>
            <w:tcBorders>
              <w:bottom w:val="nil"/>
            </w:tcBorders>
            <w:vAlign w:val="center"/>
          </w:tcPr>
          <w:p w14:paraId="422B5780"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105.4</w:t>
            </w:r>
          </w:p>
        </w:tc>
        <w:tc>
          <w:tcPr>
            <w:tcW w:w="625" w:type="dxa"/>
            <w:tcBorders>
              <w:bottom w:val="nil"/>
            </w:tcBorders>
            <w:vAlign w:val="center"/>
          </w:tcPr>
          <w:p w14:paraId="13C899FA"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Now</w:t>
            </w:r>
          </w:p>
        </w:tc>
        <w:tc>
          <w:tcPr>
            <w:tcW w:w="624" w:type="dxa"/>
            <w:tcBorders>
              <w:bottom w:val="nil"/>
            </w:tcBorders>
            <w:vAlign w:val="center"/>
          </w:tcPr>
          <w:p w14:paraId="11C7C272"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34.89</w:t>
            </w:r>
          </w:p>
        </w:tc>
        <w:tc>
          <w:tcPr>
            <w:tcW w:w="624" w:type="dxa"/>
            <w:tcBorders>
              <w:bottom w:val="nil"/>
            </w:tcBorders>
            <w:vAlign w:val="center"/>
          </w:tcPr>
          <w:p w14:paraId="377B52DA"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27.15</w:t>
            </w:r>
          </w:p>
        </w:tc>
        <w:tc>
          <w:tcPr>
            <w:tcW w:w="628" w:type="dxa"/>
            <w:tcBorders>
              <w:bottom w:val="nil"/>
            </w:tcBorders>
            <w:vAlign w:val="center"/>
          </w:tcPr>
          <w:p w14:paraId="11263AF5"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2058</w:t>
            </w:r>
          </w:p>
        </w:tc>
        <w:tc>
          <w:tcPr>
            <w:tcW w:w="666" w:type="dxa"/>
            <w:tcBorders>
              <w:bottom w:val="nil"/>
            </w:tcBorders>
            <w:vAlign w:val="center"/>
          </w:tcPr>
          <w:p w14:paraId="02B0809B"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34.89</w:t>
            </w:r>
          </w:p>
        </w:tc>
        <w:tc>
          <w:tcPr>
            <w:tcW w:w="667" w:type="dxa"/>
            <w:tcBorders>
              <w:bottom w:val="nil"/>
            </w:tcBorders>
            <w:vAlign w:val="center"/>
          </w:tcPr>
          <w:p w14:paraId="4842653E"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9.59</w:t>
            </w:r>
          </w:p>
        </w:tc>
        <w:tc>
          <w:tcPr>
            <w:tcW w:w="667" w:type="dxa"/>
            <w:tcBorders>
              <w:bottom w:val="nil"/>
            </w:tcBorders>
            <w:vAlign w:val="center"/>
          </w:tcPr>
          <w:p w14:paraId="3632D870"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2093</w:t>
            </w:r>
          </w:p>
        </w:tc>
        <w:tc>
          <w:tcPr>
            <w:tcW w:w="709" w:type="dxa"/>
            <w:tcBorders>
              <w:bottom w:val="nil"/>
            </w:tcBorders>
            <w:vAlign w:val="center"/>
          </w:tcPr>
          <w:p w14:paraId="57A61428"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127.91</w:t>
            </w:r>
          </w:p>
        </w:tc>
        <w:tc>
          <w:tcPr>
            <w:tcW w:w="850" w:type="dxa"/>
            <w:tcBorders>
              <w:bottom w:val="nil"/>
            </w:tcBorders>
          </w:tcPr>
          <w:p w14:paraId="196029B6"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142.14</w:t>
            </w:r>
          </w:p>
        </w:tc>
      </w:tr>
      <w:tr w:rsidR="006912F6" w:rsidRPr="006912F6" w14:paraId="0BEBC140" w14:textId="77777777" w:rsidTr="000C4BE5">
        <w:trPr>
          <w:trHeight w:val="285"/>
        </w:trPr>
        <w:tc>
          <w:tcPr>
            <w:tcW w:w="851" w:type="dxa"/>
            <w:vMerge/>
          </w:tcPr>
          <w:p w14:paraId="6A139700" w14:textId="77777777" w:rsidR="001B757C" w:rsidRPr="006912F6" w:rsidRDefault="001B757C" w:rsidP="00B41568">
            <w:pPr>
              <w:spacing w:before="0"/>
              <w:rPr>
                <w:rFonts w:asciiTheme="majorHAnsi" w:hAnsiTheme="majorHAnsi" w:cstheme="majorHAnsi"/>
                <w:sz w:val="18"/>
                <w:szCs w:val="20"/>
              </w:rPr>
            </w:pPr>
          </w:p>
        </w:tc>
        <w:tc>
          <w:tcPr>
            <w:tcW w:w="706" w:type="dxa"/>
            <w:tcBorders>
              <w:top w:val="nil"/>
              <w:bottom w:val="nil"/>
            </w:tcBorders>
            <w:vAlign w:val="center"/>
          </w:tcPr>
          <w:p w14:paraId="0C94C58D"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690" w:type="dxa"/>
            <w:tcBorders>
              <w:top w:val="nil"/>
              <w:bottom w:val="nil"/>
            </w:tcBorders>
            <w:vAlign w:val="center"/>
          </w:tcPr>
          <w:p w14:paraId="426B70F0"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62.98</w:t>
            </w:r>
          </w:p>
        </w:tc>
        <w:tc>
          <w:tcPr>
            <w:tcW w:w="624" w:type="dxa"/>
            <w:tcBorders>
              <w:top w:val="nil"/>
              <w:bottom w:val="nil"/>
            </w:tcBorders>
            <w:vAlign w:val="center"/>
          </w:tcPr>
          <w:p w14:paraId="2ED8824D"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100.6</w:t>
            </w:r>
          </w:p>
        </w:tc>
        <w:tc>
          <w:tcPr>
            <w:tcW w:w="625" w:type="dxa"/>
            <w:tcBorders>
              <w:top w:val="nil"/>
              <w:bottom w:val="nil"/>
            </w:tcBorders>
            <w:vAlign w:val="center"/>
          </w:tcPr>
          <w:p w14:paraId="430B9904"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Now</w:t>
            </w:r>
          </w:p>
        </w:tc>
        <w:tc>
          <w:tcPr>
            <w:tcW w:w="624" w:type="dxa"/>
            <w:tcBorders>
              <w:top w:val="nil"/>
              <w:bottom w:val="nil"/>
            </w:tcBorders>
            <w:vAlign w:val="center"/>
          </w:tcPr>
          <w:p w14:paraId="2EFA0E83"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40.94</w:t>
            </w:r>
          </w:p>
        </w:tc>
        <w:tc>
          <w:tcPr>
            <w:tcW w:w="624" w:type="dxa"/>
            <w:tcBorders>
              <w:top w:val="nil"/>
              <w:bottom w:val="nil"/>
            </w:tcBorders>
            <w:vAlign w:val="center"/>
          </w:tcPr>
          <w:p w14:paraId="4A0B8C2F"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25.78</w:t>
            </w:r>
          </w:p>
        </w:tc>
        <w:tc>
          <w:tcPr>
            <w:tcW w:w="628" w:type="dxa"/>
            <w:tcBorders>
              <w:top w:val="nil"/>
              <w:bottom w:val="nil"/>
            </w:tcBorders>
            <w:vAlign w:val="center"/>
          </w:tcPr>
          <w:p w14:paraId="380DC3B0"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2060</w:t>
            </w:r>
          </w:p>
        </w:tc>
        <w:tc>
          <w:tcPr>
            <w:tcW w:w="666" w:type="dxa"/>
            <w:tcBorders>
              <w:top w:val="nil"/>
              <w:bottom w:val="nil"/>
            </w:tcBorders>
            <w:vAlign w:val="center"/>
          </w:tcPr>
          <w:p w14:paraId="0318FDE6"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40.94</w:t>
            </w:r>
          </w:p>
        </w:tc>
        <w:tc>
          <w:tcPr>
            <w:tcW w:w="667" w:type="dxa"/>
            <w:tcBorders>
              <w:top w:val="nil"/>
              <w:bottom w:val="nil"/>
            </w:tcBorders>
            <w:vAlign w:val="center"/>
          </w:tcPr>
          <w:p w14:paraId="70D1148D"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9.18</w:t>
            </w:r>
          </w:p>
        </w:tc>
        <w:tc>
          <w:tcPr>
            <w:tcW w:w="667" w:type="dxa"/>
            <w:tcBorders>
              <w:top w:val="nil"/>
              <w:bottom w:val="nil"/>
            </w:tcBorders>
            <w:vAlign w:val="center"/>
          </w:tcPr>
          <w:p w14:paraId="200E67AD"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2095</w:t>
            </w:r>
          </w:p>
        </w:tc>
        <w:tc>
          <w:tcPr>
            <w:tcW w:w="709" w:type="dxa"/>
            <w:tcBorders>
              <w:top w:val="nil"/>
              <w:bottom w:val="nil"/>
            </w:tcBorders>
            <w:vAlign w:val="center"/>
          </w:tcPr>
          <w:p w14:paraId="63AC2B64"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144.86</w:t>
            </w:r>
          </w:p>
        </w:tc>
        <w:tc>
          <w:tcPr>
            <w:tcW w:w="850" w:type="dxa"/>
            <w:tcBorders>
              <w:top w:val="nil"/>
              <w:bottom w:val="nil"/>
            </w:tcBorders>
          </w:tcPr>
          <w:p w14:paraId="5F098979"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135.56</w:t>
            </w:r>
          </w:p>
        </w:tc>
      </w:tr>
      <w:tr w:rsidR="006912F6" w:rsidRPr="006912F6" w14:paraId="3EB5BB21" w14:textId="77777777" w:rsidTr="000C4BE5">
        <w:trPr>
          <w:trHeight w:val="285"/>
        </w:trPr>
        <w:tc>
          <w:tcPr>
            <w:tcW w:w="851" w:type="dxa"/>
            <w:vMerge/>
          </w:tcPr>
          <w:p w14:paraId="6E616301" w14:textId="77777777" w:rsidR="001B757C" w:rsidRPr="006912F6" w:rsidRDefault="001B757C" w:rsidP="00B41568">
            <w:pPr>
              <w:spacing w:before="0"/>
              <w:rPr>
                <w:rFonts w:asciiTheme="majorHAnsi" w:hAnsiTheme="majorHAnsi" w:cstheme="majorHAnsi"/>
                <w:sz w:val="18"/>
                <w:szCs w:val="20"/>
              </w:rPr>
            </w:pPr>
          </w:p>
        </w:tc>
        <w:tc>
          <w:tcPr>
            <w:tcW w:w="706" w:type="dxa"/>
            <w:tcBorders>
              <w:top w:val="nil"/>
              <w:bottom w:val="nil"/>
            </w:tcBorders>
            <w:vAlign w:val="center"/>
          </w:tcPr>
          <w:p w14:paraId="29200464"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690" w:type="dxa"/>
            <w:tcBorders>
              <w:top w:val="nil"/>
              <w:bottom w:val="nil"/>
            </w:tcBorders>
            <w:vAlign w:val="center"/>
          </w:tcPr>
          <w:p w14:paraId="4C5540E0"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67.83</w:t>
            </w:r>
          </w:p>
        </w:tc>
        <w:tc>
          <w:tcPr>
            <w:tcW w:w="624" w:type="dxa"/>
            <w:tcBorders>
              <w:top w:val="nil"/>
              <w:bottom w:val="nil"/>
            </w:tcBorders>
            <w:vAlign w:val="center"/>
          </w:tcPr>
          <w:p w14:paraId="7DA6B553"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95.6</w:t>
            </w:r>
          </w:p>
        </w:tc>
        <w:tc>
          <w:tcPr>
            <w:tcW w:w="625" w:type="dxa"/>
            <w:tcBorders>
              <w:top w:val="nil"/>
              <w:bottom w:val="nil"/>
            </w:tcBorders>
            <w:vAlign w:val="center"/>
          </w:tcPr>
          <w:p w14:paraId="7F873D31"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Now</w:t>
            </w:r>
          </w:p>
        </w:tc>
        <w:tc>
          <w:tcPr>
            <w:tcW w:w="624" w:type="dxa"/>
            <w:tcBorders>
              <w:top w:val="nil"/>
              <w:bottom w:val="nil"/>
            </w:tcBorders>
            <w:vAlign w:val="center"/>
          </w:tcPr>
          <w:p w14:paraId="02436D60"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47.48</w:t>
            </w:r>
          </w:p>
        </w:tc>
        <w:tc>
          <w:tcPr>
            <w:tcW w:w="624" w:type="dxa"/>
            <w:tcBorders>
              <w:top w:val="nil"/>
              <w:bottom w:val="nil"/>
            </w:tcBorders>
            <w:vAlign w:val="center"/>
          </w:tcPr>
          <w:p w14:paraId="6FC7B6FE"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24.47</w:t>
            </w:r>
          </w:p>
        </w:tc>
        <w:tc>
          <w:tcPr>
            <w:tcW w:w="628" w:type="dxa"/>
            <w:tcBorders>
              <w:top w:val="nil"/>
              <w:bottom w:val="nil"/>
            </w:tcBorders>
            <w:vAlign w:val="center"/>
          </w:tcPr>
          <w:p w14:paraId="5BC4142D"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2064</w:t>
            </w:r>
          </w:p>
        </w:tc>
        <w:tc>
          <w:tcPr>
            <w:tcW w:w="666" w:type="dxa"/>
            <w:tcBorders>
              <w:top w:val="nil"/>
              <w:bottom w:val="nil"/>
            </w:tcBorders>
            <w:vAlign w:val="center"/>
          </w:tcPr>
          <w:p w14:paraId="0C46F478"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47.48</w:t>
            </w:r>
          </w:p>
        </w:tc>
        <w:tc>
          <w:tcPr>
            <w:tcW w:w="667" w:type="dxa"/>
            <w:tcBorders>
              <w:top w:val="nil"/>
              <w:bottom w:val="nil"/>
            </w:tcBorders>
            <w:vAlign w:val="center"/>
          </w:tcPr>
          <w:p w14:paraId="191D4536"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8.75</w:t>
            </w:r>
          </w:p>
        </w:tc>
        <w:tc>
          <w:tcPr>
            <w:tcW w:w="667" w:type="dxa"/>
            <w:tcBorders>
              <w:top w:val="nil"/>
              <w:bottom w:val="nil"/>
            </w:tcBorders>
            <w:vAlign w:val="center"/>
          </w:tcPr>
          <w:p w14:paraId="12F4E324"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2095</w:t>
            </w:r>
          </w:p>
        </w:tc>
        <w:tc>
          <w:tcPr>
            <w:tcW w:w="709" w:type="dxa"/>
            <w:tcBorders>
              <w:top w:val="nil"/>
              <w:bottom w:val="nil"/>
            </w:tcBorders>
            <w:vAlign w:val="center"/>
          </w:tcPr>
          <w:p w14:paraId="57BA8A3C"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162.79</w:t>
            </w:r>
          </w:p>
        </w:tc>
        <w:tc>
          <w:tcPr>
            <w:tcW w:w="850" w:type="dxa"/>
            <w:tcBorders>
              <w:top w:val="nil"/>
              <w:bottom w:val="nil"/>
            </w:tcBorders>
          </w:tcPr>
          <w:p w14:paraId="2A55F571"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128.82</w:t>
            </w:r>
          </w:p>
        </w:tc>
      </w:tr>
      <w:tr w:rsidR="006912F6" w:rsidRPr="006912F6" w14:paraId="2C63A3DA" w14:textId="77777777" w:rsidTr="000C4BE5">
        <w:trPr>
          <w:trHeight w:val="285"/>
        </w:trPr>
        <w:tc>
          <w:tcPr>
            <w:tcW w:w="851" w:type="dxa"/>
            <w:vMerge/>
          </w:tcPr>
          <w:p w14:paraId="5CD8BAFA" w14:textId="77777777" w:rsidR="001B757C" w:rsidRPr="006912F6" w:rsidRDefault="001B757C" w:rsidP="00B41568">
            <w:pPr>
              <w:spacing w:before="0"/>
              <w:rPr>
                <w:rFonts w:asciiTheme="majorHAnsi" w:hAnsiTheme="majorHAnsi" w:cstheme="majorHAnsi"/>
                <w:sz w:val="18"/>
                <w:szCs w:val="20"/>
              </w:rPr>
            </w:pPr>
          </w:p>
        </w:tc>
        <w:tc>
          <w:tcPr>
            <w:tcW w:w="706" w:type="dxa"/>
            <w:tcBorders>
              <w:top w:val="nil"/>
              <w:bottom w:val="single" w:sz="4" w:space="0" w:color="auto"/>
            </w:tcBorders>
            <w:vAlign w:val="center"/>
          </w:tcPr>
          <w:p w14:paraId="0189E86F"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690" w:type="dxa"/>
            <w:tcBorders>
              <w:top w:val="nil"/>
              <w:bottom w:val="single" w:sz="4" w:space="0" w:color="auto"/>
            </w:tcBorders>
            <w:vAlign w:val="center"/>
          </w:tcPr>
          <w:p w14:paraId="22A6951C"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72.68</w:t>
            </w:r>
          </w:p>
        </w:tc>
        <w:tc>
          <w:tcPr>
            <w:tcW w:w="624" w:type="dxa"/>
            <w:tcBorders>
              <w:top w:val="nil"/>
              <w:bottom w:val="single" w:sz="4" w:space="0" w:color="auto"/>
            </w:tcBorders>
            <w:vAlign w:val="center"/>
          </w:tcPr>
          <w:p w14:paraId="6BB32225"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90.9</w:t>
            </w:r>
          </w:p>
        </w:tc>
        <w:tc>
          <w:tcPr>
            <w:tcW w:w="625" w:type="dxa"/>
            <w:tcBorders>
              <w:top w:val="nil"/>
              <w:bottom w:val="single" w:sz="4" w:space="0" w:color="auto"/>
            </w:tcBorders>
            <w:vAlign w:val="center"/>
          </w:tcPr>
          <w:p w14:paraId="5231DC04"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Now</w:t>
            </w:r>
          </w:p>
        </w:tc>
        <w:tc>
          <w:tcPr>
            <w:tcW w:w="624" w:type="dxa"/>
            <w:tcBorders>
              <w:top w:val="nil"/>
              <w:bottom w:val="single" w:sz="4" w:space="0" w:color="auto"/>
            </w:tcBorders>
            <w:vAlign w:val="center"/>
          </w:tcPr>
          <w:p w14:paraId="5DD25D58"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54.51</w:t>
            </w:r>
          </w:p>
        </w:tc>
        <w:tc>
          <w:tcPr>
            <w:tcW w:w="624" w:type="dxa"/>
            <w:tcBorders>
              <w:top w:val="nil"/>
              <w:bottom w:val="single" w:sz="4" w:space="0" w:color="auto"/>
            </w:tcBorders>
            <w:vAlign w:val="center"/>
          </w:tcPr>
          <w:p w14:paraId="6A53D547"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23.23</w:t>
            </w:r>
          </w:p>
        </w:tc>
        <w:tc>
          <w:tcPr>
            <w:tcW w:w="628" w:type="dxa"/>
            <w:tcBorders>
              <w:top w:val="nil"/>
              <w:bottom w:val="single" w:sz="4" w:space="0" w:color="auto"/>
            </w:tcBorders>
            <w:vAlign w:val="center"/>
          </w:tcPr>
          <w:p w14:paraId="2D29FC9B"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2067</w:t>
            </w:r>
          </w:p>
        </w:tc>
        <w:tc>
          <w:tcPr>
            <w:tcW w:w="666" w:type="dxa"/>
            <w:tcBorders>
              <w:top w:val="nil"/>
              <w:bottom w:val="single" w:sz="4" w:space="0" w:color="auto"/>
            </w:tcBorders>
            <w:vAlign w:val="center"/>
          </w:tcPr>
          <w:p w14:paraId="3ECC8ACB"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54.51</w:t>
            </w:r>
          </w:p>
        </w:tc>
        <w:tc>
          <w:tcPr>
            <w:tcW w:w="667" w:type="dxa"/>
            <w:tcBorders>
              <w:top w:val="nil"/>
              <w:bottom w:val="single" w:sz="4" w:space="0" w:color="auto"/>
            </w:tcBorders>
            <w:vAlign w:val="center"/>
          </w:tcPr>
          <w:p w14:paraId="47F56856"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8.30</w:t>
            </w:r>
          </w:p>
        </w:tc>
        <w:tc>
          <w:tcPr>
            <w:tcW w:w="667" w:type="dxa"/>
            <w:tcBorders>
              <w:top w:val="nil"/>
              <w:bottom w:val="single" w:sz="4" w:space="0" w:color="auto"/>
            </w:tcBorders>
            <w:vAlign w:val="center"/>
          </w:tcPr>
          <w:p w14:paraId="2CB075DF"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2097</w:t>
            </w:r>
          </w:p>
        </w:tc>
        <w:tc>
          <w:tcPr>
            <w:tcW w:w="709" w:type="dxa"/>
            <w:tcBorders>
              <w:top w:val="nil"/>
              <w:bottom w:val="single" w:sz="4" w:space="0" w:color="auto"/>
            </w:tcBorders>
            <w:vAlign w:val="center"/>
          </w:tcPr>
          <w:p w14:paraId="08A6C28F"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181.70</w:t>
            </w:r>
          </w:p>
        </w:tc>
        <w:tc>
          <w:tcPr>
            <w:tcW w:w="850" w:type="dxa"/>
            <w:tcBorders>
              <w:top w:val="nil"/>
              <w:bottom w:val="single" w:sz="4" w:space="0" w:color="auto"/>
            </w:tcBorders>
          </w:tcPr>
          <w:p w14:paraId="00829390"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122.43</w:t>
            </w:r>
          </w:p>
        </w:tc>
      </w:tr>
      <w:tr w:rsidR="006912F6" w:rsidRPr="006912F6" w14:paraId="2481194F" w14:textId="77777777" w:rsidTr="000C4BE5">
        <w:trPr>
          <w:trHeight w:val="285"/>
        </w:trPr>
        <w:tc>
          <w:tcPr>
            <w:tcW w:w="851" w:type="dxa"/>
            <w:vMerge w:val="restart"/>
            <w:vAlign w:val="center"/>
          </w:tcPr>
          <w:p w14:paraId="05919FF1"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High</w:t>
            </w:r>
          </w:p>
        </w:tc>
        <w:tc>
          <w:tcPr>
            <w:tcW w:w="706" w:type="dxa"/>
            <w:tcBorders>
              <w:bottom w:val="nil"/>
            </w:tcBorders>
            <w:vAlign w:val="center"/>
          </w:tcPr>
          <w:p w14:paraId="3EB192F1"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690" w:type="dxa"/>
            <w:tcBorders>
              <w:bottom w:val="nil"/>
            </w:tcBorders>
            <w:vAlign w:val="center"/>
          </w:tcPr>
          <w:p w14:paraId="3D5EF417"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58.14</w:t>
            </w:r>
          </w:p>
        </w:tc>
        <w:tc>
          <w:tcPr>
            <w:tcW w:w="624" w:type="dxa"/>
            <w:tcBorders>
              <w:bottom w:val="nil"/>
            </w:tcBorders>
            <w:vAlign w:val="center"/>
          </w:tcPr>
          <w:p w14:paraId="7EC6F1EA"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41.43</w:t>
            </w:r>
          </w:p>
        </w:tc>
        <w:tc>
          <w:tcPr>
            <w:tcW w:w="625" w:type="dxa"/>
            <w:tcBorders>
              <w:bottom w:val="nil"/>
            </w:tcBorders>
            <w:vAlign w:val="center"/>
          </w:tcPr>
          <w:p w14:paraId="313B9CDD"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2019</w:t>
            </w:r>
          </w:p>
        </w:tc>
        <w:tc>
          <w:tcPr>
            <w:tcW w:w="624" w:type="dxa"/>
            <w:tcBorders>
              <w:bottom w:val="nil"/>
            </w:tcBorders>
            <w:vAlign w:val="center"/>
          </w:tcPr>
          <w:p w14:paraId="56FD91B1"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34.89</w:t>
            </w:r>
          </w:p>
        </w:tc>
        <w:tc>
          <w:tcPr>
            <w:tcW w:w="624" w:type="dxa"/>
            <w:tcBorders>
              <w:bottom w:val="nil"/>
            </w:tcBorders>
            <w:vAlign w:val="center"/>
          </w:tcPr>
          <w:p w14:paraId="58CB111C"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1.13</w:t>
            </w:r>
          </w:p>
        </w:tc>
        <w:tc>
          <w:tcPr>
            <w:tcW w:w="628" w:type="dxa"/>
            <w:tcBorders>
              <w:bottom w:val="nil"/>
            </w:tcBorders>
            <w:vAlign w:val="center"/>
          </w:tcPr>
          <w:p w14:paraId="015C48E6"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2100</w:t>
            </w:r>
          </w:p>
        </w:tc>
        <w:tc>
          <w:tcPr>
            <w:tcW w:w="666" w:type="dxa"/>
            <w:tcBorders>
              <w:bottom w:val="nil"/>
            </w:tcBorders>
            <w:vAlign w:val="center"/>
          </w:tcPr>
          <w:p w14:paraId="4C655E58"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bottom w:val="nil"/>
            </w:tcBorders>
            <w:vAlign w:val="center"/>
          </w:tcPr>
          <w:p w14:paraId="67E1380D"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bottom w:val="nil"/>
            </w:tcBorders>
            <w:vAlign w:val="center"/>
          </w:tcPr>
          <w:p w14:paraId="4630271C"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709" w:type="dxa"/>
            <w:tcBorders>
              <w:bottom w:val="nil"/>
            </w:tcBorders>
            <w:vAlign w:val="center"/>
          </w:tcPr>
          <w:p w14:paraId="40593596"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93.03</w:t>
            </w:r>
          </w:p>
        </w:tc>
        <w:tc>
          <w:tcPr>
            <w:tcW w:w="850" w:type="dxa"/>
            <w:tcBorders>
              <w:bottom w:val="nil"/>
            </w:tcBorders>
            <w:vAlign w:val="center"/>
          </w:tcPr>
          <w:p w14:paraId="3969A238"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42.56</w:t>
            </w:r>
          </w:p>
        </w:tc>
      </w:tr>
      <w:tr w:rsidR="006912F6" w:rsidRPr="006912F6" w14:paraId="3710817E" w14:textId="77777777" w:rsidTr="000C4BE5">
        <w:trPr>
          <w:trHeight w:val="285"/>
        </w:trPr>
        <w:tc>
          <w:tcPr>
            <w:tcW w:w="851" w:type="dxa"/>
            <w:vMerge/>
          </w:tcPr>
          <w:p w14:paraId="07B4B2CF" w14:textId="77777777" w:rsidR="001B757C" w:rsidRPr="006912F6" w:rsidRDefault="001B757C" w:rsidP="00B41568">
            <w:pPr>
              <w:spacing w:before="0"/>
              <w:rPr>
                <w:rFonts w:asciiTheme="majorHAnsi" w:hAnsiTheme="majorHAnsi" w:cstheme="majorHAnsi"/>
                <w:sz w:val="18"/>
                <w:szCs w:val="20"/>
              </w:rPr>
            </w:pPr>
          </w:p>
        </w:tc>
        <w:tc>
          <w:tcPr>
            <w:tcW w:w="706" w:type="dxa"/>
            <w:tcBorders>
              <w:top w:val="nil"/>
              <w:bottom w:val="nil"/>
            </w:tcBorders>
            <w:vAlign w:val="center"/>
          </w:tcPr>
          <w:p w14:paraId="3A3C7123"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690" w:type="dxa"/>
            <w:tcBorders>
              <w:top w:val="nil"/>
              <w:bottom w:val="nil"/>
            </w:tcBorders>
            <w:vAlign w:val="center"/>
          </w:tcPr>
          <w:p w14:paraId="3BCD1F8F"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62.98</w:t>
            </w:r>
          </w:p>
        </w:tc>
        <w:tc>
          <w:tcPr>
            <w:tcW w:w="624" w:type="dxa"/>
            <w:tcBorders>
              <w:top w:val="nil"/>
              <w:bottom w:val="nil"/>
            </w:tcBorders>
            <w:vAlign w:val="center"/>
          </w:tcPr>
          <w:p w14:paraId="4740949B"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37.70</w:t>
            </w:r>
          </w:p>
        </w:tc>
        <w:tc>
          <w:tcPr>
            <w:tcW w:w="625" w:type="dxa"/>
            <w:tcBorders>
              <w:top w:val="nil"/>
              <w:bottom w:val="nil"/>
            </w:tcBorders>
            <w:vAlign w:val="center"/>
          </w:tcPr>
          <w:p w14:paraId="1391C81E"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2023</w:t>
            </w:r>
          </w:p>
        </w:tc>
        <w:tc>
          <w:tcPr>
            <w:tcW w:w="624" w:type="dxa"/>
            <w:tcBorders>
              <w:top w:val="nil"/>
              <w:bottom w:val="nil"/>
            </w:tcBorders>
            <w:vAlign w:val="center"/>
          </w:tcPr>
          <w:p w14:paraId="5AB6D727"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40.94</w:t>
            </w:r>
          </w:p>
        </w:tc>
        <w:tc>
          <w:tcPr>
            <w:tcW w:w="624" w:type="dxa"/>
            <w:tcBorders>
              <w:top w:val="nil"/>
              <w:bottom w:val="nil"/>
            </w:tcBorders>
            <w:vAlign w:val="center"/>
          </w:tcPr>
          <w:p w14:paraId="3368CC1C"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0.79</w:t>
            </w:r>
          </w:p>
        </w:tc>
        <w:tc>
          <w:tcPr>
            <w:tcW w:w="628" w:type="dxa"/>
            <w:tcBorders>
              <w:top w:val="nil"/>
              <w:bottom w:val="nil"/>
            </w:tcBorders>
            <w:vAlign w:val="center"/>
          </w:tcPr>
          <w:p w14:paraId="566B18F3"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2100</w:t>
            </w:r>
          </w:p>
        </w:tc>
        <w:tc>
          <w:tcPr>
            <w:tcW w:w="666" w:type="dxa"/>
            <w:tcBorders>
              <w:top w:val="nil"/>
              <w:bottom w:val="nil"/>
            </w:tcBorders>
            <w:vAlign w:val="center"/>
          </w:tcPr>
          <w:p w14:paraId="65A906C1"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top w:val="nil"/>
              <w:bottom w:val="nil"/>
            </w:tcBorders>
            <w:vAlign w:val="center"/>
          </w:tcPr>
          <w:p w14:paraId="20750A35"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top w:val="nil"/>
              <w:bottom w:val="nil"/>
            </w:tcBorders>
            <w:vAlign w:val="center"/>
          </w:tcPr>
          <w:p w14:paraId="451562E7"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709" w:type="dxa"/>
            <w:tcBorders>
              <w:top w:val="nil"/>
              <w:bottom w:val="nil"/>
            </w:tcBorders>
            <w:vAlign w:val="center"/>
          </w:tcPr>
          <w:p w14:paraId="608014FA"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103.92</w:t>
            </w:r>
          </w:p>
        </w:tc>
        <w:tc>
          <w:tcPr>
            <w:tcW w:w="850" w:type="dxa"/>
            <w:tcBorders>
              <w:top w:val="nil"/>
              <w:bottom w:val="nil"/>
            </w:tcBorders>
            <w:vAlign w:val="center"/>
          </w:tcPr>
          <w:p w14:paraId="2CB1AB97"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38.49</w:t>
            </w:r>
          </w:p>
        </w:tc>
      </w:tr>
      <w:tr w:rsidR="006912F6" w:rsidRPr="006912F6" w14:paraId="2F6F799A" w14:textId="77777777" w:rsidTr="000C4BE5">
        <w:trPr>
          <w:trHeight w:val="285"/>
        </w:trPr>
        <w:tc>
          <w:tcPr>
            <w:tcW w:w="851" w:type="dxa"/>
            <w:vMerge/>
          </w:tcPr>
          <w:p w14:paraId="0F449D1D" w14:textId="77777777" w:rsidR="001B757C" w:rsidRPr="006912F6" w:rsidRDefault="001B757C" w:rsidP="00B41568">
            <w:pPr>
              <w:spacing w:before="0"/>
              <w:rPr>
                <w:rFonts w:asciiTheme="majorHAnsi" w:hAnsiTheme="majorHAnsi" w:cstheme="majorHAnsi"/>
                <w:sz w:val="18"/>
                <w:szCs w:val="20"/>
              </w:rPr>
            </w:pPr>
          </w:p>
        </w:tc>
        <w:tc>
          <w:tcPr>
            <w:tcW w:w="706" w:type="dxa"/>
            <w:tcBorders>
              <w:top w:val="nil"/>
              <w:bottom w:val="nil"/>
            </w:tcBorders>
            <w:vAlign w:val="center"/>
          </w:tcPr>
          <w:p w14:paraId="564C08F2"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690" w:type="dxa"/>
            <w:tcBorders>
              <w:top w:val="nil"/>
              <w:bottom w:val="nil"/>
            </w:tcBorders>
            <w:vAlign w:val="center"/>
          </w:tcPr>
          <w:p w14:paraId="3E001A95"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67.83</w:t>
            </w:r>
          </w:p>
        </w:tc>
        <w:tc>
          <w:tcPr>
            <w:tcW w:w="624" w:type="dxa"/>
            <w:tcBorders>
              <w:top w:val="nil"/>
              <w:bottom w:val="nil"/>
            </w:tcBorders>
            <w:vAlign w:val="center"/>
          </w:tcPr>
          <w:p w14:paraId="2508AAD6"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33.91</w:t>
            </w:r>
          </w:p>
        </w:tc>
        <w:tc>
          <w:tcPr>
            <w:tcW w:w="625" w:type="dxa"/>
            <w:tcBorders>
              <w:top w:val="nil"/>
              <w:bottom w:val="nil"/>
            </w:tcBorders>
            <w:vAlign w:val="center"/>
          </w:tcPr>
          <w:p w14:paraId="588E8C03"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2028</w:t>
            </w:r>
          </w:p>
        </w:tc>
        <w:tc>
          <w:tcPr>
            <w:tcW w:w="624" w:type="dxa"/>
            <w:tcBorders>
              <w:top w:val="nil"/>
              <w:bottom w:val="nil"/>
            </w:tcBorders>
            <w:vAlign w:val="center"/>
          </w:tcPr>
          <w:p w14:paraId="6F9E38BC"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47.48</w:t>
            </w:r>
          </w:p>
        </w:tc>
        <w:tc>
          <w:tcPr>
            <w:tcW w:w="624" w:type="dxa"/>
            <w:tcBorders>
              <w:top w:val="nil"/>
              <w:bottom w:val="nil"/>
            </w:tcBorders>
            <w:vAlign w:val="center"/>
          </w:tcPr>
          <w:p w14:paraId="23F388D9"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0.43</w:t>
            </w:r>
          </w:p>
        </w:tc>
        <w:tc>
          <w:tcPr>
            <w:tcW w:w="628" w:type="dxa"/>
            <w:tcBorders>
              <w:top w:val="nil"/>
              <w:bottom w:val="nil"/>
            </w:tcBorders>
            <w:vAlign w:val="center"/>
          </w:tcPr>
          <w:p w14:paraId="50D5ACBF"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2100</w:t>
            </w:r>
          </w:p>
        </w:tc>
        <w:tc>
          <w:tcPr>
            <w:tcW w:w="666" w:type="dxa"/>
            <w:tcBorders>
              <w:top w:val="nil"/>
              <w:bottom w:val="nil"/>
            </w:tcBorders>
            <w:vAlign w:val="center"/>
          </w:tcPr>
          <w:p w14:paraId="3050F2E7"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top w:val="nil"/>
              <w:bottom w:val="nil"/>
            </w:tcBorders>
            <w:vAlign w:val="center"/>
          </w:tcPr>
          <w:p w14:paraId="2C8367C1"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top w:val="nil"/>
              <w:bottom w:val="nil"/>
            </w:tcBorders>
            <w:vAlign w:val="center"/>
          </w:tcPr>
          <w:p w14:paraId="483016CD"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709" w:type="dxa"/>
            <w:tcBorders>
              <w:top w:val="nil"/>
              <w:bottom w:val="nil"/>
            </w:tcBorders>
            <w:vAlign w:val="center"/>
          </w:tcPr>
          <w:p w14:paraId="77E79F72"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115.31</w:t>
            </w:r>
          </w:p>
        </w:tc>
        <w:tc>
          <w:tcPr>
            <w:tcW w:w="850" w:type="dxa"/>
            <w:tcBorders>
              <w:top w:val="nil"/>
              <w:bottom w:val="nil"/>
            </w:tcBorders>
            <w:vAlign w:val="center"/>
          </w:tcPr>
          <w:p w14:paraId="0BDCC49D"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34.34</w:t>
            </w:r>
          </w:p>
        </w:tc>
      </w:tr>
      <w:tr w:rsidR="006912F6" w:rsidRPr="006912F6" w14:paraId="692426DB" w14:textId="77777777" w:rsidTr="000C4BE5">
        <w:trPr>
          <w:trHeight w:val="285"/>
        </w:trPr>
        <w:tc>
          <w:tcPr>
            <w:tcW w:w="851" w:type="dxa"/>
            <w:vMerge/>
          </w:tcPr>
          <w:p w14:paraId="6298D61F" w14:textId="77777777" w:rsidR="001B757C" w:rsidRPr="006912F6" w:rsidRDefault="001B757C" w:rsidP="00B41568">
            <w:pPr>
              <w:spacing w:before="0"/>
              <w:rPr>
                <w:rFonts w:asciiTheme="majorHAnsi" w:hAnsiTheme="majorHAnsi" w:cstheme="majorHAnsi"/>
                <w:sz w:val="18"/>
                <w:szCs w:val="20"/>
              </w:rPr>
            </w:pPr>
          </w:p>
        </w:tc>
        <w:tc>
          <w:tcPr>
            <w:tcW w:w="706" w:type="dxa"/>
            <w:tcBorders>
              <w:top w:val="nil"/>
              <w:bottom w:val="single" w:sz="4" w:space="0" w:color="auto"/>
            </w:tcBorders>
            <w:vAlign w:val="center"/>
          </w:tcPr>
          <w:p w14:paraId="1C5B408D"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690" w:type="dxa"/>
            <w:tcBorders>
              <w:top w:val="nil"/>
              <w:bottom w:val="single" w:sz="4" w:space="0" w:color="auto"/>
            </w:tcBorders>
            <w:vAlign w:val="center"/>
          </w:tcPr>
          <w:p w14:paraId="73C81A2A"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72.68</w:t>
            </w:r>
          </w:p>
        </w:tc>
        <w:tc>
          <w:tcPr>
            <w:tcW w:w="624" w:type="dxa"/>
            <w:tcBorders>
              <w:top w:val="nil"/>
              <w:bottom w:val="single" w:sz="4" w:space="0" w:color="auto"/>
            </w:tcBorders>
            <w:vAlign w:val="center"/>
          </w:tcPr>
          <w:p w14:paraId="5EA0BF42"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30.86</w:t>
            </w:r>
          </w:p>
        </w:tc>
        <w:tc>
          <w:tcPr>
            <w:tcW w:w="625" w:type="dxa"/>
            <w:tcBorders>
              <w:top w:val="nil"/>
              <w:bottom w:val="single" w:sz="4" w:space="0" w:color="auto"/>
            </w:tcBorders>
            <w:vAlign w:val="center"/>
          </w:tcPr>
          <w:p w14:paraId="57D62682"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2031</w:t>
            </w:r>
          </w:p>
        </w:tc>
        <w:tc>
          <w:tcPr>
            <w:tcW w:w="624" w:type="dxa"/>
            <w:tcBorders>
              <w:top w:val="nil"/>
              <w:bottom w:val="single" w:sz="4" w:space="0" w:color="auto"/>
            </w:tcBorders>
            <w:vAlign w:val="center"/>
          </w:tcPr>
          <w:p w14:paraId="4D9039C5"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54.51</w:t>
            </w:r>
          </w:p>
        </w:tc>
        <w:tc>
          <w:tcPr>
            <w:tcW w:w="624" w:type="dxa"/>
            <w:tcBorders>
              <w:top w:val="nil"/>
              <w:bottom w:val="single" w:sz="4" w:space="0" w:color="auto"/>
            </w:tcBorders>
            <w:vAlign w:val="center"/>
          </w:tcPr>
          <w:p w14:paraId="31050DAA"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0.04</w:t>
            </w:r>
          </w:p>
        </w:tc>
        <w:tc>
          <w:tcPr>
            <w:tcW w:w="628" w:type="dxa"/>
            <w:tcBorders>
              <w:top w:val="nil"/>
              <w:bottom w:val="single" w:sz="4" w:space="0" w:color="auto"/>
            </w:tcBorders>
            <w:vAlign w:val="center"/>
          </w:tcPr>
          <w:p w14:paraId="29E9F718"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2100</w:t>
            </w:r>
          </w:p>
        </w:tc>
        <w:tc>
          <w:tcPr>
            <w:tcW w:w="666" w:type="dxa"/>
            <w:tcBorders>
              <w:top w:val="nil"/>
              <w:bottom w:val="single" w:sz="4" w:space="0" w:color="auto"/>
            </w:tcBorders>
            <w:vAlign w:val="center"/>
          </w:tcPr>
          <w:p w14:paraId="0FB92060"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top w:val="nil"/>
              <w:bottom w:val="single" w:sz="4" w:space="0" w:color="auto"/>
            </w:tcBorders>
            <w:vAlign w:val="center"/>
          </w:tcPr>
          <w:p w14:paraId="4C1BAF62"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top w:val="nil"/>
              <w:bottom w:val="single" w:sz="4" w:space="0" w:color="auto"/>
            </w:tcBorders>
            <w:vAlign w:val="center"/>
          </w:tcPr>
          <w:p w14:paraId="5D241865"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709" w:type="dxa"/>
            <w:tcBorders>
              <w:top w:val="nil"/>
              <w:bottom w:val="single" w:sz="4" w:space="0" w:color="auto"/>
            </w:tcBorders>
            <w:vAlign w:val="center"/>
          </w:tcPr>
          <w:p w14:paraId="4CC8B3B5"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127.19</w:t>
            </w:r>
          </w:p>
        </w:tc>
        <w:tc>
          <w:tcPr>
            <w:tcW w:w="850" w:type="dxa"/>
            <w:tcBorders>
              <w:top w:val="nil"/>
              <w:bottom w:val="single" w:sz="4" w:space="0" w:color="auto"/>
            </w:tcBorders>
            <w:vAlign w:val="center"/>
          </w:tcPr>
          <w:p w14:paraId="4AA2F880"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30.9</w:t>
            </w:r>
          </w:p>
        </w:tc>
      </w:tr>
      <w:tr w:rsidR="006912F6" w:rsidRPr="006912F6" w14:paraId="68CD87B0" w14:textId="77777777" w:rsidTr="000C4BE5">
        <w:trPr>
          <w:trHeight w:val="285"/>
        </w:trPr>
        <w:tc>
          <w:tcPr>
            <w:tcW w:w="851" w:type="dxa"/>
            <w:vMerge w:val="restart"/>
            <w:vAlign w:val="center"/>
          </w:tcPr>
          <w:p w14:paraId="2AF39007"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Medium</w:t>
            </w:r>
          </w:p>
        </w:tc>
        <w:tc>
          <w:tcPr>
            <w:tcW w:w="706" w:type="dxa"/>
            <w:tcBorders>
              <w:bottom w:val="nil"/>
            </w:tcBorders>
            <w:vAlign w:val="center"/>
          </w:tcPr>
          <w:p w14:paraId="5CE928AB"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690" w:type="dxa"/>
            <w:tcBorders>
              <w:bottom w:val="nil"/>
            </w:tcBorders>
            <w:vAlign w:val="center"/>
          </w:tcPr>
          <w:p w14:paraId="77CA16F0"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58.14</w:t>
            </w:r>
          </w:p>
        </w:tc>
        <w:tc>
          <w:tcPr>
            <w:tcW w:w="624" w:type="dxa"/>
            <w:tcBorders>
              <w:bottom w:val="nil"/>
            </w:tcBorders>
            <w:vAlign w:val="center"/>
          </w:tcPr>
          <w:p w14:paraId="1EDEE7D5"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29.77</w:t>
            </w:r>
          </w:p>
        </w:tc>
        <w:tc>
          <w:tcPr>
            <w:tcW w:w="625" w:type="dxa"/>
            <w:tcBorders>
              <w:bottom w:val="nil"/>
            </w:tcBorders>
            <w:vAlign w:val="center"/>
          </w:tcPr>
          <w:p w14:paraId="6870868E"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2022</w:t>
            </w:r>
          </w:p>
        </w:tc>
        <w:tc>
          <w:tcPr>
            <w:tcW w:w="624" w:type="dxa"/>
            <w:tcBorders>
              <w:bottom w:val="nil"/>
            </w:tcBorders>
            <w:vAlign w:val="center"/>
          </w:tcPr>
          <w:p w14:paraId="3FE6EDEC"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24" w:type="dxa"/>
            <w:tcBorders>
              <w:bottom w:val="nil"/>
            </w:tcBorders>
            <w:vAlign w:val="center"/>
          </w:tcPr>
          <w:p w14:paraId="194245A3"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28" w:type="dxa"/>
            <w:tcBorders>
              <w:bottom w:val="nil"/>
            </w:tcBorders>
            <w:vAlign w:val="center"/>
          </w:tcPr>
          <w:p w14:paraId="1E763BF5"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666" w:type="dxa"/>
            <w:tcBorders>
              <w:bottom w:val="nil"/>
            </w:tcBorders>
            <w:vAlign w:val="center"/>
          </w:tcPr>
          <w:p w14:paraId="38E6F341"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bottom w:val="nil"/>
            </w:tcBorders>
            <w:vAlign w:val="center"/>
          </w:tcPr>
          <w:p w14:paraId="0F0EE8DF"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bottom w:val="nil"/>
            </w:tcBorders>
            <w:vAlign w:val="center"/>
          </w:tcPr>
          <w:p w14:paraId="4A0867D6"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709" w:type="dxa"/>
            <w:tcBorders>
              <w:bottom w:val="nil"/>
            </w:tcBorders>
            <w:vAlign w:val="center"/>
          </w:tcPr>
          <w:p w14:paraId="3F8458C1"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58.14</w:t>
            </w:r>
          </w:p>
        </w:tc>
        <w:tc>
          <w:tcPr>
            <w:tcW w:w="850" w:type="dxa"/>
            <w:tcBorders>
              <w:bottom w:val="nil"/>
            </w:tcBorders>
            <w:vAlign w:val="center"/>
          </w:tcPr>
          <w:p w14:paraId="534DC00D"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29.77</w:t>
            </w:r>
          </w:p>
        </w:tc>
      </w:tr>
      <w:tr w:rsidR="006912F6" w:rsidRPr="006912F6" w14:paraId="2E172097" w14:textId="77777777" w:rsidTr="000C4BE5">
        <w:trPr>
          <w:trHeight w:val="285"/>
        </w:trPr>
        <w:tc>
          <w:tcPr>
            <w:tcW w:w="851" w:type="dxa"/>
            <w:vMerge/>
          </w:tcPr>
          <w:p w14:paraId="2FDB6A64" w14:textId="77777777" w:rsidR="001B757C" w:rsidRPr="006912F6" w:rsidRDefault="001B757C" w:rsidP="00B41568">
            <w:pPr>
              <w:spacing w:before="0"/>
              <w:rPr>
                <w:rFonts w:asciiTheme="majorHAnsi" w:hAnsiTheme="majorHAnsi" w:cstheme="majorHAnsi"/>
                <w:sz w:val="18"/>
                <w:szCs w:val="20"/>
              </w:rPr>
            </w:pPr>
          </w:p>
        </w:tc>
        <w:tc>
          <w:tcPr>
            <w:tcW w:w="706" w:type="dxa"/>
            <w:tcBorders>
              <w:top w:val="nil"/>
              <w:bottom w:val="nil"/>
            </w:tcBorders>
            <w:vAlign w:val="center"/>
          </w:tcPr>
          <w:p w14:paraId="0F8D570C"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690" w:type="dxa"/>
            <w:tcBorders>
              <w:top w:val="nil"/>
              <w:bottom w:val="nil"/>
            </w:tcBorders>
            <w:vAlign w:val="center"/>
          </w:tcPr>
          <w:p w14:paraId="3C511D3C"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62.98</w:t>
            </w:r>
          </w:p>
        </w:tc>
        <w:tc>
          <w:tcPr>
            <w:tcW w:w="624" w:type="dxa"/>
            <w:tcBorders>
              <w:top w:val="nil"/>
              <w:bottom w:val="nil"/>
            </w:tcBorders>
            <w:vAlign w:val="center"/>
          </w:tcPr>
          <w:p w14:paraId="0EDB5147"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26.48</w:t>
            </w:r>
          </w:p>
        </w:tc>
        <w:tc>
          <w:tcPr>
            <w:tcW w:w="625" w:type="dxa"/>
            <w:tcBorders>
              <w:top w:val="nil"/>
              <w:bottom w:val="nil"/>
            </w:tcBorders>
            <w:vAlign w:val="center"/>
          </w:tcPr>
          <w:p w14:paraId="0EC9D967"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2027</w:t>
            </w:r>
          </w:p>
        </w:tc>
        <w:tc>
          <w:tcPr>
            <w:tcW w:w="624" w:type="dxa"/>
            <w:tcBorders>
              <w:top w:val="nil"/>
              <w:bottom w:val="nil"/>
            </w:tcBorders>
            <w:vAlign w:val="center"/>
          </w:tcPr>
          <w:p w14:paraId="70A5F844"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24" w:type="dxa"/>
            <w:tcBorders>
              <w:top w:val="nil"/>
              <w:bottom w:val="nil"/>
            </w:tcBorders>
            <w:vAlign w:val="center"/>
          </w:tcPr>
          <w:p w14:paraId="2A323D38"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28" w:type="dxa"/>
            <w:tcBorders>
              <w:top w:val="nil"/>
              <w:bottom w:val="nil"/>
            </w:tcBorders>
            <w:vAlign w:val="center"/>
          </w:tcPr>
          <w:p w14:paraId="64635233"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666" w:type="dxa"/>
            <w:tcBorders>
              <w:top w:val="nil"/>
              <w:bottom w:val="nil"/>
            </w:tcBorders>
            <w:vAlign w:val="center"/>
          </w:tcPr>
          <w:p w14:paraId="51556BF5"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top w:val="nil"/>
              <w:bottom w:val="nil"/>
            </w:tcBorders>
            <w:vAlign w:val="center"/>
          </w:tcPr>
          <w:p w14:paraId="551B7264"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top w:val="nil"/>
              <w:bottom w:val="nil"/>
            </w:tcBorders>
            <w:vAlign w:val="center"/>
          </w:tcPr>
          <w:p w14:paraId="19003EBF"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709" w:type="dxa"/>
            <w:tcBorders>
              <w:top w:val="nil"/>
              <w:bottom w:val="nil"/>
            </w:tcBorders>
            <w:vAlign w:val="center"/>
          </w:tcPr>
          <w:p w14:paraId="3973E5C0"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62.98</w:t>
            </w:r>
          </w:p>
        </w:tc>
        <w:tc>
          <w:tcPr>
            <w:tcW w:w="850" w:type="dxa"/>
            <w:tcBorders>
              <w:top w:val="nil"/>
              <w:bottom w:val="nil"/>
            </w:tcBorders>
            <w:vAlign w:val="center"/>
          </w:tcPr>
          <w:p w14:paraId="2E41D1B7"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26.48</w:t>
            </w:r>
          </w:p>
        </w:tc>
      </w:tr>
      <w:tr w:rsidR="006912F6" w:rsidRPr="006912F6" w14:paraId="7A79EAA3" w14:textId="77777777" w:rsidTr="000C4BE5">
        <w:trPr>
          <w:trHeight w:val="285"/>
        </w:trPr>
        <w:tc>
          <w:tcPr>
            <w:tcW w:w="851" w:type="dxa"/>
            <w:vMerge/>
          </w:tcPr>
          <w:p w14:paraId="484A02CB" w14:textId="77777777" w:rsidR="001B757C" w:rsidRPr="006912F6" w:rsidRDefault="001B757C" w:rsidP="00B41568">
            <w:pPr>
              <w:spacing w:before="0"/>
              <w:rPr>
                <w:rFonts w:asciiTheme="majorHAnsi" w:hAnsiTheme="majorHAnsi" w:cstheme="majorHAnsi"/>
                <w:sz w:val="18"/>
                <w:szCs w:val="20"/>
              </w:rPr>
            </w:pPr>
          </w:p>
        </w:tc>
        <w:tc>
          <w:tcPr>
            <w:tcW w:w="706" w:type="dxa"/>
            <w:tcBorders>
              <w:top w:val="nil"/>
              <w:bottom w:val="nil"/>
            </w:tcBorders>
            <w:vAlign w:val="center"/>
          </w:tcPr>
          <w:p w14:paraId="5A59F997"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690" w:type="dxa"/>
            <w:tcBorders>
              <w:top w:val="nil"/>
              <w:bottom w:val="nil"/>
            </w:tcBorders>
            <w:vAlign w:val="center"/>
          </w:tcPr>
          <w:p w14:paraId="48C8F983"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67.83</w:t>
            </w:r>
          </w:p>
        </w:tc>
        <w:tc>
          <w:tcPr>
            <w:tcW w:w="624" w:type="dxa"/>
            <w:tcBorders>
              <w:top w:val="nil"/>
              <w:bottom w:val="nil"/>
            </w:tcBorders>
            <w:vAlign w:val="center"/>
          </w:tcPr>
          <w:p w14:paraId="6118E064"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23.19</w:t>
            </w:r>
          </w:p>
        </w:tc>
        <w:tc>
          <w:tcPr>
            <w:tcW w:w="625" w:type="dxa"/>
            <w:tcBorders>
              <w:top w:val="nil"/>
              <w:bottom w:val="nil"/>
            </w:tcBorders>
            <w:vAlign w:val="center"/>
          </w:tcPr>
          <w:p w14:paraId="12655950"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2032</w:t>
            </w:r>
          </w:p>
        </w:tc>
        <w:tc>
          <w:tcPr>
            <w:tcW w:w="624" w:type="dxa"/>
            <w:tcBorders>
              <w:top w:val="nil"/>
              <w:bottom w:val="nil"/>
            </w:tcBorders>
            <w:vAlign w:val="center"/>
          </w:tcPr>
          <w:p w14:paraId="552004A3"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24" w:type="dxa"/>
            <w:tcBorders>
              <w:top w:val="nil"/>
              <w:bottom w:val="nil"/>
            </w:tcBorders>
            <w:vAlign w:val="center"/>
          </w:tcPr>
          <w:p w14:paraId="485ED25B"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28" w:type="dxa"/>
            <w:tcBorders>
              <w:top w:val="nil"/>
              <w:bottom w:val="nil"/>
            </w:tcBorders>
            <w:vAlign w:val="center"/>
          </w:tcPr>
          <w:p w14:paraId="78B8D189"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666" w:type="dxa"/>
            <w:tcBorders>
              <w:top w:val="nil"/>
              <w:bottom w:val="nil"/>
            </w:tcBorders>
            <w:vAlign w:val="center"/>
          </w:tcPr>
          <w:p w14:paraId="654B64DC"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top w:val="nil"/>
              <w:bottom w:val="nil"/>
            </w:tcBorders>
            <w:vAlign w:val="center"/>
          </w:tcPr>
          <w:p w14:paraId="186941F0"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top w:val="nil"/>
              <w:bottom w:val="nil"/>
            </w:tcBorders>
            <w:vAlign w:val="center"/>
          </w:tcPr>
          <w:p w14:paraId="19134AE3"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709" w:type="dxa"/>
            <w:tcBorders>
              <w:top w:val="nil"/>
              <w:bottom w:val="nil"/>
            </w:tcBorders>
            <w:vAlign w:val="center"/>
          </w:tcPr>
          <w:p w14:paraId="142CB0DF"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67.83</w:t>
            </w:r>
          </w:p>
        </w:tc>
        <w:tc>
          <w:tcPr>
            <w:tcW w:w="850" w:type="dxa"/>
            <w:tcBorders>
              <w:top w:val="nil"/>
              <w:bottom w:val="nil"/>
            </w:tcBorders>
            <w:vAlign w:val="center"/>
          </w:tcPr>
          <w:p w14:paraId="118A1CA7"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23.19</w:t>
            </w:r>
          </w:p>
        </w:tc>
      </w:tr>
      <w:tr w:rsidR="006912F6" w:rsidRPr="006912F6" w14:paraId="79E6FA22" w14:textId="77777777" w:rsidTr="000C4BE5">
        <w:trPr>
          <w:trHeight w:val="285"/>
        </w:trPr>
        <w:tc>
          <w:tcPr>
            <w:tcW w:w="851" w:type="dxa"/>
            <w:vMerge/>
          </w:tcPr>
          <w:p w14:paraId="322B635B" w14:textId="77777777" w:rsidR="001B757C" w:rsidRPr="006912F6" w:rsidRDefault="001B757C" w:rsidP="00B41568">
            <w:pPr>
              <w:spacing w:before="0"/>
              <w:rPr>
                <w:rFonts w:asciiTheme="majorHAnsi" w:hAnsiTheme="majorHAnsi" w:cstheme="majorHAnsi"/>
                <w:sz w:val="18"/>
                <w:szCs w:val="20"/>
              </w:rPr>
            </w:pPr>
          </w:p>
        </w:tc>
        <w:tc>
          <w:tcPr>
            <w:tcW w:w="706" w:type="dxa"/>
            <w:tcBorders>
              <w:top w:val="nil"/>
              <w:bottom w:val="single" w:sz="4" w:space="0" w:color="auto"/>
            </w:tcBorders>
            <w:vAlign w:val="center"/>
          </w:tcPr>
          <w:p w14:paraId="458F6284"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690" w:type="dxa"/>
            <w:tcBorders>
              <w:top w:val="nil"/>
              <w:bottom w:val="single" w:sz="4" w:space="0" w:color="auto"/>
            </w:tcBorders>
            <w:vAlign w:val="center"/>
          </w:tcPr>
          <w:p w14:paraId="28C32E3B"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72.68</w:t>
            </w:r>
          </w:p>
        </w:tc>
        <w:tc>
          <w:tcPr>
            <w:tcW w:w="624" w:type="dxa"/>
            <w:tcBorders>
              <w:top w:val="nil"/>
              <w:bottom w:val="single" w:sz="4" w:space="0" w:color="auto"/>
            </w:tcBorders>
            <w:vAlign w:val="center"/>
          </w:tcPr>
          <w:p w14:paraId="62D163D3"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20.64</w:t>
            </w:r>
          </w:p>
        </w:tc>
        <w:tc>
          <w:tcPr>
            <w:tcW w:w="625" w:type="dxa"/>
            <w:tcBorders>
              <w:top w:val="nil"/>
              <w:bottom w:val="single" w:sz="4" w:space="0" w:color="auto"/>
            </w:tcBorders>
            <w:vAlign w:val="center"/>
          </w:tcPr>
          <w:p w14:paraId="15EF800E"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2037</w:t>
            </w:r>
          </w:p>
        </w:tc>
        <w:tc>
          <w:tcPr>
            <w:tcW w:w="624" w:type="dxa"/>
            <w:tcBorders>
              <w:top w:val="nil"/>
              <w:bottom w:val="single" w:sz="4" w:space="0" w:color="auto"/>
            </w:tcBorders>
            <w:vAlign w:val="center"/>
          </w:tcPr>
          <w:p w14:paraId="201049DE"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24" w:type="dxa"/>
            <w:tcBorders>
              <w:top w:val="nil"/>
              <w:bottom w:val="single" w:sz="4" w:space="0" w:color="auto"/>
            </w:tcBorders>
            <w:vAlign w:val="center"/>
          </w:tcPr>
          <w:p w14:paraId="2BEE86A4"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28" w:type="dxa"/>
            <w:tcBorders>
              <w:top w:val="nil"/>
              <w:bottom w:val="single" w:sz="4" w:space="0" w:color="auto"/>
            </w:tcBorders>
            <w:vAlign w:val="center"/>
          </w:tcPr>
          <w:p w14:paraId="78B015DF"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666" w:type="dxa"/>
            <w:tcBorders>
              <w:top w:val="nil"/>
              <w:bottom w:val="single" w:sz="4" w:space="0" w:color="auto"/>
            </w:tcBorders>
            <w:vAlign w:val="center"/>
          </w:tcPr>
          <w:p w14:paraId="1643F31E"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top w:val="nil"/>
              <w:bottom w:val="single" w:sz="4" w:space="0" w:color="auto"/>
            </w:tcBorders>
            <w:vAlign w:val="center"/>
          </w:tcPr>
          <w:p w14:paraId="47D276FA"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top w:val="nil"/>
              <w:bottom w:val="single" w:sz="4" w:space="0" w:color="auto"/>
            </w:tcBorders>
            <w:vAlign w:val="center"/>
          </w:tcPr>
          <w:p w14:paraId="702B2DAF"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709" w:type="dxa"/>
            <w:tcBorders>
              <w:top w:val="nil"/>
              <w:bottom w:val="single" w:sz="4" w:space="0" w:color="auto"/>
            </w:tcBorders>
            <w:vAlign w:val="center"/>
          </w:tcPr>
          <w:p w14:paraId="43847CBF"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72.68</w:t>
            </w:r>
          </w:p>
        </w:tc>
        <w:tc>
          <w:tcPr>
            <w:tcW w:w="850" w:type="dxa"/>
            <w:tcBorders>
              <w:top w:val="nil"/>
              <w:bottom w:val="single" w:sz="4" w:space="0" w:color="auto"/>
            </w:tcBorders>
            <w:vAlign w:val="center"/>
          </w:tcPr>
          <w:p w14:paraId="4CB29410"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20.64</w:t>
            </w:r>
          </w:p>
        </w:tc>
      </w:tr>
      <w:tr w:rsidR="006912F6" w:rsidRPr="006912F6" w14:paraId="5E2C33D1" w14:textId="77777777" w:rsidTr="000C4BE5">
        <w:trPr>
          <w:trHeight w:val="285"/>
        </w:trPr>
        <w:tc>
          <w:tcPr>
            <w:tcW w:w="851" w:type="dxa"/>
            <w:vMerge w:val="restart"/>
            <w:vAlign w:val="center"/>
          </w:tcPr>
          <w:p w14:paraId="2D16DFC4"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Low</w:t>
            </w:r>
          </w:p>
        </w:tc>
        <w:tc>
          <w:tcPr>
            <w:tcW w:w="706" w:type="dxa"/>
            <w:tcBorders>
              <w:bottom w:val="nil"/>
            </w:tcBorders>
            <w:vAlign w:val="center"/>
          </w:tcPr>
          <w:p w14:paraId="61932DF4"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690" w:type="dxa"/>
            <w:tcBorders>
              <w:bottom w:val="nil"/>
            </w:tcBorders>
            <w:vAlign w:val="center"/>
          </w:tcPr>
          <w:p w14:paraId="6656DBFB"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58.14</w:t>
            </w:r>
          </w:p>
        </w:tc>
        <w:tc>
          <w:tcPr>
            <w:tcW w:w="624" w:type="dxa"/>
            <w:tcBorders>
              <w:bottom w:val="nil"/>
            </w:tcBorders>
            <w:vAlign w:val="center"/>
          </w:tcPr>
          <w:p w14:paraId="2D420D11"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21.49</w:t>
            </w:r>
          </w:p>
        </w:tc>
        <w:tc>
          <w:tcPr>
            <w:tcW w:w="625" w:type="dxa"/>
            <w:tcBorders>
              <w:bottom w:val="nil"/>
            </w:tcBorders>
            <w:vAlign w:val="center"/>
          </w:tcPr>
          <w:p w14:paraId="59FC19B2"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2027</w:t>
            </w:r>
          </w:p>
        </w:tc>
        <w:tc>
          <w:tcPr>
            <w:tcW w:w="624" w:type="dxa"/>
            <w:tcBorders>
              <w:bottom w:val="nil"/>
            </w:tcBorders>
            <w:vAlign w:val="center"/>
          </w:tcPr>
          <w:p w14:paraId="3772974F"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24" w:type="dxa"/>
            <w:tcBorders>
              <w:bottom w:val="nil"/>
            </w:tcBorders>
            <w:vAlign w:val="center"/>
          </w:tcPr>
          <w:p w14:paraId="42237CC7"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28" w:type="dxa"/>
            <w:tcBorders>
              <w:bottom w:val="nil"/>
            </w:tcBorders>
            <w:vAlign w:val="center"/>
          </w:tcPr>
          <w:p w14:paraId="6676B848"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666" w:type="dxa"/>
            <w:tcBorders>
              <w:bottom w:val="nil"/>
            </w:tcBorders>
            <w:vAlign w:val="center"/>
          </w:tcPr>
          <w:p w14:paraId="738881C3"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bottom w:val="nil"/>
            </w:tcBorders>
            <w:vAlign w:val="center"/>
          </w:tcPr>
          <w:p w14:paraId="56E70D59"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bottom w:val="nil"/>
            </w:tcBorders>
            <w:vAlign w:val="center"/>
          </w:tcPr>
          <w:p w14:paraId="78F804BE"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709" w:type="dxa"/>
            <w:tcBorders>
              <w:bottom w:val="nil"/>
            </w:tcBorders>
            <w:vAlign w:val="center"/>
          </w:tcPr>
          <w:p w14:paraId="5DDADF10"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58.14</w:t>
            </w:r>
          </w:p>
        </w:tc>
        <w:tc>
          <w:tcPr>
            <w:tcW w:w="850" w:type="dxa"/>
            <w:tcBorders>
              <w:bottom w:val="nil"/>
            </w:tcBorders>
            <w:vAlign w:val="center"/>
          </w:tcPr>
          <w:p w14:paraId="30AC5456"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21.49</w:t>
            </w:r>
          </w:p>
        </w:tc>
      </w:tr>
      <w:tr w:rsidR="006912F6" w:rsidRPr="006912F6" w14:paraId="75FFCE1F" w14:textId="77777777" w:rsidTr="000C4BE5">
        <w:trPr>
          <w:trHeight w:val="285"/>
        </w:trPr>
        <w:tc>
          <w:tcPr>
            <w:tcW w:w="851" w:type="dxa"/>
            <w:vMerge/>
          </w:tcPr>
          <w:p w14:paraId="60CCCB31" w14:textId="77777777" w:rsidR="001B757C" w:rsidRPr="006912F6" w:rsidRDefault="001B757C" w:rsidP="00B41568">
            <w:pPr>
              <w:spacing w:before="0"/>
              <w:rPr>
                <w:rFonts w:asciiTheme="majorHAnsi" w:hAnsiTheme="majorHAnsi" w:cstheme="majorHAnsi"/>
                <w:sz w:val="18"/>
                <w:szCs w:val="20"/>
              </w:rPr>
            </w:pPr>
          </w:p>
        </w:tc>
        <w:tc>
          <w:tcPr>
            <w:tcW w:w="706" w:type="dxa"/>
            <w:tcBorders>
              <w:top w:val="nil"/>
              <w:bottom w:val="nil"/>
            </w:tcBorders>
            <w:vAlign w:val="center"/>
          </w:tcPr>
          <w:p w14:paraId="2B9BF0B7"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690" w:type="dxa"/>
            <w:tcBorders>
              <w:top w:val="nil"/>
              <w:bottom w:val="nil"/>
            </w:tcBorders>
            <w:vAlign w:val="center"/>
          </w:tcPr>
          <w:p w14:paraId="186E7520"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62.98</w:t>
            </w:r>
          </w:p>
        </w:tc>
        <w:tc>
          <w:tcPr>
            <w:tcW w:w="624" w:type="dxa"/>
            <w:tcBorders>
              <w:top w:val="nil"/>
              <w:bottom w:val="nil"/>
            </w:tcBorders>
            <w:vAlign w:val="center"/>
          </w:tcPr>
          <w:p w14:paraId="608FFB87"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18.66</w:t>
            </w:r>
          </w:p>
        </w:tc>
        <w:tc>
          <w:tcPr>
            <w:tcW w:w="625" w:type="dxa"/>
            <w:tcBorders>
              <w:top w:val="nil"/>
              <w:bottom w:val="nil"/>
            </w:tcBorders>
            <w:vAlign w:val="center"/>
          </w:tcPr>
          <w:p w14:paraId="0EB15F02"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2032</w:t>
            </w:r>
          </w:p>
        </w:tc>
        <w:tc>
          <w:tcPr>
            <w:tcW w:w="624" w:type="dxa"/>
            <w:tcBorders>
              <w:top w:val="nil"/>
              <w:bottom w:val="nil"/>
            </w:tcBorders>
            <w:vAlign w:val="center"/>
          </w:tcPr>
          <w:p w14:paraId="459697F5"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24" w:type="dxa"/>
            <w:tcBorders>
              <w:top w:val="nil"/>
              <w:bottom w:val="nil"/>
            </w:tcBorders>
            <w:vAlign w:val="center"/>
          </w:tcPr>
          <w:p w14:paraId="3D506FBD"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28" w:type="dxa"/>
            <w:tcBorders>
              <w:top w:val="nil"/>
              <w:bottom w:val="nil"/>
            </w:tcBorders>
            <w:vAlign w:val="center"/>
          </w:tcPr>
          <w:p w14:paraId="51DB886A"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666" w:type="dxa"/>
            <w:tcBorders>
              <w:top w:val="nil"/>
              <w:bottom w:val="nil"/>
            </w:tcBorders>
            <w:vAlign w:val="center"/>
          </w:tcPr>
          <w:p w14:paraId="6E0D33C8"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top w:val="nil"/>
              <w:bottom w:val="nil"/>
            </w:tcBorders>
            <w:vAlign w:val="center"/>
          </w:tcPr>
          <w:p w14:paraId="0B88615E"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top w:val="nil"/>
              <w:bottom w:val="nil"/>
            </w:tcBorders>
            <w:vAlign w:val="center"/>
          </w:tcPr>
          <w:p w14:paraId="0A0C013C"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709" w:type="dxa"/>
            <w:tcBorders>
              <w:top w:val="nil"/>
              <w:bottom w:val="nil"/>
            </w:tcBorders>
            <w:vAlign w:val="center"/>
          </w:tcPr>
          <w:p w14:paraId="0998031D"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62.98</w:t>
            </w:r>
          </w:p>
        </w:tc>
        <w:tc>
          <w:tcPr>
            <w:tcW w:w="850" w:type="dxa"/>
            <w:tcBorders>
              <w:top w:val="nil"/>
              <w:bottom w:val="nil"/>
            </w:tcBorders>
            <w:vAlign w:val="center"/>
          </w:tcPr>
          <w:p w14:paraId="27BC185F"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18.66</w:t>
            </w:r>
          </w:p>
        </w:tc>
      </w:tr>
      <w:tr w:rsidR="006912F6" w:rsidRPr="006912F6" w14:paraId="6BDB1780" w14:textId="77777777" w:rsidTr="000C4BE5">
        <w:trPr>
          <w:trHeight w:val="285"/>
        </w:trPr>
        <w:tc>
          <w:tcPr>
            <w:tcW w:w="851" w:type="dxa"/>
            <w:vMerge/>
          </w:tcPr>
          <w:p w14:paraId="719384C1" w14:textId="77777777" w:rsidR="001B757C" w:rsidRPr="006912F6" w:rsidRDefault="001B757C" w:rsidP="00B41568">
            <w:pPr>
              <w:spacing w:before="0"/>
              <w:rPr>
                <w:rFonts w:asciiTheme="majorHAnsi" w:hAnsiTheme="majorHAnsi" w:cstheme="majorHAnsi"/>
                <w:sz w:val="18"/>
                <w:szCs w:val="20"/>
              </w:rPr>
            </w:pPr>
          </w:p>
        </w:tc>
        <w:tc>
          <w:tcPr>
            <w:tcW w:w="706" w:type="dxa"/>
            <w:tcBorders>
              <w:top w:val="nil"/>
              <w:bottom w:val="nil"/>
            </w:tcBorders>
            <w:vAlign w:val="center"/>
          </w:tcPr>
          <w:p w14:paraId="4358C5F1"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690" w:type="dxa"/>
            <w:tcBorders>
              <w:top w:val="nil"/>
              <w:bottom w:val="nil"/>
            </w:tcBorders>
            <w:vAlign w:val="center"/>
          </w:tcPr>
          <w:p w14:paraId="3FAE82B2"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67.83</w:t>
            </w:r>
          </w:p>
        </w:tc>
        <w:tc>
          <w:tcPr>
            <w:tcW w:w="624" w:type="dxa"/>
            <w:tcBorders>
              <w:top w:val="nil"/>
              <w:bottom w:val="nil"/>
            </w:tcBorders>
            <w:vAlign w:val="center"/>
          </w:tcPr>
          <w:p w14:paraId="24D8BFD5"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15.86</w:t>
            </w:r>
          </w:p>
        </w:tc>
        <w:tc>
          <w:tcPr>
            <w:tcW w:w="625" w:type="dxa"/>
            <w:tcBorders>
              <w:top w:val="nil"/>
              <w:bottom w:val="nil"/>
            </w:tcBorders>
            <w:vAlign w:val="center"/>
          </w:tcPr>
          <w:p w14:paraId="2A4407B3"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2037</w:t>
            </w:r>
          </w:p>
        </w:tc>
        <w:tc>
          <w:tcPr>
            <w:tcW w:w="624" w:type="dxa"/>
            <w:tcBorders>
              <w:top w:val="nil"/>
              <w:bottom w:val="nil"/>
            </w:tcBorders>
            <w:vAlign w:val="center"/>
          </w:tcPr>
          <w:p w14:paraId="0EE83625"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24" w:type="dxa"/>
            <w:tcBorders>
              <w:top w:val="nil"/>
              <w:bottom w:val="nil"/>
            </w:tcBorders>
            <w:vAlign w:val="center"/>
          </w:tcPr>
          <w:p w14:paraId="7D71F44B"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28" w:type="dxa"/>
            <w:tcBorders>
              <w:top w:val="nil"/>
              <w:bottom w:val="nil"/>
            </w:tcBorders>
            <w:vAlign w:val="center"/>
          </w:tcPr>
          <w:p w14:paraId="17B5CCB2"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666" w:type="dxa"/>
            <w:tcBorders>
              <w:top w:val="nil"/>
              <w:bottom w:val="nil"/>
            </w:tcBorders>
            <w:vAlign w:val="center"/>
          </w:tcPr>
          <w:p w14:paraId="347A8E6C"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top w:val="nil"/>
              <w:bottom w:val="nil"/>
            </w:tcBorders>
            <w:vAlign w:val="center"/>
          </w:tcPr>
          <w:p w14:paraId="5CB6A331"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top w:val="nil"/>
              <w:bottom w:val="nil"/>
            </w:tcBorders>
            <w:vAlign w:val="center"/>
          </w:tcPr>
          <w:p w14:paraId="659F8676"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709" w:type="dxa"/>
            <w:tcBorders>
              <w:top w:val="nil"/>
              <w:bottom w:val="nil"/>
            </w:tcBorders>
            <w:vAlign w:val="center"/>
          </w:tcPr>
          <w:p w14:paraId="33F639C8"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67.83</w:t>
            </w:r>
          </w:p>
        </w:tc>
        <w:tc>
          <w:tcPr>
            <w:tcW w:w="850" w:type="dxa"/>
            <w:tcBorders>
              <w:top w:val="nil"/>
              <w:bottom w:val="nil"/>
            </w:tcBorders>
            <w:vAlign w:val="center"/>
          </w:tcPr>
          <w:p w14:paraId="08136A21"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15.86</w:t>
            </w:r>
          </w:p>
        </w:tc>
      </w:tr>
      <w:tr w:rsidR="006912F6" w:rsidRPr="006912F6" w14:paraId="515F6697" w14:textId="77777777" w:rsidTr="000C4BE5">
        <w:trPr>
          <w:trHeight w:val="285"/>
        </w:trPr>
        <w:tc>
          <w:tcPr>
            <w:tcW w:w="851" w:type="dxa"/>
            <w:vMerge/>
          </w:tcPr>
          <w:p w14:paraId="4F218D73" w14:textId="77777777" w:rsidR="001B757C" w:rsidRPr="006912F6" w:rsidRDefault="001B757C" w:rsidP="00B41568">
            <w:pPr>
              <w:spacing w:before="0"/>
              <w:rPr>
                <w:rFonts w:asciiTheme="majorHAnsi" w:hAnsiTheme="majorHAnsi" w:cstheme="majorHAnsi"/>
                <w:sz w:val="18"/>
                <w:szCs w:val="20"/>
              </w:rPr>
            </w:pPr>
          </w:p>
        </w:tc>
        <w:tc>
          <w:tcPr>
            <w:tcW w:w="706" w:type="dxa"/>
            <w:tcBorders>
              <w:top w:val="nil"/>
              <w:bottom w:val="single" w:sz="4" w:space="0" w:color="auto"/>
            </w:tcBorders>
            <w:vAlign w:val="center"/>
          </w:tcPr>
          <w:p w14:paraId="553C49AC"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690" w:type="dxa"/>
            <w:tcBorders>
              <w:top w:val="nil"/>
              <w:bottom w:val="single" w:sz="4" w:space="0" w:color="auto"/>
            </w:tcBorders>
            <w:vAlign w:val="center"/>
          </w:tcPr>
          <w:p w14:paraId="04E31D9C"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72.68</w:t>
            </w:r>
          </w:p>
        </w:tc>
        <w:tc>
          <w:tcPr>
            <w:tcW w:w="624" w:type="dxa"/>
            <w:tcBorders>
              <w:top w:val="nil"/>
              <w:bottom w:val="single" w:sz="4" w:space="0" w:color="auto"/>
            </w:tcBorders>
            <w:vAlign w:val="center"/>
          </w:tcPr>
          <w:p w14:paraId="17F3A026"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13.70</w:t>
            </w:r>
          </w:p>
        </w:tc>
        <w:tc>
          <w:tcPr>
            <w:tcW w:w="625" w:type="dxa"/>
            <w:tcBorders>
              <w:top w:val="nil"/>
              <w:bottom w:val="single" w:sz="4" w:space="0" w:color="auto"/>
            </w:tcBorders>
            <w:vAlign w:val="center"/>
          </w:tcPr>
          <w:p w14:paraId="7853874D"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2042</w:t>
            </w:r>
          </w:p>
        </w:tc>
        <w:tc>
          <w:tcPr>
            <w:tcW w:w="624" w:type="dxa"/>
            <w:tcBorders>
              <w:top w:val="nil"/>
              <w:bottom w:val="single" w:sz="4" w:space="0" w:color="auto"/>
            </w:tcBorders>
            <w:vAlign w:val="center"/>
          </w:tcPr>
          <w:p w14:paraId="377A8956"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24" w:type="dxa"/>
            <w:tcBorders>
              <w:top w:val="nil"/>
              <w:bottom w:val="single" w:sz="4" w:space="0" w:color="auto"/>
            </w:tcBorders>
            <w:vAlign w:val="center"/>
          </w:tcPr>
          <w:p w14:paraId="72F38586"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28" w:type="dxa"/>
            <w:tcBorders>
              <w:top w:val="nil"/>
              <w:bottom w:val="single" w:sz="4" w:space="0" w:color="auto"/>
            </w:tcBorders>
            <w:vAlign w:val="center"/>
          </w:tcPr>
          <w:p w14:paraId="03566B5B"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666" w:type="dxa"/>
            <w:tcBorders>
              <w:top w:val="nil"/>
              <w:bottom w:val="single" w:sz="4" w:space="0" w:color="auto"/>
            </w:tcBorders>
            <w:vAlign w:val="center"/>
          </w:tcPr>
          <w:p w14:paraId="25613756"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top w:val="nil"/>
              <w:bottom w:val="single" w:sz="4" w:space="0" w:color="auto"/>
            </w:tcBorders>
            <w:vAlign w:val="center"/>
          </w:tcPr>
          <w:p w14:paraId="1D949757"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top w:val="nil"/>
              <w:bottom w:val="single" w:sz="4" w:space="0" w:color="auto"/>
            </w:tcBorders>
            <w:vAlign w:val="center"/>
          </w:tcPr>
          <w:p w14:paraId="687EA7D0"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709" w:type="dxa"/>
            <w:tcBorders>
              <w:top w:val="nil"/>
              <w:bottom w:val="single" w:sz="4" w:space="0" w:color="auto"/>
            </w:tcBorders>
            <w:vAlign w:val="center"/>
          </w:tcPr>
          <w:p w14:paraId="5DF8D424"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72.68</w:t>
            </w:r>
          </w:p>
        </w:tc>
        <w:tc>
          <w:tcPr>
            <w:tcW w:w="850" w:type="dxa"/>
            <w:tcBorders>
              <w:top w:val="nil"/>
              <w:bottom w:val="single" w:sz="4" w:space="0" w:color="auto"/>
            </w:tcBorders>
            <w:vAlign w:val="center"/>
          </w:tcPr>
          <w:p w14:paraId="2DEF5367"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13.70</w:t>
            </w:r>
          </w:p>
        </w:tc>
      </w:tr>
      <w:tr w:rsidR="006912F6" w:rsidRPr="006912F6" w14:paraId="0E3A6566" w14:textId="77777777" w:rsidTr="000C4BE5">
        <w:trPr>
          <w:trHeight w:val="285"/>
        </w:trPr>
        <w:tc>
          <w:tcPr>
            <w:tcW w:w="851" w:type="dxa"/>
            <w:vMerge w:val="restart"/>
            <w:vAlign w:val="center"/>
          </w:tcPr>
          <w:p w14:paraId="53EF9655"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 xml:space="preserve">Histori-cal </w:t>
            </w:r>
          </w:p>
          <w:p w14:paraId="29670ECD"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Trend</w:t>
            </w:r>
          </w:p>
        </w:tc>
        <w:tc>
          <w:tcPr>
            <w:tcW w:w="706" w:type="dxa"/>
            <w:tcBorders>
              <w:bottom w:val="nil"/>
            </w:tcBorders>
            <w:vAlign w:val="center"/>
          </w:tcPr>
          <w:p w14:paraId="71AF92BB"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690" w:type="dxa"/>
            <w:tcBorders>
              <w:bottom w:val="nil"/>
            </w:tcBorders>
            <w:vAlign w:val="center"/>
          </w:tcPr>
          <w:p w14:paraId="779CFBFA"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58.14</w:t>
            </w:r>
          </w:p>
        </w:tc>
        <w:tc>
          <w:tcPr>
            <w:tcW w:w="624" w:type="dxa"/>
            <w:tcBorders>
              <w:bottom w:val="nil"/>
            </w:tcBorders>
            <w:vAlign w:val="center"/>
          </w:tcPr>
          <w:p w14:paraId="5C7BA353"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1.89</w:t>
            </w:r>
          </w:p>
        </w:tc>
        <w:tc>
          <w:tcPr>
            <w:tcW w:w="625" w:type="dxa"/>
            <w:tcBorders>
              <w:bottom w:val="nil"/>
            </w:tcBorders>
            <w:vAlign w:val="center"/>
          </w:tcPr>
          <w:p w14:paraId="0E358A96"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2067</w:t>
            </w:r>
          </w:p>
        </w:tc>
        <w:tc>
          <w:tcPr>
            <w:tcW w:w="624" w:type="dxa"/>
            <w:tcBorders>
              <w:bottom w:val="nil"/>
            </w:tcBorders>
            <w:vAlign w:val="center"/>
          </w:tcPr>
          <w:p w14:paraId="37125164"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24" w:type="dxa"/>
            <w:tcBorders>
              <w:bottom w:val="nil"/>
            </w:tcBorders>
            <w:vAlign w:val="center"/>
          </w:tcPr>
          <w:p w14:paraId="54C94C4F"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28" w:type="dxa"/>
            <w:tcBorders>
              <w:bottom w:val="nil"/>
            </w:tcBorders>
            <w:vAlign w:val="center"/>
          </w:tcPr>
          <w:p w14:paraId="49814A84"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666" w:type="dxa"/>
            <w:tcBorders>
              <w:bottom w:val="nil"/>
            </w:tcBorders>
            <w:vAlign w:val="center"/>
          </w:tcPr>
          <w:p w14:paraId="00147F4D"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bottom w:val="nil"/>
            </w:tcBorders>
            <w:vAlign w:val="center"/>
          </w:tcPr>
          <w:p w14:paraId="2D645C2E"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bottom w:val="nil"/>
            </w:tcBorders>
            <w:vAlign w:val="center"/>
          </w:tcPr>
          <w:p w14:paraId="7E3114D2"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709" w:type="dxa"/>
            <w:tcBorders>
              <w:bottom w:val="nil"/>
            </w:tcBorders>
            <w:vAlign w:val="center"/>
          </w:tcPr>
          <w:p w14:paraId="3BF8A809"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58.14</w:t>
            </w:r>
          </w:p>
        </w:tc>
        <w:tc>
          <w:tcPr>
            <w:tcW w:w="850" w:type="dxa"/>
            <w:tcBorders>
              <w:bottom w:val="nil"/>
            </w:tcBorders>
            <w:vAlign w:val="center"/>
          </w:tcPr>
          <w:p w14:paraId="4D5342E7"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1.89</w:t>
            </w:r>
          </w:p>
        </w:tc>
      </w:tr>
      <w:tr w:rsidR="006912F6" w:rsidRPr="006912F6" w14:paraId="3B0A3EAD" w14:textId="77777777" w:rsidTr="000C4BE5">
        <w:trPr>
          <w:trHeight w:val="285"/>
        </w:trPr>
        <w:tc>
          <w:tcPr>
            <w:tcW w:w="851" w:type="dxa"/>
            <w:vMerge/>
          </w:tcPr>
          <w:p w14:paraId="7150A67C" w14:textId="77777777" w:rsidR="001B757C" w:rsidRPr="006912F6" w:rsidRDefault="001B757C" w:rsidP="00B41568">
            <w:pPr>
              <w:spacing w:before="0"/>
              <w:rPr>
                <w:rFonts w:asciiTheme="majorHAnsi" w:hAnsiTheme="majorHAnsi" w:cstheme="majorHAnsi"/>
                <w:sz w:val="12"/>
                <w:szCs w:val="20"/>
              </w:rPr>
            </w:pPr>
          </w:p>
        </w:tc>
        <w:tc>
          <w:tcPr>
            <w:tcW w:w="706" w:type="dxa"/>
            <w:tcBorders>
              <w:top w:val="nil"/>
              <w:bottom w:val="nil"/>
            </w:tcBorders>
            <w:vAlign w:val="center"/>
          </w:tcPr>
          <w:p w14:paraId="3E0FD83C"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690" w:type="dxa"/>
            <w:tcBorders>
              <w:top w:val="nil"/>
              <w:bottom w:val="nil"/>
            </w:tcBorders>
            <w:vAlign w:val="center"/>
          </w:tcPr>
          <w:p w14:paraId="00E752F0"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62.98</w:t>
            </w:r>
          </w:p>
        </w:tc>
        <w:tc>
          <w:tcPr>
            <w:tcW w:w="624" w:type="dxa"/>
            <w:tcBorders>
              <w:top w:val="nil"/>
              <w:bottom w:val="nil"/>
            </w:tcBorders>
            <w:vAlign w:val="center"/>
          </w:tcPr>
          <w:p w14:paraId="45656C32"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1.26</w:t>
            </w:r>
          </w:p>
        </w:tc>
        <w:tc>
          <w:tcPr>
            <w:tcW w:w="625" w:type="dxa"/>
            <w:tcBorders>
              <w:top w:val="nil"/>
              <w:bottom w:val="nil"/>
            </w:tcBorders>
            <w:vAlign w:val="center"/>
          </w:tcPr>
          <w:p w14:paraId="5EF49E0B"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2088</w:t>
            </w:r>
          </w:p>
        </w:tc>
        <w:tc>
          <w:tcPr>
            <w:tcW w:w="624" w:type="dxa"/>
            <w:tcBorders>
              <w:top w:val="nil"/>
              <w:bottom w:val="nil"/>
            </w:tcBorders>
            <w:vAlign w:val="center"/>
          </w:tcPr>
          <w:p w14:paraId="695FF62B"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24" w:type="dxa"/>
            <w:tcBorders>
              <w:top w:val="nil"/>
              <w:bottom w:val="nil"/>
            </w:tcBorders>
            <w:vAlign w:val="center"/>
          </w:tcPr>
          <w:p w14:paraId="2173B839"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28" w:type="dxa"/>
            <w:tcBorders>
              <w:top w:val="nil"/>
              <w:bottom w:val="nil"/>
            </w:tcBorders>
            <w:vAlign w:val="center"/>
          </w:tcPr>
          <w:p w14:paraId="6F6F2C0F"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666" w:type="dxa"/>
            <w:tcBorders>
              <w:top w:val="nil"/>
              <w:bottom w:val="nil"/>
            </w:tcBorders>
            <w:vAlign w:val="center"/>
          </w:tcPr>
          <w:p w14:paraId="16FA34FC"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top w:val="nil"/>
              <w:bottom w:val="nil"/>
            </w:tcBorders>
            <w:vAlign w:val="center"/>
          </w:tcPr>
          <w:p w14:paraId="17CF7301"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top w:val="nil"/>
              <w:bottom w:val="nil"/>
            </w:tcBorders>
            <w:vAlign w:val="center"/>
          </w:tcPr>
          <w:p w14:paraId="0C7B9D79"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709" w:type="dxa"/>
            <w:tcBorders>
              <w:top w:val="nil"/>
              <w:bottom w:val="nil"/>
            </w:tcBorders>
            <w:vAlign w:val="center"/>
          </w:tcPr>
          <w:p w14:paraId="7D54CF98"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62.98</w:t>
            </w:r>
          </w:p>
        </w:tc>
        <w:tc>
          <w:tcPr>
            <w:tcW w:w="850" w:type="dxa"/>
            <w:tcBorders>
              <w:top w:val="nil"/>
              <w:bottom w:val="nil"/>
            </w:tcBorders>
            <w:vAlign w:val="center"/>
          </w:tcPr>
          <w:p w14:paraId="39ACF39A"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1.26</w:t>
            </w:r>
          </w:p>
        </w:tc>
      </w:tr>
      <w:tr w:rsidR="006912F6" w:rsidRPr="006912F6" w14:paraId="1708E44A" w14:textId="77777777" w:rsidTr="000C4BE5">
        <w:trPr>
          <w:trHeight w:val="285"/>
        </w:trPr>
        <w:tc>
          <w:tcPr>
            <w:tcW w:w="851" w:type="dxa"/>
            <w:vMerge/>
          </w:tcPr>
          <w:p w14:paraId="131343A0" w14:textId="77777777" w:rsidR="001B757C" w:rsidRPr="006912F6" w:rsidRDefault="001B757C" w:rsidP="00B41568">
            <w:pPr>
              <w:spacing w:before="0"/>
              <w:rPr>
                <w:rFonts w:asciiTheme="majorHAnsi" w:hAnsiTheme="majorHAnsi" w:cstheme="majorHAnsi"/>
                <w:sz w:val="12"/>
                <w:szCs w:val="20"/>
              </w:rPr>
            </w:pPr>
          </w:p>
        </w:tc>
        <w:tc>
          <w:tcPr>
            <w:tcW w:w="706" w:type="dxa"/>
            <w:tcBorders>
              <w:top w:val="nil"/>
              <w:bottom w:val="nil"/>
            </w:tcBorders>
            <w:vAlign w:val="center"/>
          </w:tcPr>
          <w:p w14:paraId="6515FD41"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690" w:type="dxa"/>
            <w:tcBorders>
              <w:top w:val="nil"/>
              <w:bottom w:val="nil"/>
            </w:tcBorders>
            <w:vAlign w:val="center"/>
          </w:tcPr>
          <w:p w14:paraId="17A1A64B"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67.83</w:t>
            </w:r>
          </w:p>
        </w:tc>
        <w:tc>
          <w:tcPr>
            <w:tcW w:w="624" w:type="dxa"/>
            <w:tcBorders>
              <w:top w:val="nil"/>
              <w:bottom w:val="nil"/>
            </w:tcBorders>
            <w:vAlign w:val="center"/>
          </w:tcPr>
          <w:p w14:paraId="2F755281"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0.77</w:t>
            </w:r>
          </w:p>
        </w:tc>
        <w:tc>
          <w:tcPr>
            <w:tcW w:w="625" w:type="dxa"/>
            <w:tcBorders>
              <w:top w:val="nil"/>
              <w:bottom w:val="nil"/>
            </w:tcBorders>
            <w:vAlign w:val="center"/>
          </w:tcPr>
          <w:p w14:paraId="42EAEEBD"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2092</w:t>
            </w:r>
          </w:p>
        </w:tc>
        <w:tc>
          <w:tcPr>
            <w:tcW w:w="624" w:type="dxa"/>
            <w:tcBorders>
              <w:top w:val="nil"/>
              <w:bottom w:val="nil"/>
            </w:tcBorders>
            <w:vAlign w:val="center"/>
          </w:tcPr>
          <w:p w14:paraId="49D59443"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24" w:type="dxa"/>
            <w:tcBorders>
              <w:top w:val="nil"/>
              <w:bottom w:val="nil"/>
            </w:tcBorders>
            <w:vAlign w:val="center"/>
          </w:tcPr>
          <w:p w14:paraId="21A5B2BF"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28" w:type="dxa"/>
            <w:tcBorders>
              <w:top w:val="nil"/>
              <w:bottom w:val="nil"/>
            </w:tcBorders>
            <w:vAlign w:val="center"/>
          </w:tcPr>
          <w:p w14:paraId="6CC70C25"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666" w:type="dxa"/>
            <w:tcBorders>
              <w:top w:val="nil"/>
              <w:bottom w:val="nil"/>
            </w:tcBorders>
            <w:vAlign w:val="center"/>
          </w:tcPr>
          <w:p w14:paraId="2B29E193"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top w:val="nil"/>
              <w:bottom w:val="nil"/>
            </w:tcBorders>
            <w:vAlign w:val="center"/>
          </w:tcPr>
          <w:p w14:paraId="00BFA13E"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top w:val="nil"/>
              <w:bottom w:val="nil"/>
            </w:tcBorders>
            <w:vAlign w:val="center"/>
          </w:tcPr>
          <w:p w14:paraId="52997D05"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709" w:type="dxa"/>
            <w:tcBorders>
              <w:top w:val="nil"/>
              <w:bottom w:val="nil"/>
            </w:tcBorders>
            <w:vAlign w:val="center"/>
          </w:tcPr>
          <w:p w14:paraId="655E1D2E"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67.83</w:t>
            </w:r>
          </w:p>
        </w:tc>
        <w:tc>
          <w:tcPr>
            <w:tcW w:w="850" w:type="dxa"/>
            <w:tcBorders>
              <w:top w:val="nil"/>
              <w:bottom w:val="nil"/>
            </w:tcBorders>
            <w:vAlign w:val="center"/>
          </w:tcPr>
          <w:p w14:paraId="66925662"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0.77</w:t>
            </w:r>
          </w:p>
        </w:tc>
      </w:tr>
      <w:tr w:rsidR="001B757C" w:rsidRPr="006912F6" w14:paraId="6B73F988" w14:textId="77777777" w:rsidTr="000C4BE5">
        <w:trPr>
          <w:trHeight w:val="285"/>
        </w:trPr>
        <w:tc>
          <w:tcPr>
            <w:tcW w:w="851" w:type="dxa"/>
            <w:vMerge/>
          </w:tcPr>
          <w:p w14:paraId="4B2AB9EF" w14:textId="77777777" w:rsidR="001B757C" w:rsidRPr="006912F6" w:rsidRDefault="001B757C" w:rsidP="00B41568">
            <w:pPr>
              <w:spacing w:before="0"/>
              <w:rPr>
                <w:rFonts w:asciiTheme="majorHAnsi" w:hAnsiTheme="majorHAnsi" w:cstheme="majorHAnsi"/>
                <w:sz w:val="12"/>
                <w:szCs w:val="20"/>
              </w:rPr>
            </w:pPr>
          </w:p>
        </w:tc>
        <w:tc>
          <w:tcPr>
            <w:tcW w:w="706" w:type="dxa"/>
            <w:tcBorders>
              <w:top w:val="nil"/>
            </w:tcBorders>
            <w:vAlign w:val="center"/>
          </w:tcPr>
          <w:p w14:paraId="412BD181" w14:textId="77777777" w:rsidR="001B757C" w:rsidRPr="006912F6" w:rsidRDefault="001B757C" w:rsidP="00B41568">
            <w:pPr>
              <w:spacing w:before="0"/>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690" w:type="dxa"/>
            <w:tcBorders>
              <w:top w:val="nil"/>
            </w:tcBorders>
            <w:vAlign w:val="center"/>
          </w:tcPr>
          <w:p w14:paraId="491106DF"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72.68</w:t>
            </w:r>
          </w:p>
        </w:tc>
        <w:tc>
          <w:tcPr>
            <w:tcW w:w="624" w:type="dxa"/>
            <w:tcBorders>
              <w:top w:val="nil"/>
            </w:tcBorders>
            <w:vAlign w:val="center"/>
          </w:tcPr>
          <w:p w14:paraId="2D417E04"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0.47</w:t>
            </w:r>
          </w:p>
        </w:tc>
        <w:tc>
          <w:tcPr>
            <w:tcW w:w="625" w:type="dxa"/>
            <w:tcBorders>
              <w:top w:val="nil"/>
            </w:tcBorders>
            <w:vAlign w:val="center"/>
          </w:tcPr>
          <w:p w14:paraId="448C3399"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2100</w:t>
            </w:r>
          </w:p>
        </w:tc>
        <w:tc>
          <w:tcPr>
            <w:tcW w:w="624" w:type="dxa"/>
            <w:tcBorders>
              <w:top w:val="nil"/>
            </w:tcBorders>
            <w:vAlign w:val="center"/>
          </w:tcPr>
          <w:p w14:paraId="51A44DBF"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24" w:type="dxa"/>
            <w:tcBorders>
              <w:top w:val="nil"/>
            </w:tcBorders>
            <w:vAlign w:val="center"/>
          </w:tcPr>
          <w:p w14:paraId="27477812"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28" w:type="dxa"/>
            <w:tcBorders>
              <w:top w:val="nil"/>
            </w:tcBorders>
            <w:vAlign w:val="center"/>
          </w:tcPr>
          <w:p w14:paraId="7BD622A7"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666" w:type="dxa"/>
            <w:tcBorders>
              <w:top w:val="nil"/>
            </w:tcBorders>
            <w:vAlign w:val="center"/>
          </w:tcPr>
          <w:p w14:paraId="60FC51E2"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top w:val="nil"/>
            </w:tcBorders>
            <w:vAlign w:val="center"/>
          </w:tcPr>
          <w:p w14:paraId="4ADE36A0"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w:t>
            </w:r>
          </w:p>
        </w:tc>
        <w:tc>
          <w:tcPr>
            <w:tcW w:w="667" w:type="dxa"/>
            <w:tcBorders>
              <w:top w:val="nil"/>
            </w:tcBorders>
            <w:vAlign w:val="center"/>
          </w:tcPr>
          <w:p w14:paraId="49E264B4"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w:t>
            </w:r>
          </w:p>
        </w:tc>
        <w:tc>
          <w:tcPr>
            <w:tcW w:w="709" w:type="dxa"/>
            <w:tcBorders>
              <w:top w:val="nil"/>
            </w:tcBorders>
            <w:vAlign w:val="center"/>
          </w:tcPr>
          <w:p w14:paraId="0D3E194C"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72.68</w:t>
            </w:r>
          </w:p>
        </w:tc>
        <w:tc>
          <w:tcPr>
            <w:tcW w:w="850" w:type="dxa"/>
            <w:tcBorders>
              <w:top w:val="nil"/>
            </w:tcBorders>
            <w:vAlign w:val="center"/>
          </w:tcPr>
          <w:p w14:paraId="225D2C2A" w14:textId="77777777" w:rsidR="001B757C" w:rsidRPr="006912F6" w:rsidRDefault="001B757C" w:rsidP="00B41568">
            <w:pPr>
              <w:spacing w:before="0"/>
              <w:jc w:val="center"/>
              <w:rPr>
                <w:rFonts w:asciiTheme="majorHAnsi" w:hAnsiTheme="majorHAnsi" w:cstheme="majorHAnsi"/>
                <w:spacing w:val="-4"/>
                <w:sz w:val="18"/>
                <w:szCs w:val="20"/>
              </w:rPr>
            </w:pPr>
            <w:r w:rsidRPr="006912F6">
              <w:rPr>
                <w:rFonts w:asciiTheme="majorHAnsi" w:hAnsiTheme="majorHAnsi" w:cstheme="majorHAnsi"/>
                <w:spacing w:val="-4"/>
                <w:sz w:val="18"/>
                <w:szCs w:val="20"/>
              </w:rPr>
              <w:t>0.47</w:t>
            </w:r>
          </w:p>
        </w:tc>
      </w:tr>
    </w:tbl>
    <w:p w14:paraId="5B38D209" w14:textId="77777777" w:rsidR="001B757C" w:rsidRPr="006912F6" w:rsidRDefault="001B757C" w:rsidP="001B757C">
      <w:pPr>
        <w:rPr>
          <w:rFonts w:cs="Times New Roman"/>
        </w:rPr>
      </w:pPr>
    </w:p>
    <w:p w14:paraId="18FBF92C" w14:textId="77777777" w:rsidR="001B757C" w:rsidRPr="006912F6" w:rsidRDefault="001B757C" w:rsidP="001B757C">
      <w:pPr>
        <w:spacing w:before="0" w:after="160" w:line="259" w:lineRule="auto"/>
      </w:pPr>
    </w:p>
    <w:p w14:paraId="4EF624B3" w14:textId="77777777" w:rsidR="00B41568" w:rsidRPr="006912F6" w:rsidRDefault="00B41568" w:rsidP="001B757C">
      <w:pPr>
        <w:pStyle w:val="a4"/>
        <w:spacing w:after="240"/>
        <w:jc w:val="both"/>
        <w:rPr>
          <w:b/>
          <w:bCs/>
          <w:i w:val="0"/>
          <w:color w:val="auto"/>
        </w:rPr>
      </w:pPr>
    </w:p>
    <w:p w14:paraId="7082AFFB" w14:textId="77777777" w:rsidR="00B41568" w:rsidRPr="006912F6" w:rsidRDefault="00B41568" w:rsidP="001B757C">
      <w:pPr>
        <w:pStyle w:val="a4"/>
        <w:spacing w:after="240"/>
        <w:jc w:val="both"/>
        <w:rPr>
          <w:b/>
          <w:bCs/>
          <w:i w:val="0"/>
          <w:color w:val="auto"/>
        </w:rPr>
      </w:pPr>
    </w:p>
    <w:p w14:paraId="66426D3C" w14:textId="662CC972" w:rsidR="001B757C" w:rsidRPr="006912F6" w:rsidRDefault="001B757C" w:rsidP="001B757C">
      <w:pPr>
        <w:pStyle w:val="a4"/>
        <w:spacing w:after="240"/>
        <w:jc w:val="both"/>
        <w:rPr>
          <w:rFonts w:cs="Times New Roman"/>
          <w:i w:val="0"/>
          <w:color w:val="auto"/>
          <w:sz w:val="20"/>
          <w:szCs w:val="20"/>
        </w:rPr>
      </w:pPr>
      <w:r w:rsidRPr="006912F6">
        <w:rPr>
          <w:b/>
          <w:bCs/>
          <w:i w:val="0"/>
          <w:color w:val="auto"/>
          <w:sz w:val="20"/>
          <w:szCs w:val="20"/>
        </w:rPr>
        <w:lastRenderedPageBreak/>
        <w:t xml:space="preserve">Table </w:t>
      </w:r>
      <w:r w:rsidR="00B41568" w:rsidRPr="006912F6">
        <w:rPr>
          <w:b/>
          <w:bCs/>
          <w:i w:val="0"/>
          <w:color w:val="auto"/>
          <w:sz w:val="20"/>
          <w:szCs w:val="20"/>
        </w:rPr>
        <w:t>3.</w:t>
      </w:r>
      <w:r w:rsidR="00AC3AA0" w:rsidRPr="006912F6">
        <w:rPr>
          <w:b/>
          <w:bCs/>
          <w:i w:val="0"/>
          <w:color w:val="auto"/>
          <w:sz w:val="20"/>
          <w:szCs w:val="20"/>
        </w:rPr>
        <w:t>8</w:t>
      </w:r>
      <w:r w:rsidRPr="006912F6">
        <w:rPr>
          <w:b/>
          <w:bCs/>
          <w:i w:val="0"/>
          <w:color w:val="auto"/>
          <w:sz w:val="20"/>
          <w:szCs w:val="20"/>
        </w:rPr>
        <w:t xml:space="preserve">. </w:t>
      </w:r>
      <w:r w:rsidRPr="006912F6">
        <w:rPr>
          <w:rFonts w:cs="Times New Roman"/>
          <w:i w:val="0"/>
          <w:color w:val="auto"/>
          <w:sz w:val="20"/>
          <w:szCs w:val="20"/>
        </w:rPr>
        <w:t>Option values (NPV</w:t>
      </w:r>
      <w:r w:rsidRPr="006912F6">
        <w:rPr>
          <w:rFonts w:cs="Times New Roman"/>
          <w:i w:val="0"/>
          <w:color w:val="auto"/>
          <w:sz w:val="20"/>
          <w:szCs w:val="20"/>
          <w:vertAlign w:val="subscript"/>
        </w:rPr>
        <w:t>opt</w:t>
      </w:r>
      <w:r w:rsidRPr="006912F6">
        <w:rPr>
          <w:rFonts w:cs="Times New Roman"/>
          <w:i w:val="0"/>
          <w:color w:val="auto"/>
          <w:sz w:val="20"/>
          <w:szCs w:val="20"/>
        </w:rPr>
        <w:t xml:space="preserve">) and optimal investment times (OIT) </w:t>
      </w:r>
      <w:r w:rsidRPr="006912F6">
        <w:rPr>
          <w:rStyle w:val="Char5"/>
          <w:rFonts w:ascii="Times New Roman" w:hAnsi="Times New Roman" w:cs="Times New Roman"/>
          <w:b w:val="0"/>
          <w:bCs w:val="0"/>
          <w:i w:val="0"/>
          <w:color w:val="auto"/>
          <w:sz w:val="20"/>
          <w:szCs w:val="20"/>
        </w:rPr>
        <w:t>by different premium values in different SLR scenarios</w:t>
      </w:r>
      <w:r w:rsidRPr="006912F6">
        <w:rPr>
          <w:rFonts w:cs="Times New Roman"/>
          <w:i w:val="0"/>
          <w:color w:val="auto"/>
          <w:sz w:val="20"/>
          <w:szCs w:val="20"/>
        </w:rPr>
        <w:t xml:space="preserve"> for the adaptation path of </w:t>
      </w:r>
      <m:oMath>
        <m:sSub>
          <m:sSubPr>
            <m:ctrlPr>
              <w:rPr>
                <w:rFonts w:ascii="Cambria Math" w:hAnsi="Cambria Math" w:cs="Times New Roman"/>
                <w:i w:val="0"/>
                <w:color w:val="auto"/>
                <w:sz w:val="20"/>
                <w:szCs w:val="20"/>
              </w:rPr>
            </m:ctrlPr>
          </m:sSubPr>
          <m:e>
            <m:r>
              <w:rPr>
                <w:rFonts w:ascii="Cambria Math" w:hAnsi="Cambria Math" w:cs="Times New Roman" w:hint="eastAsia"/>
                <w:color w:val="auto"/>
                <w:sz w:val="20"/>
                <w:szCs w:val="20"/>
              </w:rPr>
              <m:t>U</m:t>
            </m:r>
          </m:e>
          <m:sub>
            <m:r>
              <w:rPr>
                <w:rFonts w:ascii="Cambria Math" w:hAnsi="Cambria Math" w:cs="Times New Roman" w:hint="eastAsia"/>
                <w:color w:val="auto"/>
                <w:sz w:val="20"/>
                <w:szCs w:val="20"/>
              </w:rPr>
              <m:t>c</m:t>
            </m:r>
            <m:r>
              <w:rPr>
                <w:rFonts w:ascii="Cambria Math" w:hAnsi="Cambria Math" w:cs="Times New Roman" w:hint="eastAsia"/>
                <w:color w:val="auto"/>
                <w:sz w:val="20"/>
                <w:szCs w:val="20"/>
              </w:rPr>
              <m:t>→</m:t>
            </m:r>
            <m:r>
              <w:rPr>
                <w:rFonts w:ascii="Cambria Math" w:hAnsi="Cambria Math" w:cs="Times New Roman" w:hint="eastAsia"/>
                <w:color w:val="auto"/>
                <w:sz w:val="20"/>
                <w:szCs w:val="20"/>
              </w:rPr>
              <m:t>3.</m:t>
            </m:r>
            <m:r>
              <w:rPr>
                <w:rFonts w:ascii="Cambria Math" w:hAnsi="Cambria Math" w:cs="Times New Roman"/>
                <w:color w:val="auto"/>
                <w:sz w:val="20"/>
                <w:szCs w:val="20"/>
              </w:rPr>
              <m:t>25</m:t>
            </m:r>
            <m:r>
              <w:rPr>
                <w:rFonts w:ascii="Cambria Math" w:hAnsi="Cambria Math" w:cs="Times New Roman" w:hint="eastAsia"/>
                <w:color w:val="auto"/>
                <w:sz w:val="20"/>
                <w:szCs w:val="20"/>
              </w:rPr>
              <m:t>m</m:t>
            </m:r>
          </m:sub>
        </m:sSub>
        <m:r>
          <w:rPr>
            <w:rFonts w:ascii="Cambria Math" w:hAnsi="Cambria Math" w:cs="Times New Roman"/>
            <w:color w:val="auto"/>
            <w:sz w:val="20"/>
            <w:szCs w:val="20"/>
          </w:rPr>
          <m:t>*</m:t>
        </m:r>
        <m:sSub>
          <m:sSubPr>
            <m:ctrlPr>
              <w:rPr>
                <w:rFonts w:ascii="Cambria Math" w:hAnsi="Cambria Math" w:cs="Times New Roman"/>
                <w:i w:val="0"/>
                <w:color w:val="auto"/>
                <w:sz w:val="20"/>
                <w:szCs w:val="20"/>
              </w:rPr>
            </m:ctrlPr>
          </m:sSubPr>
          <m:e>
            <m:r>
              <w:rPr>
                <w:rFonts w:ascii="Cambria Math" w:hAnsi="Cambria Math" w:cs="Times New Roman" w:hint="eastAsia"/>
                <w:color w:val="auto"/>
                <w:sz w:val="20"/>
                <w:szCs w:val="20"/>
              </w:rPr>
              <m:t>U</m:t>
            </m:r>
          </m:e>
          <m:sub>
            <m:r>
              <w:rPr>
                <w:rFonts w:ascii="Cambria Math" w:hAnsi="Cambria Math" w:cs="Times New Roman" w:hint="eastAsia"/>
                <w:color w:val="auto"/>
                <w:sz w:val="20"/>
                <w:szCs w:val="20"/>
              </w:rPr>
              <m:t>3.</m:t>
            </m:r>
            <m:r>
              <w:rPr>
                <w:rFonts w:ascii="Cambria Math" w:hAnsi="Cambria Math" w:cs="Times New Roman"/>
                <w:color w:val="auto"/>
                <w:sz w:val="20"/>
                <w:szCs w:val="20"/>
              </w:rPr>
              <m:t>25</m:t>
            </m:r>
            <m:r>
              <w:rPr>
                <w:rFonts w:ascii="Cambria Math" w:hAnsi="Cambria Math" w:cs="Times New Roman" w:hint="eastAsia"/>
                <w:color w:val="auto"/>
                <w:sz w:val="20"/>
                <w:szCs w:val="20"/>
              </w:rPr>
              <m:t>m</m:t>
            </m:r>
            <m:r>
              <w:rPr>
                <w:rFonts w:ascii="Cambria Math" w:hAnsi="Cambria Math" w:cs="Times New Roman" w:hint="eastAsia"/>
                <w:color w:val="auto"/>
                <w:sz w:val="20"/>
                <w:szCs w:val="20"/>
              </w:rPr>
              <m:t>→</m:t>
            </m:r>
            <m:r>
              <w:rPr>
                <w:rFonts w:ascii="Cambria Math" w:hAnsi="Cambria Math" w:cs="Times New Roman" w:hint="eastAsia"/>
                <w:color w:val="auto"/>
                <w:sz w:val="20"/>
                <w:szCs w:val="20"/>
              </w:rPr>
              <m:t>4.0m</m:t>
            </m:r>
          </m:sub>
        </m:sSub>
      </m:oMath>
      <w:r w:rsidRPr="006912F6">
        <w:rPr>
          <w:rFonts w:cs="Times New Roman"/>
          <w:i w:val="0"/>
          <w:color w:val="auto"/>
          <w:sz w:val="20"/>
          <w:szCs w:val="20"/>
        </w:rPr>
        <w:t>.</w:t>
      </w:r>
    </w:p>
    <w:tbl>
      <w:tblPr>
        <w:tblStyle w:val="a3"/>
        <w:tblpPr w:leftFromText="180" w:rightFromText="180" w:vertAnchor="text" w:horzAnchor="margin" w:tblpY="86"/>
        <w:tblW w:w="0" w:type="auto"/>
        <w:tblBorders>
          <w:left w:val="none" w:sz="0" w:space="0" w:color="auto"/>
          <w:right w:val="none" w:sz="0" w:space="0" w:color="auto"/>
        </w:tblBorders>
        <w:tblLook w:val="04A0" w:firstRow="1" w:lastRow="0" w:firstColumn="1" w:lastColumn="0" w:noHBand="0" w:noVBand="1"/>
      </w:tblPr>
      <w:tblGrid>
        <w:gridCol w:w="1016"/>
        <w:gridCol w:w="1035"/>
        <w:gridCol w:w="874"/>
        <w:gridCol w:w="963"/>
        <w:gridCol w:w="732"/>
        <w:gridCol w:w="874"/>
        <w:gridCol w:w="963"/>
        <w:gridCol w:w="732"/>
        <w:gridCol w:w="874"/>
        <w:gridCol w:w="963"/>
      </w:tblGrid>
      <w:tr w:rsidR="006912F6" w:rsidRPr="006912F6" w14:paraId="601D2456" w14:textId="77777777" w:rsidTr="000C4BE5">
        <w:trPr>
          <w:trHeight w:val="510"/>
        </w:trPr>
        <w:tc>
          <w:tcPr>
            <w:tcW w:w="1016" w:type="dxa"/>
            <w:vMerge w:val="restart"/>
            <w:vAlign w:val="center"/>
          </w:tcPr>
          <w:p w14:paraId="1D658611"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SLR scenario</w:t>
            </w:r>
          </w:p>
        </w:tc>
        <w:tc>
          <w:tcPr>
            <w:tcW w:w="1035" w:type="dxa"/>
            <w:vMerge w:val="restart"/>
            <w:vAlign w:val="center"/>
          </w:tcPr>
          <w:p w14:paraId="5AD509E6"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Premium scenario</w:t>
            </w:r>
          </w:p>
        </w:tc>
        <w:tc>
          <w:tcPr>
            <w:tcW w:w="2569" w:type="dxa"/>
            <w:gridSpan w:val="3"/>
            <w:vAlign w:val="center"/>
          </w:tcPr>
          <w:p w14:paraId="39E9A096"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The first phase adaptation (</w:t>
            </w:r>
            <m:oMath>
              <m:sSub>
                <m:sSubPr>
                  <m:ctrlPr>
                    <w:rPr>
                      <w:rFonts w:ascii="Cambria Math" w:hAnsi="Cambria Math" w:cstheme="majorHAnsi"/>
                      <w:i/>
                      <w:sz w:val="20"/>
                    </w:rPr>
                  </m:ctrlPr>
                </m:sSubPr>
                <m:e>
                  <m:r>
                    <w:rPr>
                      <w:rFonts w:ascii="Cambria Math" w:hAnsi="Cambria Math" w:cstheme="majorHAnsi"/>
                      <w:sz w:val="20"/>
                    </w:rPr>
                    <m:t>U</m:t>
                  </m:r>
                </m:e>
                <m:sub>
                  <m:r>
                    <w:rPr>
                      <w:rFonts w:ascii="Cambria Math" w:hAnsi="Cambria Math" w:cstheme="majorHAnsi"/>
                      <w:sz w:val="20"/>
                    </w:rPr>
                    <m:t>c→3.25m</m:t>
                  </m:r>
                </m:sub>
              </m:sSub>
              <m:r>
                <w:rPr>
                  <w:rFonts w:ascii="Cambria Math" w:hAnsi="Cambria Math" w:cstheme="majorHAnsi"/>
                  <w:sz w:val="20"/>
                </w:rPr>
                <m:t>)</m:t>
              </m:r>
            </m:oMath>
          </w:p>
        </w:tc>
        <w:tc>
          <w:tcPr>
            <w:tcW w:w="2569" w:type="dxa"/>
            <w:gridSpan w:val="3"/>
            <w:vAlign w:val="center"/>
          </w:tcPr>
          <w:p w14:paraId="52C260C6"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The second phase adaptation (</w:t>
            </w:r>
            <m:oMath>
              <m:sSub>
                <m:sSubPr>
                  <m:ctrlPr>
                    <w:rPr>
                      <w:rFonts w:ascii="Cambria Math" w:hAnsi="Cambria Math" w:cstheme="majorHAnsi"/>
                      <w:i/>
                      <w:sz w:val="20"/>
                    </w:rPr>
                  </m:ctrlPr>
                </m:sSubPr>
                <m:e>
                  <m:r>
                    <w:rPr>
                      <w:rFonts w:ascii="Cambria Math" w:hAnsi="Cambria Math" w:cstheme="majorHAnsi"/>
                      <w:sz w:val="20"/>
                    </w:rPr>
                    <m:t>U</m:t>
                  </m:r>
                </m:e>
                <m:sub>
                  <m:r>
                    <w:rPr>
                      <w:rFonts w:ascii="Cambria Math" w:hAnsi="Cambria Math" w:cstheme="majorHAnsi"/>
                      <w:sz w:val="20"/>
                    </w:rPr>
                    <m:t>3.25m→4.0m</m:t>
                  </m:r>
                </m:sub>
              </m:sSub>
              <m:r>
                <w:rPr>
                  <w:rFonts w:ascii="Cambria Math" w:hAnsi="Cambria Math" w:cstheme="majorHAnsi"/>
                  <w:sz w:val="20"/>
                </w:rPr>
                <m:t>)</m:t>
              </m:r>
            </m:oMath>
          </w:p>
        </w:tc>
        <w:tc>
          <w:tcPr>
            <w:tcW w:w="1837" w:type="dxa"/>
            <w:gridSpan w:val="2"/>
            <w:vAlign w:val="center"/>
          </w:tcPr>
          <w:p w14:paraId="0607744F"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The overall adaptations</w:t>
            </w:r>
          </w:p>
          <w:p w14:paraId="6705AF26"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w:t>
            </w:r>
            <m:oMath>
              <m:sSub>
                <m:sSubPr>
                  <m:ctrlPr>
                    <w:rPr>
                      <w:rFonts w:ascii="Cambria Math" w:hAnsi="Cambria Math" w:cstheme="majorHAnsi"/>
                      <w:i/>
                      <w:sz w:val="14"/>
                      <w:szCs w:val="20"/>
                    </w:rPr>
                  </m:ctrlPr>
                </m:sSubPr>
                <m:e>
                  <m:r>
                    <w:rPr>
                      <w:rFonts w:ascii="Cambria Math" w:hAnsi="Cambria Math" w:cstheme="majorHAnsi"/>
                      <w:sz w:val="14"/>
                      <w:szCs w:val="20"/>
                    </w:rPr>
                    <m:t>U</m:t>
                  </m:r>
                </m:e>
                <m:sub>
                  <m:r>
                    <w:rPr>
                      <w:rFonts w:ascii="Cambria Math" w:hAnsi="Cambria Math" w:cstheme="majorHAnsi"/>
                      <w:sz w:val="14"/>
                      <w:szCs w:val="20"/>
                    </w:rPr>
                    <m:t>c→3.25m</m:t>
                  </m:r>
                </m:sub>
              </m:sSub>
              <m:r>
                <w:rPr>
                  <w:rFonts w:ascii="Cambria Math" w:hAnsi="Cambria Math" w:cstheme="majorHAnsi"/>
                  <w:sz w:val="14"/>
                  <w:szCs w:val="20"/>
                </w:rPr>
                <m:t>*</m:t>
              </m:r>
              <m:sSub>
                <m:sSubPr>
                  <m:ctrlPr>
                    <w:rPr>
                      <w:rFonts w:ascii="Cambria Math" w:hAnsi="Cambria Math" w:cstheme="majorHAnsi"/>
                      <w:i/>
                      <w:sz w:val="14"/>
                      <w:szCs w:val="20"/>
                    </w:rPr>
                  </m:ctrlPr>
                </m:sSubPr>
                <m:e>
                  <m:r>
                    <w:rPr>
                      <w:rFonts w:ascii="Cambria Math" w:hAnsi="Cambria Math" w:cstheme="majorHAnsi"/>
                      <w:sz w:val="14"/>
                      <w:szCs w:val="20"/>
                    </w:rPr>
                    <m:t>U</m:t>
                  </m:r>
                </m:e>
                <m:sub>
                  <m:r>
                    <w:rPr>
                      <w:rFonts w:ascii="Cambria Math" w:hAnsi="Cambria Math" w:cstheme="majorHAnsi"/>
                      <w:sz w:val="14"/>
                      <w:szCs w:val="20"/>
                    </w:rPr>
                    <m:t>3.25m→4.0m</m:t>
                  </m:r>
                </m:sub>
              </m:sSub>
              <m:r>
                <w:rPr>
                  <w:rFonts w:ascii="Cambria Math" w:hAnsi="Cambria Math" w:cstheme="majorHAnsi"/>
                  <w:sz w:val="14"/>
                  <w:szCs w:val="20"/>
                </w:rPr>
                <m:t>)</m:t>
              </m:r>
            </m:oMath>
          </w:p>
        </w:tc>
      </w:tr>
      <w:tr w:rsidR="006912F6" w:rsidRPr="006912F6" w14:paraId="78C751D7" w14:textId="77777777" w:rsidTr="000C4BE5">
        <w:trPr>
          <w:trHeight w:val="945"/>
        </w:trPr>
        <w:tc>
          <w:tcPr>
            <w:tcW w:w="1016" w:type="dxa"/>
            <w:vMerge/>
            <w:vAlign w:val="center"/>
          </w:tcPr>
          <w:p w14:paraId="5907E7C9" w14:textId="77777777" w:rsidR="001B757C" w:rsidRPr="006912F6" w:rsidRDefault="001B757C" w:rsidP="000C4BE5">
            <w:pPr>
              <w:spacing w:before="0" w:line="240" w:lineRule="auto"/>
              <w:rPr>
                <w:rFonts w:asciiTheme="majorHAnsi" w:hAnsiTheme="majorHAnsi" w:cstheme="majorHAnsi"/>
                <w:sz w:val="20"/>
              </w:rPr>
            </w:pPr>
          </w:p>
        </w:tc>
        <w:tc>
          <w:tcPr>
            <w:tcW w:w="1035" w:type="dxa"/>
            <w:vMerge/>
            <w:tcBorders>
              <w:bottom w:val="single" w:sz="4" w:space="0" w:color="auto"/>
            </w:tcBorders>
            <w:vAlign w:val="center"/>
          </w:tcPr>
          <w:p w14:paraId="1F53DD1E" w14:textId="77777777" w:rsidR="001B757C" w:rsidRPr="006912F6" w:rsidRDefault="001B757C" w:rsidP="000C4BE5">
            <w:pPr>
              <w:spacing w:before="0" w:line="240" w:lineRule="auto"/>
              <w:rPr>
                <w:rFonts w:asciiTheme="majorHAnsi" w:hAnsiTheme="majorHAnsi" w:cstheme="majorHAnsi"/>
                <w:sz w:val="20"/>
              </w:rPr>
            </w:pPr>
          </w:p>
        </w:tc>
        <w:tc>
          <w:tcPr>
            <w:tcW w:w="874" w:type="dxa"/>
            <w:tcBorders>
              <w:bottom w:val="single" w:sz="4" w:space="0" w:color="auto"/>
            </w:tcBorders>
            <w:vAlign w:val="center"/>
          </w:tcPr>
          <w:p w14:paraId="6F568C3B" w14:textId="3B2CCDA4" w:rsidR="001B757C" w:rsidRPr="006912F6" w:rsidRDefault="001B757C" w:rsidP="000C4BE5">
            <w:pPr>
              <w:spacing w:before="0" w:line="240" w:lineRule="auto"/>
              <w:jc w:val="center"/>
              <w:rPr>
                <w:rFonts w:asciiTheme="majorHAnsi" w:hAnsiTheme="majorHAnsi" w:cstheme="majorHAnsi"/>
                <w:i/>
                <w:sz w:val="20"/>
              </w:rPr>
            </w:pPr>
            <w:r w:rsidRPr="006912F6">
              <w:rPr>
                <w:rFonts w:asciiTheme="majorHAnsi" w:hAnsiTheme="majorHAnsi" w:cstheme="majorHAnsi"/>
                <w:i/>
                <w:sz w:val="20"/>
              </w:rPr>
              <w:t>I+</w:t>
            </w:r>
            <w:r w:rsidR="006912F6" w:rsidRPr="006912F6">
              <w:rPr>
                <w:rFonts w:asciiTheme="majorHAnsi" w:hAnsiTheme="majorHAnsi" w:cstheme="majorHAnsi"/>
                <w:i/>
                <w:sz w:val="20"/>
              </w:rPr>
              <w:t>I</w:t>
            </w:r>
            <w:r w:rsidR="006912F6" w:rsidRPr="006912F6">
              <w:rPr>
                <w:rFonts w:asciiTheme="majorHAnsi" w:hAnsiTheme="majorHAnsi" w:cstheme="majorHAnsi"/>
                <w:i/>
                <w:sz w:val="20"/>
                <w:vertAlign w:val="subscript"/>
              </w:rPr>
              <w:t>f</w:t>
            </w:r>
          </w:p>
          <w:p w14:paraId="664EA672"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 M)</w:t>
            </w:r>
          </w:p>
        </w:tc>
        <w:tc>
          <w:tcPr>
            <w:tcW w:w="963" w:type="dxa"/>
            <w:tcBorders>
              <w:bottom w:val="single" w:sz="4" w:space="0" w:color="auto"/>
            </w:tcBorders>
            <w:vAlign w:val="center"/>
          </w:tcPr>
          <w:p w14:paraId="72545CB8"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NPV</w:t>
            </w:r>
            <w:r w:rsidRPr="006912F6">
              <w:rPr>
                <w:rFonts w:asciiTheme="majorHAnsi" w:hAnsiTheme="majorHAnsi" w:cstheme="majorHAnsi"/>
                <w:sz w:val="20"/>
                <w:vertAlign w:val="subscript"/>
              </w:rPr>
              <w:t>OPT</w:t>
            </w:r>
            <w:r w:rsidRPr="006912F6">
              <w:rPr>
                <w:rFonts w:asciiTheme="majorHAnsi" w:hAnsiTheme="majorHAnsi" w:cstheme="majorHAnsi"/>
                <w:sz w:val="20"/>
              </w:rPr>
              <w:t xml:space="preserve"> </w:t>
            </w:r>
          </w:p>
          <w:p w14:paraId="297601F8"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 M)</w:t>
            </w:r>
          </w:p>
        </w:tc>
        <w:tc>
          <w:tcPr>
            <w:tcW w:w="732" w:type="dxa"/>
            <w:tcBorders>
              <w:bottom w:val="single" w:sz="4" w:space="0" w:color="auto"/>
            </w:tcBorders>
            <w:vAlign w:val="center"/>
          </w:tcPr>
          <w:p w14:paraId="2F365C24"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OIT</w:t>
            </w:r>
          </w:p>
        </w:tc>
        <w:tc>
          <w:tcPr>
            <w:tcW w:w="874" w:type="dxa"/>
            <w:tcBorders>
              <w:bottom w:val="single" w:sz="4" w:space="0" w:color="auto"/>
            </w:tcBorders>
            <w:vAlign w:val="center"/>
          </w:tcPr>
          <w:p w14:paraId="53798AC6" w14:textId="017AD348" w:rsidR="001B757C" w:rsidRPr="006912F6" w:rsidRDefault="001B757C" w:rsidP="000C4BE5">
            <w:pPr>
              <w:spacing w:before="0" w:line="240" w:lineRule="auto"/>
              <w:jc w:val="center"/>
              <w:rPr>
                <w:rFonts w:asciiTheme="majorHAnsi" w:hAnsiTheme="majorHAnsi" w:cstheme="majorHAnsi"/>
                <w:i/>
                <w:sz w:val="20"/>
              </w:rPr>
            </w:pPr>
            <w:r w:rsidRPr="006912F6">
              <w:rPr>
                <w:rFonts w:asciiTheme="majorHAnsi" w:hAnsiTheme="majorHAnsi" w:cstheme="majorHAnsi"/>
                <w:i/>
                <w:sz w:val="20"/>
              </w:rPr>
              <w:t>I+</w:t>
            </w:r>
            <w:r w:rsidR="006912F6" w:rsidRPr="006912F6">
              <w:rPr>
                <w:rFonts w:asciiTheme="majorHAnsi" w:hAnsiTheme="majorHAnsi" w:cstheme="majorHAnsi"/>
                <w:i/>
                <w:sz w:val="20"/>
              </w:rPr>
              <w:t>I</w:t>
            </w:r>
            <w:r w:rsidR="006912F6" w:rsidRPr="006912F6">
              <w:rPr>
                <w:rFonts w:asciiTheme="majorHAnsi" w:hAnsiTheme="majorHAnsi" w:cstheme="majorHAnsi"/>
                <w:i/>
                <w:sz w:val="20"/>
                <w:vertAlign w:val="subscript"/>
              </w:rPr>
              <w:t>f</w:t>
            </w:r>
          </w:p>
          <w:p w14:paraId="78CDA285"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 M)</w:t>
            </w:r>
          </w:p>
        </w:tc>
        <w:tc>
          <w:tcPr>
            <w:tcW w:w="963" w:type="dxa"/>
            <w:tcBorders>
              <w:bottom w:val="single" w:sz="4" w:space="0" w:color="auto"/>
            </w:tcBorders>
            <w:vAlign w:val="center"/>
          </w:tcPr>
          <w:p w14:paraId="03E0CB4C"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NPV</w:t>
            </w:r>
            <w:r w:rsidRPr="006912F6">
              <w:rPr>
                <w:rFonts w:asciiTheme="majorHAnsi" w:hAnsiTheme="majorHAnsi" w:cstheme="majorHAnsi"/>
                <w:sz w:val="20"/>
                <w:vertAlign w:val="subscript"/>
              </w:rPr>
              <w:t>OPT</w:t>
            </w:r>
            <w:r w:rsidRPr="006912F6">
              <w:rPr>
                <w:rFonts w:asciiTheme="majorHAnsi" w:hAnsiTheme="majorHAnsi" w:cstheme="majorHAnsi"/>
                <w:sz w:val="20"/>
              </w:rPr>
              <w:t xml:space="preserve"> </w:t>
            </w:r>
          </w:p>
          <w:p w14:paraId="61E3C334"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 M)</w:t>
            </w:r>
          </w:p>
        </w:tc>
        <w:tc>
          <w:tcPr>
            <w:tcW w:w="732" w:type="dxa"/>
            <w:tcBorders>
              <w:bottom w:val="single" w:sz="4" w:space="0" w:color="auto"/>
            </w:tcBorders>
            <w:vAlign w:val="center"/>
          </w:tcPr>
          <w:p w14:paraId="79C47C40"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OIT</w:t>
            </w:r>
          </w:p>
        </w:tc>
        <w:tc>
          <w:tcPr>
            <w:tcW w:w="874" w:type="dxa"/>
            <w:tcBorders>
              <w:bottom w:val="single" w:sz="4" w:space="0" w:color="auto"/>
            </w:tcBorders>
            <w:vAlign w:val="center"/>
          </w:tcPr>
          <w:p w14:paraId="01DFA5B4" w14:textId="32E552DD" w:rsidR="001B757C" w:rsidRPr="006912F6" w:rsidRDefault="001B757C" w:rsidP="000C4BE5">
            <w:pPr>
              <w:spacing w:before="0" w:line="240" w:lineRule="auto"/>
              <w:jc w:val="center"/>
              <w:rPr>
                <w:rFonts w:asciiTheme="majorHAnsi" w:hAnsiTheme="majorHAnsi" w:cstheme="majorHAnsi"/>
                <w:i/>
                <w:sz w:val="20"/>
              </w:rPr>
            </w:pPr>
            <w:r w:rsidRPr="006912F6">
              <w:rPr>
                <w:rFonts w:asciiTheme="majorHAnsi" w:hAnsiTheme="majorHAnsi" w:cstheme="majorHAnsi"/>
                <w:i/>
                <w:sz w:val="20"/>
              </w:rPr>
              <w:t>I+</w:t>
            </w:r>
            <w:r w:rsidR="006912F6" w:rsidRPr="006912F6">
              <w:rPr>
                <w:rFonts w:asciiTheme="majorHAnsi" w:hAnsiTheme="majorHAnsi" w:cstheme="majorHAnsi"/>
                <w:i/>
                <w:sz w:val="20"/>
              </w:rPr>
              <w:t>I</w:t>
            </w:r>
            <w:r w:rsidR="006912F6" w:rsidRPr="006912F6">
              <w:rPr>
                <w:rFonts w:asciiTheme="majorHAnsi" w:hAnsiTheme="majorHAnsi" w:cstheme="majorHAnsi"/>
                <w:i/>
                <w:sz w:val="20"/>
                <w:vertAlign w:val="subscript"/>
              </w:rPr>
              <w:t>f</w:t>
            </w:r>
          </w:p>
          <w:p w14:paraId="7BE4A701"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 M)</w:t>
            </w:r>
          </w:p>
        </w:tc>
        <w:tc>
          <w:tcPr>
            <w:tcW w:w="963" w:type="dxa"/>
            <w:tcBorders>
              <w:bottom w:val="single" w:sz="4" w:space="0" w:color="auto"/>
            </w:tcBorders>
            <w:vAlign w:val="center"/>
          </w:tcPr>
          <w:p w14:paraId="0DE7CF8C"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NPV</w:t>
            </w:r>
            <w:r w:rsidRPr="006912F6">
              <w:rPr>
                <w:rFonts w:asciiTheme="majorHAnsi" w:hAnsiTheme="majorHAnsi" w:cstheme="majorHAnsi"/>
                <w:sz w:val="20"/>
                <w:vertAlign w:val="subscript"/>
              </w:rPr>
              <w:t>OPT</w:t>
            </w:r>
            <w:r w:rsidRPr="006912F6">
              <w:rPr>
                <w:rFonts w:asciiTheme="majorHAnsi" w:hAnsiTheme="majorHAnsi" w:cstheme="majorHAnsi"/>
                <w:sz w:val="20"/>
              </w:rPr>
              <w:t xml:space="preserve"> </w:t>
            </w:r>
          </w:p>
          <w:p w14:paraId="1111F3EC" w14:textId="77777777" w:rsidR="001B757C" w:rsidRPr="006912F6" w:rsidRDefault="001B757C" w:rsidP="000C4BE5">
            <w:pPr>
              <w:spacing w:before="0" w:line="240" w:lineRule="auto"/>
              <w:jc w:val="center"/>
              <w:rPr>
                <w:rFonts w:asciiTheme="majorHAnsi" w:hAnsiTheme="majorHAnsi" w:cstheme="majorHAnsi"/>
                <w:sz w:val="20"/>
              </w:rPr>
            </w:pPr>
            <w:r w:rsidRPr="006912F6">
              <w:rPr>
                <w:rFonts w:asciiTheme="majorHAnsi" w:hAnsiTheme="majorHAnsi" w:cstheme="majorHAnsi"/>
                <w:sz w:val="20"/>
              </w:rPr>
              <w:t>(£ M)</w:t>
            </w:r>
          </w:p>
        </w:tc>
      </w:tr>
      <w:tr w:rsidR="006912F6" w:rsidRPr="006912F6" w14:paraId="7229C1A9" w14:textId="77777777" w:rsidTr="000C4BE5">
        <w:trPr>
          <w:trHeight w:val="283"/>
        </w:trPr>
        <w:tc>
          <w:tcPr>
            <w:tcW w:w="1016" w:type="dxa"/>
            <w:vMerge w:val="restart"/>
            <w:vAlign w:val="center"/>
          </w:tcPr>
          <w:p w14:paraId="119B8C4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H++</w:t>
            </w:r>
          </w:p>
        </w:tc>
        <w:tc>
          <w:tcPr>
            <w:tcW w:w="1035" w:type="dxa"/>
            <w:tcBorders>
              <w:bottom w:val="nil"/>
            </w:tcBorders>
            <w:vAlign w:val="center"/>
          </w:tcPr>
          <w:p w14:paraId="176184A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874" w:type="dxa"/>
            <w:tcBorders>
              <w:bottom w:val="nil"/>
            </w:tcBorders>
            <w:vAlign w:val="center"/>
          </w:tcPr>
          <w:p w14:paraId="132A634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66.02</w:t>
            </w:r>
          </w:p>
        </w:tc>
        <w:tc>
          <w:tcPr>
            <w:tcW w:w="963" w:type="dxa"/>
            <w:tcBorders>
              <w:bottom w:val="nil"/>
            </w:tcBorders>
            <w:vAlign w:val="center"/>
          </w:tcPr>
          <w:p w14:paraId="5C2FF44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127.80</w:t>
            </w:r>
          </w:p>
        </w:tc>
        <w:tc>
          <w:tcPr>
            <w:tcW w:w="732" w:type="dxa"/>
            <w:tcBorders>
              <w:bottom w:val="nil"/>
            </w:tcBorders>
            <w:vAlign w:val="center"/>
          </w:tcPr>
          <w:p w14:paraId="36BC602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hint="eastAsia"/>
                <w:sz w:val="18"/>
                <w:szCs w:val="20"/>
              </w:rPr>
              <w:t>N</w:t>
            </w:r>
            <w:r w:rsidRPr="006912F6">
              <w:rPr>
                <w:rFonts w:asciiTheme="majorHAnsi" w:hAnsiTheme="majorHAnsi" w:cstheme="majorHAnsi"/>
                <w:sz w:val="18"/>
                <w:szCs w:val="20"/>
              </w:rPr>
              <w:t>ow</w:t>
            </w:r>
          </w:p>
        </w:tc>
        <w:tc>
          <w:tcPr>
            <w:tcW w:w="874" w:type="dxa"/>
            <w:tcBorders>
              <w:bottom w:val="nil"/>
            </w:tcBorders>
            <w:vAlign w:val="center"/>
          </w:tcPr>
          <w:p w14:paraId="73C18FC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49.67</w:t>
            </w:r>
          </w:p>
        </w:tc>
        <w:tc>
          <w:tcPr>
            <w:tcW w:w="963" w:type="dxa"/>
            <w:tcBorders>
              <w:bottom w:val="nil"/>
            </w:tcBorders>
            <w:vAlign w:val="center"/>
          </w:tcPr>
          <w:p w14:paraId="63B4EC4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30.07</w:t>
            </w:r>
          </w:p>
        </w:tc>
        <w:tc>
          <w:tcPr>
            <w:tcW w:w="732" w:type="dxa"/>
            <w:tcBorders>
              <w:bottom w:val="nil"/>
            </w:tcBorders>
            <w:vAlign w:val="center"/>
          </w:tcPr>
          <w:p w14:paraId="2ED941B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2062</w:t>
            </w:r>
          </w:p>
        </w:tc>
        <w:tc>
          <w:tcPr>
            <w:tcW w:w="874" w:type="dxa"/>
            <w:tcBorders>
              <w:bottom w:val="nil"/>
            </w:tcBorders>
            <w:vAlign w:val="bottom"/>
          </w:tcPr>
          <w:p w14:paraId="5FBB3F8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116.31</w:t>
            </w:r>
          </w:p>
        </w:tc>
        <w:tc>
          <w:tcPr>
            <w:tcW w:w="963" w:type="dxa"/>
            <w:tcBorders>
              <w:bottom w:val="nil"/>
            </w:tcBorders>
          </w:tcPr>
          <w:p w14:paraId="2D82134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157.87</w:t>
            </w:r>
          </w:p>
        </w:tc>
      </w:tr>
      <w:tr w:rsidR="006912F6" w:rsidRPr="006912F6" w14:paraId="2F6C1097" w14:textId="77777777" w:rsidTr="000C4BE5">
        <w:trPr>
          <w:trHeight w:val="283"/>
        </w:trPr>
        <w:tc>
          <w:tcPr>
            <w:tcW w:w="1016" w:type="dxa"/>
            <w:vMerge/>
          </w:tcPr>
          <w:p w14:paraId="46F765CF" w14:textId="77777777" w:rsidR="001B757C" w:rsidRPr="006912F6" w:rsidRDefault="001B757C" w:rsidP="000C4BE5">
            <w:pPr>
              <w:spacing w:before="0" w:line="240" w:lineRule="auto"/>
              <w:jc w:val="center"/>
              <w:rPr>
                <w:rFonts w:asciiTheme="majorHAnsi" w:hAnsiTheme="majorHAnsi" w:cstheme="majorHAnsi"/>
                <w:sz w:val="18"/>
                <w:szCs w:val="20"/>
              </w:rPr>
            </w:pPr>
          </w:p>
        </w:tc>
        <w:tc>
          <w:tcPr>
            <w:tcW w:w="1035" w:type="dxa"/>
            <w:tcBorders>
              <w:top w:val="nil"/>
              <w:bottom w:val="nil"/>
            </w:tcBorders>
            <w:vAlign w:val="center"/>
          </w:tcPr>
          <w:p w14:paraId="1C0981F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874" w:type="dxa"/>
            <w:tcBorders>
              <w:top w:val="nil"/>
              <w:bottom w:val="nil"/>
            </w:tcBorders>
            <w:vAlign w:val="center"/>
          </w:tcPr>
          <w:p w14:paraId="33CB399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70.86</w:t>
            </w:r>
          </w:p>
        </w:tc>
        <w:tc>
          <w:tcPr>
            <w:tcW w:w="963" w:type="dxa"/>
            <w:tcBorders>
              <w:top w:val="nil"/>
              <w:bottom w:val="nil"/>
            </w:tcBorders>
            <w:vAlign w:val="center"/>
          </w:tcPr>
          <w:p w14:paraId="166E434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122.99</w:t>
            </w:r>
          </w:p>
        </w:tc>
        <w:tc>
          <w:tcPr>
            <w:tcW w:w="732" w:type="dxa"/>
            <w:tcBorders>
              <w:top w:val="nil"/>
              <w:bottom w:val="nil"/>
            </w:tcBorders>
            <w:vAlign w:val="center"/>
          </w:tcPr>
          <w:p w14:paraId="1F17F5A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74" w:type="dxa"/>
            <w:tcBorders>
              <w:top w:val="nil"/>
              <w:bottom w:val="nil"/>
            </w:tcBorders>
            <w:vAlign w:val="center"/>
          </w:tcPr>
          <w:p w14:paraId="7538C37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54.51</w:t>
            </w:r>
          </w:p>
        </w:tc>
        <w:tc>
          <w:tcPr>
            <w:tcW w:w="963" w:type="dxa"/>
            <w:tcBorders>
              <w:top w:val="nil"/>
              <w:bottom w:val="nil"/>
            </w:tcBorders>
            <w:vAlign w:val="center"/>
          </w:tcPr>
          <w:p w14:paraId="1DB083D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29.08</w:t>
            </w:r>
          </w:p>
        </w:tc>
        <w:tc>
          <w:tcPr>
            <w:tcW w:w="732" w:type="dxa"/>
            <w:tcBorders>
              <w:top w:val="nil"/>
              <w:bottom w:val="nil"/>
            </w:tcBorders>
            <w:vAlign w:val="center"/>
          </w:tcPr>
          <w:p w14:paraId="17BF1C5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2063</w:t>
            </w:r>
          </w:p>
        </w:tc>
        <w:tc>
          <w:tcPr>
            <w:tcW w:w="874" w:type="dxa"/>
            <w:tcBorders>
              <w:top w:val="nil"/>
              <w:bottom w:val="nil"/>
            </w:tcBorders>
            <w:vAlign w:val="bottom"/>
          </w:tcPr>
          <w:p w14:paraId="19AED66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125.97</w:t>
            </w:r>
          </w:p>
        </w:tc>
        <w:tc>
          <w:tcPr>
            <w:tcW w:w="963" w:type="dxa"/>
            <w:tcBorders>
              <w:top w:val="nil"/>
              <w:bottom w:val="nil"/>
            </w:tcBorders>
          </w:tcPr>
          <w:p w14:paraId="6364DC8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152.07</w:t>
            </w:r>
          </w:p>
        </w:tc>
      </w:tr>
      <w:tr w:rsidR="006912F6" w:rsidRPr="006912F6" w14:paraId="6EBB2988" w14:textId="77777777" w:rsidTr="000C4BE5">
        <w:trPr>
          <w:trHeight w:val="283"/>
        </w:trPr>
        <w:tc>
          <w:tcPr>
            <w:tcW w:w="1016" w:type="dxa"/>
            <w:vMerge/>
          </w:tcPr>
          <w:p w14:paraId="5FC52E85" w14:textId="77777777" w:rsidR="001B757C" w:rsidRPr="006912F6" w:rsidRDefault="001B757C" w:rsidP="000C4BE5">
            <w:pPr>
              <w:spacing w:before="0" w:line="240" w:lineRule="auto"/>
              <w:jc w:val="center"/>
              <w:rPr>
                <w:rFonts w:asciiTheme="majorHAnsi" w:hAnsiTheme="majorHAnsi" w:cstheme="majorHAnsi"/>
                <w:sz w:val="18"/>
                <w:szCs w:val="20"/>
              </w:rPr>
            </w:pPr>
          </w:p>
        </w:tc>
        <w:tc>
          <w:tcPr>
            <w:tcW w:w="1035" w:type="dxa"/>
            <w:tcBorders>
              <w:top w:val="nil"/>
              <w:bottom w:val="nil"/>
            </w:tcBorders>
            <w:vAlign w:val="center"/>
          </w:tcPr>
          <w:p w14:paraId="2A9690F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874" w:type="dxa"/>
            <w:tcBorders>
              <w:top w:val="nil"/>
              <w:bottom w:val="nil"/>
            </w:tcBorders>
            <w:vAlign w:val="center"/>
          </w:tcPr>
          <w:p w14:paraId="6D4415B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75.71</w:t>
            </w:r>
          </w:p>
        </w:tc>
        <w:tc>
          <w:tcPr>
            <w:tcW w:w="963" w:type="dxa"/>
            <w:tcBorders>
              <w:top w:val="nil"/>
              <w:bottom w:val="nil"/>
            </w:tcBorders>
            <w:vAlign w:val="center"/>
          </w:tcPr>
          <w:p w14:paraId="6802F4D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118.15</w:t>
            </w:r>
          </w:p>
        </w:tc>
        <w:tc>
          <w:tcPr>
            <w:tcW w:w="732" w:type="dxa"/>
            <w:tcBorders>
              <w:top w:val="nil"/>
              <w:bottom w:val="nil"/>
            </w:tcBorders>
            <w:vAlign w:val="center"/>
          </w:tcPr>
          <w:p w14:paraId="5477954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74" w:type="dxa"/>
            <w:tcBorders>
              <w:top w:val="nil"/>
              <w:bottom w:val="nil"/>
            </w:tcBorders>
            <w:vAlign w:val="center"/>
          </w:tcPr>
          <w:p w14:paraId="0AA68EF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59.36</w:t>
            </w:r>
          </w:p>
        </w:tc>
        <w:tc>
          <w:tcPr>
            <w:tcW w:w="963" w:type="dxa"/>
            <w:tcBorders>
              <w:top w:val="nil"/>
              <w:bottom w:val="nil"/>
            </w:tcBorders>
            <w:vAlign w:val="center"/>
          </w:tcPr>
          <w:p w14:paraId="32C7B98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28.15</w:t>
            </w:r>
          </w:p>
        </w:tc>
        <w:tc>
          <w:tcPr>
            <w:tcW w:w="732" w:type="dxa"/>
            <w:tcBorders>
              <w:top w:val="nil"/>
              <w:bottom w:val="nil"/>
            </w:tcBorders>
            <w:vAlign w:val="center"/>
          </w:tcPr>
          <w:p w14:paraId="332640E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2065</w:t>
            </w:r>
          </w:p>
        </w:tc>
        <w:tc>
          <w:tcPr>
            <w:tcW w:w="874" w:type="dxa"/>
            <w:tcBorders>
              <w:top w:val="nil"/>
              <w:bottom w:val="nil"/>
            </w:tcBorders>
            <w:vAlign w:val="bottom"/>
          </w:tcPr>
          <w:p w14:paraId="5D956A6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135.66</w:t>
            </w:r>
          </w:p>
        </w:tc>
        <w:tc>
          <w:tcPr>
            <w:tcW w:w="963" w:type="dxa"/>
            <w:tcBorders>
              <w:top w:val="nil"/>
              <w:bottom w:val="nil"/>
            </w:tcBorders>
          </w:tcPr>
          <w:p w14:paraId="481F2AD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146.3</w:t>
            </w:r>
          </w:p>
        </w:tc>
      </w:tr>
      <w:tr w:rsidR="006912F6" w:rsidRPr="006912F6" w14:paraId="2AEE81C1" w14:textId="77777777" w:rsidTr="000C4BE5">
        <w:trPr>
          <w:trHeight w:val="283"/>
        </w:trPr>
        <w:tc>
          <w:tcPr>
            <w:tcW w:w="1016" w:type="dxa"/>
            <w:vMerge/>
          </w:tcPr>
          <w:p w14:paraId="1D3545C9" w14:textId="77777777" w:rsidR="001B757C" w:rsidRPr="006912F6" w:rsidRDefault="001B757C" w:rsidP="000C4BE5">
            <w:pPr>
              <w:spacing w:before="0" w:line="240" w:lineRule="auto"/>
              <w:jc w:val="center"/>
              <w:rPr>
                <w:rFonts w:asciiTheme="majorHAnsi" w:hAnsiTheme="majorHAnsi" w:cstheme="majorHAnsi"/>
                <w:sz w:val="18"/>
                <w:szCs w:val="20"/>
              </w:rPr>
            </w:pPr>
          </w:p>
        </w:tc>
        <w:tc>
          <w:tcPr>
            <w:tcW w:w="1035" w:type="dxa"/>
            <w:tcBorders>
              <w:top w:val="nil"/>
              <w:bottom w:val="single" w:sz="4" w:space="0" w:color="auto"/>
            </w:tcBorders>
            <w:vAlign w:val="center"/>
          </w:tcPr>
          <w:p w14:paraId="1FC301C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874" w:type="dxa"/>
            <w:tcBorders>
              <w:top w:val="nil"/>
              <w:bottom w:val="single" w:sz="4" w:space="0" w:color="auto"/>
            </w:tcBorders>
            <w:vAlign w:val="center"/>
          </w:tcPr>
          <w:p w14:paraId="17279C9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80.55</w:t>
            </w:r>
          </w:p>
        </w:tc>
        <w:tc>
          <w:tcPr>
            <w:tcW w:w="963" w:type="dxa"/>
            <w:tcBorders>
              <w:top w:val="nil"/>
              <w:bottom w:val="single" w:sz="4" w:space="0" w:color="auto"/>
            </w:tcBorders>
            <w:vAlign w:val="center"/>
          </w:tcPr>
          <w:p w14:paraId="65AE0A6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113.35</w:t>
            </w:r>
          </w:p>
        </w:tc>
        <w:tc>
          <w:tcPr>
            <w:tcW w:w="732" w:type="dxa"/>
            <w:tcBorders>
              <w:top w:val="nil"/>
              <w:bottom w:val="single" w:sz="4" w:space="0" w:color="auto"/>
            </w:tcBorders>
            <w:vAlign w:val="center"/>
          </w:tcPr>
          <w:p w14:paraId="60D276F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74" w:type="dxa"/>
            <w:tcBorders>
              <w:top w:val="nil"/>
              <w:bottom w:val="single" w:sz="4" w:space="0" w:color="auto"/>
            </w:tcBorders>
            <w:vAlign w:val="center"/>
          </w:tcPr>
          <w:p w14:paraId="052C037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64.19</w:t>
            </w:r>
          </w:p>
        </w:tc>
        <w:tc>
          <w:tcPr>
            <w:tcW w:w="963" w:type="dxa"/>
            <w:tcBorders>
              <w:top w:val="nil"/>
              <w:bottom w:val="single" w:sz="4" w:space="0" w:color="auto"/>
            </w:tcBorders>
            <w:vAlign w:val="center"/>
          </w:tcPr>
          <w:p w14:paraId="048D6BC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27.26</w:t>
            </w:r>
          </w:p>
        </w:tc>
        <w:tc>
          <w:tcPr>
            <w:tcW w:w="732" w:type="dxa"/>
            <w:tcBorders>
              <w:top w:val="nil"/>
              <w:bottom w:val="single" w:sz="4" w:space="0" w:color="auto"/>
            </w:tcBorders>
            <w:vAlign w:val="center"/>
          </w:tcPr>
          <w:p w14:paraId="406CAE0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2066</w:t>
            </w:r>
          </w:p>
        </w:tc>
        <w:tc>
          <w:tcPr>
            <w:tcW w:w="874" w:type="dxa"/>
            <w:tcBorders>
              <w:top w:val="nil"/>
              <w:bottom w:val="single" w:sz="4" w:space="0" w:color="auto"/>
            </w:tcBorders>
            <w:vAlign w:val="bottom"/>
          </w:tcPr>
          <w:p w14:paraId="245DECC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145.43</w:t>
            </w:r>
          </w:p>
        </w:tc>
        <w:tc>
          <w:tcPr>
            <w:tcW w:w="963" w:type="dxa"/>
            <w:tcBorders>
              <w:top w:val="nil"/>
              <w:bottom w:val="single" w:sz="4" w:space="0" w:color="auto"/>
            </w:tcBorders>
          </w:tcPr>
          <w:p w14:paraId="4250A59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140.61</w:t>
            </w:r>
          </w:p>
        </w:tc>
      </w:tr>
      <w:tr w:rsidR="006912F6" w:rsidRPr="006912F6" w14:paraId="79B00275" w14:textId="77777777" w:rsidTr="000C4BE5">
        <w:trPr>
          <w:trHeight w:val="283"/>
        </w:trPr>
        <w:tc>
          <w:tcPr>
            <w:tcW w:w="1016" w:type="dxa"/>
            <w:vMerge w:val="restart"/>
            <w:vAlign w:val="center"/>
          </w:tcPr>
          <w:p w14:paraId="1AF49D6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H1</w:t>
            </w:r>
          </w:p>
        </w:tc>
        <w:tc>
          <w:tcPr>
            <w:tcW w:w="1035" w:type="dxa"/>
            <w:tcBorders>
              <w:top w:val="single" w:sz="4" w:space="0" w:color="auto"/>
              <w:bottom w:val="nil"/>
            </w:tcBorders>
            <w:vAlign w:val="center"/>
          </w:tcPr>
          <w:p w14:paraId="354785E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874" w:type="dxa"/>
            <w:tcBorders>
              <w:top w:val="single" w:sz="4" w:space="0" w:color="auto"/>
              <w:bottom w:val="nil"/>
            </w:tcBorders>
            <w:vAlign w:val="center"/>
          </w:tcPr>
          <w:p w14:paraId="13E8068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66.02</w:t>
            </w:r>
          </w:p>
        </w:tc>
        <w:tc>
          <w:tcPr>
            <w:tcW w:w="963" w:type="dxa"/>
            <w:tcBorders>
              <w:top w:val="single" w:sz="4" w:space="0" w:color="auto"/>
              <w:bottom w:val="nil"/>
            </w:tcBorders>
            <w:vAlign w:val="center"/>
          </w:tcPr>
          <w:p w14:paraId="474FDB5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119.3</w:t>
            </w:r>
          </w:p>
        </w:tc>
        <w:tc>
          <w:tcPr>
            <w:tcW w:w="732" w:type="dxa"/>
            <w:tcBorders>
              <w:top w:val="single" w:sz="4" w:space="0" w:color="auto"/>
              <w:bottom w:val="nil"/>
            </w:tcBorders>
            <w:vAlign w:val="center"/>
          </w:tcPr>
          <w:p w14:paraId="5D9F429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74" w:type="dxa"/>
            <w:tcBorders>
              <w:top w:val="single" w:sz="4" w:space="0" w:color="auto"/>
              <w:bottom w:val="nil"/>
            </w:tcBorders>
            <w:vAlign w:val="center"/>
          </w:tcPr>
          <w:p w14:paraId="41CAA9D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49.67</w:t>
            </w:r>
          </w:p>
        </w:tc>
        <w:tc>
          <w:tcPr>
            <w:tcW w:w="963" w:type="dxa"/>
            <w:tcBorders>
              <w:top w:val="single" w:sz="4" w:space="0" w:color="auto"/>
              <w:bottom w:val="nil"/>
            </w:tcBorders>
            <w:vAlign w:val="center"/>
          </w:tcPr>
          <w:p w14:paraId="16E1A6A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c>
          <w:tcPr>
            <w:tcW w:w="732" w:type="dxa"/>
            <w:tcBorders>
              <w:top w:val="single" w:sz="4" w:space="0" w:color="auto"/>
              <w:bottom w:val="nil"/>
            </w:tcBorders>
            <w:vAlign w:val="center"/>
          </w:tcPr>
          <w:p w14:paraId="69C2DB1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hint="eastAsia"/>
                <w:sz w:val="18"/>
                <w:szCs w:val="20"/>
              </w:rPr>
              <w:t>N</w:t>
            </w:r>
            <w:r w:rsidRPr="006912F6">
              <w:rPr>
                <w:rFonts w:asciiTheme="majorHAnsi" w:hAnsiTheme="majorHAnsi" w:cstheme="majorHAnsi"/>
                <w:sz w:val="18"/>
                <w:szCs w:val="20"/>
              </w:rPr>
              <w:t>one</w:t>
            </w:r>
          </w:p>
        </w:tc>
        <w:tc>
          <w:tcPr>
            <w:tcW w:w="874" w:type="dxa"/>
            <w:tcBorders>
              <w:top w:val="single" w:sz="4" w:space="0" w:color="auto"/>
              <w:bottom w:val="nil"/>
            </w:tcBorders>
            <w:vAlign w:val="bottom"/>
          </w:tcPr>
          <w:p w14:paraId="735CB2D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66.03</w:t>
            </w:r>
          </w:p>
        </w:tc>
        <w:tc>
          <w:tcPr>
            <w:tcW w:w="963" w:type="dxa"/>
            <w:tcBorders>
              <w:top w:val="single" w:sz="4" w:space="0" w:color="auto"/>
              <w:bottom w:val="nil"/>
            </w:tcBorders>
          </w:tcPr>
          <w:p w14:paraId="4645AAA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119.3</w:t>
            </w:r>
          </w:p>
        </w:tc>
      </w:tr>
      <w:tr w:rsidR="006912F6" w:rsidRPr="006912F6" w14:paraId="44BD8434" w14:textId="77777777" w:rsidTr="000C4BE5">
        <w:trPr>
          <w:trHeight w:val="283"/>
        </w:trPr>
        <w:tc>
          <w:tcPr>
            <w:tcW w:w="1016" w:type="dxa"/>
            <w:vMerge/>
          </w:tcPr>
          <w:p w14:paraId="705B3B23" w14:textId="77777777" w:rsidR="001B757C" w:rsidRPr="006912F6" w:rsidRDefault="001B757C" w:rsidP="000C4BE5">
            <w:pPr>
              <w:spacing w:before="0" w:line="240" w:lineRule="auto"/>
              <w:rPr>
                <w:rFonts w:asciiTheme="majorHAnsi" w:hAnsiTheme="majorHAnsi" w:cstheme="majorHAnsi"/>
                <w:sz w:val="18"/>
                <w:szCs w:val="20"/>
              </w:rPr>
            </w:pPr>
          </w:p>
        </w:tc>
        <w:tc>
          <w:tcPr>
            <w:tcW w:w="1035" w:type="dxa"/>
            <w:tcBorders>
              <w:top w:val="nil"/>
              <w:bottom w:val="nil"/>
            </w:tcBorders>
            <w:vAlign w:val="center"/>
          </w:tcPr>
          <w:p w14:paraId="76F898A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874" w:type="dxa"/>
            <w:tcBorders>
              <w:top w:val="nil"/>
              <w:bottom w:val="nil"/>
            </w:tcBorders>
            <w:vAlign w:val="center"/>
          </w:tcPr>
          <w:p w14:paraId="3A0486D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70.86</w:t>
            </w:r>
          </w:p>
        </w:tc>
        <w:tc>
          <w:tcPr>
            <w:tcW w:w="963" w:type="dxa"/>
            <w:tcBorders>
              <w:top w:val="nil"/>
              <w:bottom w:val="nil"/>
            </w:tcBorders>
            <w:vAlign w:val="center"/>
          </w:tcPr>
          <w:p w14:paraId="5AB6006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114.5</w:t>
            </w:r>
          </w:p>
        </w:tc>
        <w:tc>
          <w:tcPr>
            <w:tcW w:w="732" w:type="dxa"/>
            <w:tcBorders>
              <w:top w:val="nil"/>
              <w:bottom w:val="nil"/>
            </w:tcBorders>
            <w:vAlign w:val="center"/>
          </w:tcPr>
          <w:p w14:paraId="1339895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74" w:type="dxa"/>
            <w:tcBorders>
              <w:top w:val="nil"/>
              <w:bottom w:val="nil"/>
            </w:tcBorders>
            <w:vAlign w:val="center"/>
          </w:tcPr>
          <w:p w14:paraId="2157A5D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54.51</w:t>
            </w:r>
          </w:p>
        </w:tc>
        <w:tc>
          <w:tcPr>
            <w:tcW w:w="963" w:type="dxa"/>
            <w:tcBorders>
              <w:top w:val="nil"/>
              <w:bottom w:val="nil"/>
            </w:tcBorders>
            <w:vAlign w:val="center"/>
          </w:tcPr>
          <w:p w14:paraId="3A8279B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c>
          <w:tcPr>
            <w:tcW w:w="732" w:type="dxa"/>
            <w:tcBorders>
              <w:top w:val="nil"/>
              <w:bottom w:val="nil"/>
            </w:tcBorders>
            <w:vAlign w:val="center"/>
          </w:tcPr>
          <w:p w14:paraId="3A83E29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None</w:t>
            </w:r>
          </w:p>
        </w:tc>
        <w:tc>
          <w:tcPr>
            <w:tcW w:w="874" w:type="dxa"/>
            <w:tcBorders>
              <w:top w:val="nil"/>
              <w:bottom w:val="nil"/>
            </w:tcBorders>
            <w:vAlign w:val="bottom"/>
          </w:tcPr>
          <w:p w14:paraId="7099239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70.86</w:t>
            </w:r>
          </w:p>
        </w:tc>
        <w:tc>
          <w:tcPr>
            <w:tcW w:w="963" w:type="dxa"/>
            <w:tcBorders>
              <w:top w:val="nil"/>
              <w:bottom w:val="nil"/>
            </w:tcBorders>
          </w:tcPr>
          <w:p w14:paraId="3DF6EBB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114.5</w:t>
            </w:r>
          </w:p>
        </w:tc>
      </w:tr>
      <w:tr w:rsidR="006912F6" w:rsidRPr="006912F6" w14:paraId="76EB9F56" w14:textId="77777777" w:rsidTr="000C4BE5">
        <w:trPr>
          <w:trHeight w:val="283"/>
        </w:trPr>
        <w:tc>
          <w:tcPr>
            <w:tcW w:w="1016" w:type="dxa"/>
            <w:vMerge/>
          </w:tcPr>
          <w:p w14:paraId="358585A0" w14:textId="77777777" w:rsidR="001B757C" w:rsidRPr="006912F6" w:rsidRDefault="001B757C" w:rsidP="000C4BE5">
            <w:pPr>
              <w:spacing w:before="0" w:line="240" w:lineRule="auto"/>
              <w:rPr>
                <w:rFonts w:asciiTheme="majorHAnsi" w:hAnsiTheme="majorHAnsi" w:cstheme="majorHAnsi"/>
                <w:sz w:val="18"/>
                <w:szCs w:val="20"/>
              </w:rPr>
            </w:pPr>
          </w:p>
        </w:tc>
        <w:tc>
          <w:tcPr>
            <w:tcW w:w="1035" w:type="dxa"/>
            <w:tcBorders>
              <w:top w:val="nil"/>
              <w:bottom w:val="nil"/>
            </w:tcBorders>
            <w:vAlign w:val="center"/>
          </w:tcPr>
          <w:p w14:paraId="5E64109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874" w:type="dxa"/>
            <w:tcBorders>
              <w:top w:val="nil"/>
              <w:bottom w:val="nil"/>
            </w:tcBorders>
            <w:vAlign w:val="center"/>
          </w:tcPr>
          <w:p w14:paraId="3FDD0C9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75.71</w:t>
            </w:r>
          </w:p>
        </w:tc>
        <w:tc>
          <w:tcPr>
            <w:tcW w:w="963" w:type="dxa"/>
            <w:tcBorders>
              <w:top w:val="nil"/>
              <w:bottom w:val="nil"/>
            </w:tcBorders>
            <w:vAlign w:val="center"/>
          </w:tcPr>
          <w:p w14:paraId="1E386B8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109.6</w:t>
            </w:r>
          </w:p>
        </w:tc>
        <w:tc>
          <w:tcPr>
            <w:tcW w:w="732" w:type="dxa"/>
            <w:tcBorders>
              <w:top w:val="nil"/>
              <w:bottom w:val="nil"/>
            </w:tcBorders>
            <w:vAlign w:val="center"/>
          </w:tcPr>
          <w:p w14:paraId="7582B54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74" w:type="dxa"/>
            <w:tcBorders>
              <w:top w:val="nil"/>
              <w:bottom w:val="nil"/>
            </w:tcBorders>
            <w:vAlign w:val="center"/>
          </w:tcPr>
          <w:p w14:paraId="327108F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59.36</w:t>
            </w:r>
          </w:p>
        </w:tc>
        <w:tc>
          <w:tcPr>
            <w:tcW w:w="963" w:type="dxa"/>
            <w:tcBorders>
              <w:top w:val="nil"/>
              <w:bottom w:val="nil"/>
            </w:tcBorders>
            <w:vAlign w:val="center"/>
          </w:tcPr>
          <w:p w14:paraId="35727B3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c>
          <w:tcPr>
            <w:tcW w:w="732" w:type="dxa"/>
            <w:tcBorders>
              <w:top w:val="nil"/>
              <w:bottom w:val="nil"/>
            </w:tcBorders>
            <w:vAlign w:val="center"/>
          </w:tcPr>
          <w:p w14:paraId="03ED0A3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None</w:t>
            </w:r>
          </w:p>
        </w:tc>
        <w:tc>
          <w:tcPr>
            <w:tcW w:w="874" w:type="dxa"/>
            <w:tcBorders>
              <w:top w:val="nil"/>
              <w:bottom w:val="nil"/>
            </w:tcBorders>
            <w:vAlign w:val="bottom"/>
          </w:tcPr>
          <w:p w14:paraId="37AE1D7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75.7</w:t>
            </w:r>
          </w:p>
        </w:tc>
        <w:tc>
          <w:tcPr>
            <w:tcW w:w="963" w:type="dxa"/>
            <w:tcBorders>
              <w:top w:val="nil"/>
              <w:bottom w:val="nil"/>
            </w:tcBorders>
          </w:tcPr>
          <w:p w14:paraId="2DAD92F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109.6</w:t>
            </w:r>
          </w:p>
        </w:tc>
      </w:tr>
      <w:tr w:rsidR="006912F6" w:rsidRPr="006912F6" w14:paraId="2674CE74" w14:textId="77777777" w:rsidTr="000C4BE5">
        <w:trPr>
          <w:trHeight w:val="283"/>
        </w:trPr>
        <w:tc>
          <w:tcPr>
            <w:tcW w:w="1016" w:type="dxa"/>
            <w:vMerge/>
          </w:tcPr>
          <w:p w14:paraId="484C9A62" w14:textId="77777777" w:rsidR="001B757C" w:rsidRPr="006912F6" w:rsidRDefault="001B757C" w:rsidP="000C4BE5">
            <w:pPr>
              <w:spacing w:before="0" w:line="240" w:lineRule="auto"/>
              <w:rPr>
                <w:rFonts w:asciiTheme="majorHAnsi" w:hAnsiTheme="majorHAnsi" w:cstheme="majorHAnsi"/>
                <w:sz w:val="18"/>
                <w:szCs w:val="20"/>
              </w:rPr>
            </w:pPr>
          </w:p>
        </w:tc>
        <w:tc>
          <w:tcPr>
            <w:tcW w:w="1035" w:type="dxa"/>
            <w:tcBorders>
              <w:top w:val="nil"/>
              <w:bottom w:val="single" w:sz="4" w:space="0" w:color="auto"/>
            </w:tcBorders>
            <w:vAlign w:val="center"/>
          </w:tcPr>
          <w:p w14:paraId="3DCB6A0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874" w:type="dxa"/>
            <w:tcBorders>
              <w:top w:val="nil"/>
              <w:bottom w:val="single" w:sz="4" w:space="0" w:color="auto"/>
            </w:tcBorders>
            <w:vAlign w:val="center"/>
          </w:tcPr>
          <w:p w14:paraId="3FB08DB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80.55</w:t>
            </w:r>
          </w:p>
        </w:tc>
        <w:tc>
          <w:tcPr>
            <w:tcW w:w="963" w:type="dxa"/>
            <w:tcBorders>
              <w:top w:val="nil"/>
              <w:bottom w:val="single" w:sz="4" w:space="0" w:color="auto"/>
            </w:tcBorders>
            <w:vAlign w:val="center"/>
          </w:tcPr>
          <w:p w14:paraId="7339EEF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104.8</w:t>
            </w:r>
          </w:p>
        </w:tc>
        <w:tc>
          <w:tcPr>
            <w:tcW w:w="732" w:type="dxa"/>
            <w:tcBorders>
              <w:top w:val="nil"/>
              <w:bottom w:val="single" w:sz="4" w:space="0" w:color="auto"/>
            </w:tcBorders>
            <w:vAlign w:val="center"/>
          </w:tcPr>
          <w:p w14:paraId="10913DC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Now</w:t>
            </w:r>
          </w:p>
        </w:tc>
        <w:tc>
          <w:tcPr>
            <w:tcW w:w="874" w:type="dxa"/>
            <w:tcBorders>
              <w:top w:val="nil"/>
              <w:bottom w:val="single" w:sz="4" w:space="0" w:color="auto"/>
            </w:tcBorders>
            <w:vAlign w:val="center"/>
          </w:tcPr>
          <w:p w14:paraId="2EFB5F5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64.19</w:t>
            </w:r>
          </w:p>
        </w:tc>
        <w:tc>
          <w:tcPr>
            <w:tcW w:w="963" w:type="dxa"/>
            <w:tcBorders>
              <w:top w:val="nil"/>
              <w:bottom w:val="single" w:sz="4" w:space="0" w:color="auto"/>
            </w:tcBorders>
            <w:vAlign w:val="center"/>
          </w:tcPr>
          <w:p w14:paraId="7C85965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c>
          <w:tcPr>
            <w:tcW w:w="732" w:type="dxa"/>
            <w:tcBorders>
              <w:top w:val="nil"/>
              <w:bottom w:val="single" w:sz="4" w:space="0" w:color="auto"/>
            </w:tcBorders>
            <w:vAlign w:val="center"/>
          </w:tcPr>
          <w:p w14:paraId="2BE4C27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hint="eastAsia"/>
                <w:sz w:val="18"/>
                <w:szCs w:val="20"/>
              </w:rPr>
              <w:t>N</w:t>
            </w:r>
            <w:r w:rsidRPr="006912F6">
              <w:rPr>
                <w:rFonts w:asciiTheme="majorHAnsi" w:hAnsiTheme="majorHAnsi" w:cstheme="majorHAnsi"/>
                <w:sz w:val="18"/>
                <w:szCs w:val="20"/>
              </w:rPr>
              <w:t>one</w:t>
            </w:r>
          </w:p>
        </w:tc>
        <w:tc>
          <w:tcPr>
            <w:tcW w:w="874" w:type="dxa"/>
            <w:tcBorders>
              <w:top w:val="nil"/>
              <w:bottom w:val="single" w:sz="4" w:space="0" w:color="auto"/>
            </w:tcBorders>
            <w:vAlign w:val="bottom"/>
          </w:tcPr>
          <w:p w14:paraId="0204769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80.55</w:t>
            </w:r>
          </w:p>
        </w:tc>
        <w:tc>
          <w:tcPr>
            <w:tcW w:w="963" w:type="dxa"/>
            <w:tcBorders>
              <w:top w:val="nil"/>
              <w:bottom w:val="single" w:sz="4" w:space="0" w:color="auto"/>
            </w:tcBorders>
          </w:tcPr>
          <w:p w14:paraId="00465D4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104.8</w:t>
            </w:r>
          </w:p>
        </w:tc>
      </w:tr>
      <w:tr w:rsidR="006912F6" w:rsidRPr="006912F6" w14:paraId="204DE441" w14:textId="77777777" w:rsidTr="000C4BE5">
        <w:trPr>
          <w:trHeight w:val="283"/>
        </w:trPr>
        <w:tc>
          <w:tcPr>
            <w:tcW w:w="1016" w:type="dxa"/>
            <w:vMerge w:val="restart"/>
            <w:vAlign w:val="center"/>
          </w:tcPr>
          <w:p w14:paraId="6A20ECF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High</w:t>
            </w:r>
          </w:p>
        </w:tc>
        <w:tc>
          <w:tcPr>
            <w:tcW w:w="1035" w:type="dxa"/>
            <w:tcBorders>
              <w:bottom w:val="nil"/>
            </w:tcBorders>
            <w:vAlign w:val="center"/>
          </w:tcPr>
          <w:p w14:paraId="0C2F652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874" w:type="dxa"/>
            <w:tcBorders>
              <w:bottom w:val="nil"/>
            </w:tcBorders>
            <w:vAlign w:val="center"/>
          </w:tcPr>
          <w:p w14:paraId="1147223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66.02</w:t>
            </w:r>
          </w:p>
        </w:tc>
        <w:tc>
          <w:tcPr>
            <w:tcW w:w="963" w:type="dxa"/>
            <w:tcBorders>
              <w:bottom w:val="nil"/>
            </w:tcBorders>
            <w:vAlign w:val="center"/>
          </w:tcPr>
          <w:p w14:paraId="70F95F0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35.14</w:t>
            </w:r>
          </w:p>
        </w:tc>
        <w:tc>
          <w:tcPr>
            <w:tcW w:w="732" w:type="dxa"/>
            <w:tcBorders>
              <w:bottom w:val="nil"/>
            </w:tcBorders>
            <w:vAlign w:val="center"/>
          </w:tcPr>
          <w:p w14:paraId="29BFFD8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2026</w:t>
            </w:r>
          </w:p>
        </w:tc>
        <w:tc>
          <w:tcPr>
            <w:tcW w:w="874" w:type="dxa"/>
            <w:tcBorders>
              <w:bottom w:val="nil"/>
            </w:tcBorders>
            <w:vAlign w:val="center"/>
          </w:tcPr>
          <w:p w14:paraId="456D869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49.67</w:t>
            </w:r>
          </w:p>
        </w:tc>
        <w:tc>
          <w:tcPr>
            <w:tcW w:w="963" w:type="dxa"/>
            <w:tcBorders>
              <w:bottom w:val="nil"/>
            </w:tcBorders>
            <w:vAlign w:val="center"/>
          </w:tcPr>
          <w:p w14:paraId="15D166A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c>
          <w:tcPr>
            <w:tcW w:w="732" w:type="dxa"/>
            <w:tcBorders>
              <w:bottom w:val="nil"/>
            </w:tcBorders>
            <w:vAlign w:val="center"/>
          </w:tcPr>
          <w:p w14:paraId="1D5C3B6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hint="eastAsia"/>
                <w:sz w:val="18"/>
                <w:szCs w:val="20"/>
              </w:rPr>
              <w:t>N</w:t>
            </w:r>
            <w:r w:rsidRPr="006912F6">
              <w:rPr>
                <w:rFonts w:asciiTheme="majorHAnsi" w:hAnsiTheme="majorHAnsi" w:cstheme="majorHAnsi"/>
                <w:sz w:val="18"/>
                <w:szCs w:val="20"/>
              </w:rPr>
              <w:t>one</w:t>
            </w:r>
          </w:p>
        </w:tc>
        <w:tc>
          <w:tcPr>
            <w:tcW w:w="874" w:type="dxa"/>
            <w:tcBorders>
              <w:bottom w:val="nil"/>
            </w:tcBorders>
            <w:vAlign w:val="bottom"/>
          </w:tcPr>
          <w:p w14:paraId="765EFE3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66.03</w:t>
            </w:r>
          </w:p>
        </w:tc>
        <w:tc>
          <w:tcPr>
            <w:tcW w:w="963" w:type="dxa"/>
            <w:tcBorders>
              <w:bottom w:val="nil"/>
            </w:tcBorders>
          </w:tcPr>
          <w:p w14:paraId="354B2EC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35.14</w:t>
            </w:r>
          </w:p>
        </w:tc>
      </w:tr>
      <w:tr w:rsidR="006912F6" w:rsidRPr="006912F6" w14:paraId="6F8FC340" w14:textId="77777777" w:rsidTr="000C4BE5">
        <w:trPr>
          <w:trHeight w:val="283"/>
        </w:trPr>
        <w:tc>
          <w:tcPr>
            <w:tcW w:w="1016" w:type="dxa"/>
            <w:vMerge/>
          </w:tcPr>
          <w:p w14:paraId="673A5D4A" w14:textId="77777777" w:rsidR="001B757C" w:rsidRPr="006912F6" w:rsidRDefault="001B757C" w:rsidP="000C4BE5">
            <w:pPr>
              <w:spacing w:before="0" w:line="240" w:lineRule="auto"/>
              <w:rPr>
                <w:rFonts w:asciiTheme="majorHAnsi" w:hAnsiTheme="majorHAnsi" w:cstheme="majorHAnsi"/>
                <w:sz w:val="18"/>
                <w:szCs w:val="20"/>
              </w:rPr>
            </w:pPr>
          </w:p>
        </w:tc>
        <w:tc>
          <w:tcPr>
            <w:tcW w:w="1035" w:type="dxa"/>
            <w:tcBorders>
              <w:top w:val="nil"/>
              <w:bottom w:val="nil"/>
            </w:tcBorders>
            <w:vAlign w:val="center"/>
          </w:tcPr>
          <w:p w14:paraId="4519CB4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874" w:type="dxa"/>
            <w:tcBorders>
              <w:top w:val="nil"/>
              <w:bottom w:val="nil"/>
            </w:tcBorders>
            <w:vAlign w:val="center"/>
          </w:tcPr>
          <w:p w14:paraId="0997619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70.86</w:t>
            </w:r>
          </w:p>
        </w:tc>
        <w:tc>
          <w:tcPr>
            <w:tcW w:w="963" w:type="dxa"/>
            <w:tcBorders>
              <w:top w:val="nil"/>
              <w:bottom w:val="nil"/>
            </w:tcBorders>
            <w:vAlign w:val="center"/>
          </w:tcPr>
          <w:p w14:paraId="0F88BE8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31.98</w:t>
            </w:r>
          </w:p>
        </w:tc>
        <w:tc>
          <w:tcPr>
            <w:tcW w:w="732" w:type="dxa"/>
            <w:tcBorders>
              <w:top w:val="nil"/>
              <w:bottom w:val="nil"/>
            </w:tcBorders>
            <w:vAlign w:val="center"/>
          </w:tcPr>
          <w:p w14:paraId="0C02B3A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2029</w:t>
            </w:r>
          </w:p>
        </w:tc>
        <w:tc>
          <w:tcPr>
            <w:tcW w:w="874" w:type="dxa"/>
            <w:tcBorders>
              <w:top w:val="nil"/>
              <w:bottom w:val="nil"/>
            </w:tcBorders>
            <w:vAlign w:val="center"/>
          </w:tcPr>
          <w:p w14:paraId="5EB33A1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54.51</w:t>
            </w:r>
          </w:p>
        </w:tc>
        <w:tc>
          <w:tcPr>
            <w:tcW w:w="963" w:type="dxa"/>
            <w:tcBorders>
              <w:top w:val="nil"/>
              <w:bottom w:val="nil"/>
            </w:tcBorders>
            <w:vAlign w:val="center"/>
          </w:tcPr>
          <w:p w14:paraId="1CC7E96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c>
          <w:tcPr>
            <w:tcW w:w="732" w:type="dxa"/>
            <w:tcBorders>
              <w:top w:val="nil"/>
              <w:bottom w:val="nil"/>
            </w:tcBorders>
            <w:vAlign w:val="center"/>
          </w:tcPr>
          <w:p w14:paraId="3C511F7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None</w:t>
            </w:r>
          </w:p>
        </w:tc>
        <w:tc>
          <w:tcPr>
            <w:tcW w:w="874" w:type="dxa"/>
            <w:tcBorders>
              <w:top w:val="nil"/>
              <w:bottom w:val="nil"/>
            </w:tcBorders>
            <w:vAlign w:val="bottom"/>
          </w:tcPr>
          <w:p w14:paraId="0F30909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70.86</w:t>
            </w:r>
          </w:p>
        </w:tc>
        <w:tc>
          <w:tcPr>
            <w:tcW w:w="963" w:type="dxa"/>
            <w:tcBorders>
              <w:top w:val="nil"/>
              <w:bottom w:val="nil"/>
            </w:tcBorders>
          </w:tcPr>
          <w:p w14:paraId="5527B67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31.98</w:t>
            </w:r>
          </w:p>
        </w:tc>
      </w:tr>
      <w:tr w:rsidR="006912F6" w:rsidRPr="006912F6" w14:paraId="106C4593" w14:textId="77777777" w:rsidTr="000C4BE5">
        <w:trPr>
          <w:trHeight w:val="283"/>
        </w:trPr>
        <w:tc>
          <w:tcPr>
            <w:tcW w:w="1016" w:type="dxa"/>
            <w:vMerge/>
          </w:tcPr>
          <w:p w14:paraId="79426E26" w14:textId="77777777" w:rsidR="001B757C" w:rsidRPr="006912F6" w:rsidRDefault="001B757C" w:rsidP="000C4BE5">
            <w:pPr>
              <w:spacing w:before="0" w:line="240" w:lineRule="auto"/>
              <w:rPr>
                <w:rFonts w:asciiTheme="majorHAnsi" w:hAnsiTheme="majorHAnsi" w:cstheme="majorHAnsi"/>
                <w:sz w:val="18"/>
                <w:szCs w:val="20"/>
              </w:rPr>
            </w:pPr>
          </w:p>
        </w:tc>
        <w:tc>
          <w:tcPr>
            <w:tcW w:w="1035" w:type="dxa"/>
            <w:tcBorders>
              <w:top w:val="nil"/>
              <w:bottom w:val="nil"/>
            </w:tcBorders>
            <w:vAlign w:val="center"/>
          </w:tcPr>
          <w:p w14:paraId="0488AA6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874" w:type="dxa"/>
            <w:tcBorders>
              <w:top w:val="nil"/>
              <w:bottom w:val="nil"/>
            </w:tcBorders>
            <w:vAlign w:val="center"/>
          </w:tcPr>
          <w:p w14:paraId="09FE225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75.71</w:t>
            </w:r>
          </w:p>
        </w:tc>
        <w:tc>
          <w:tcPr>
            <w:tcW w:w="963" w:type="dxa"/>
            <w:tcBorders>
              <w:top w:val="nil"/>
              <w:bottom w:val="nil"/>
            </w:tcBorders>
            <w:vAlign w:val="center"/>
          </w:tcPr>
          <w:p w14:paraId="75780CD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29.12</w:t>
            </w:r>
          </w:p>
        </w:tc>
        <w:tc>
          <w:tcPr>
            <w:tcW w:w="732" w:type="dxa"/>
            <w:tcBorders>
              <w:top w:val="nil"/>
              <w:bottom w:val="nil"/>
            </w:tcBorders>
            <w:vAlign w:val="center"/>
          </w:tcPr>
          <w:p w14:paraId="1990840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2033</w:t>
            </w:r>
          </w:p>
        </w:tc>
        <w:tc>
          <w:tcPr>
            <w:tcW w:w="874" w:type="dxa"/>
            <w:tcBorders>
              <w:top w:val="nil"/>
              <w:bottom w:val="nil"/>
            </w:tcBorders>
            <w:vAlign w:val="center"/>
          </w:tcPr>
          <w:p w14:paraId="5825826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59.36</w:t>
            </w:r>
          </w:p>
        </w:tc>
        <w:tc>
          <w:tcPr>
            <w:tcW w:w="963" w:type="dxa"/>
            <w:tcBorders>
              <w:top w:val="nil"/>
              <w:bottom w:val="nil"/>
            </w:tcBorders>
            <w:vAlign w:val="center"/>
          </w:tcPr>
          <w:p w14:paraId="32090B1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c>
          <w:tcPr>
            <w:tcW w:w="732" w:type="dxa"/>
            <w:tcBorders>
              <w:top w:val="nil"/>
              <w:bottom w:val="nil"/>
            </w:tcBorders>
            <w:vAlign w:val="center"/>
          </w:tcPr>
          <w:p w14:paraId="1FFBC22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None</w:t>
            </w:r>
          </w:p>
        </w:tc>
        <w:tc>
          <w:tcPr>
            <w:tcW w:w="874" w:type="dxa"/>
            <w:tcBorders>
              <w:top w:val="nil"/>
              <w:bottom w:val="nil"/>
            </w:tcBorders>
            <w:vAlign w:val="bottom"/>
          </w:tcPr>
          <w:p w14:paraId="1855417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75.7</w:t>
            </w:r>
          </w:p>
        </w:tc>
        <w:tc>
          <w:tcPr>
            <w:tcW w:w="963" w:type="dxa"/>
            <w:tcBorders>
              <w:top w:val="nil"/>
              <w:bottom w:val="nil"/>
            </w:tcBorders>
          </w:tcPr>
          <w:p w14:paraId="19BD5B8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29.12</w:t>
            </w:r>
          </w:p>
        </w:tc>
      </w:tr>
      <w:tr w:rsidR="006912F6" w:rsidRPr="006912F6" w14:paraId="24F121AE" w14:textId="77777777" w:rsidTr="000C4BE5">
        <w:trPr>
          <w:trHeight w:val="283"/>
        </w:trPr>
        <w:tc>
          <w:tcPr>
            <w:tcW w:w="1016" w:type="dxa"/>
            <w:vMerge/>
          </w:tcPr>
          <w:p w14:paraId="24B5C67C" w14:textId="77777777" w:rsidR="001B757C" w:rsidRPr="006912F6" w:rsidRDefault="001B757C" w:rsidP="000C4BE5">
            <w:pPr>
              <w:spacing w:before="0" w:line="240" w:lineRule="auto"/>
              <w:rPr>
                <w:rFonts w:asciiTheme="majorHAnsi" w:hAnsiTheme="majorHAnsi" w:cstheme="majorHAnsi"/>
                <w:sz w:val="18"/>
                <w:szCs w:val="20"/>
              </w:rPr>
            </w:pPr>
          </w:p>
        </w:tc>
        <w:tc>
          <w:tcPr>
            <w:tcW w:w="1035" w:type="dxa"/>
            <w:tcBorders>
              <w:top w:val="nil"/>
              <w:bottom w:val="single" w:sz="4" w:space="0" w:color="auto"/>
            </w:tcBorders>
            <w:vAlign w:val="center"/>
          </w:tcPr>
          <w:p w14:paraId="6C8C51B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874" w:type="dxa"/>
            <w:tcBorders>
              <w:top w:val="nil"/>
              <w:bottom w:val="single" w:sz="4" w:space="0" w:color="auto"/>
            </w:tcBorders>
            <w:vAlign w:val="center"/>
          </w:tcPr>
          <w:p w14:paraId="5E27F56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80.55</w:t>
            </w:r>
          </w:p>
        </w:tc>
        <w:tc>
          <w:tcPr>
            <w:tcW w:w="963" w:type="dxa"/>
            <w:tcBorders>
              <w:top w:val="nil"/>
              <w:bottom w:val="single" w:sz="4" w:space="0" w:color="auto"/>
            </w:tcBorders>
            <w:vAlign w:val="center"/>
          </w:tcPr>
          <w:p w14:paraId="3DFE707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26.59</w:t>
            </w:r>
          </w:p>
        </w:tc>
        <w:tc>
          <w:tcPr>
            <w:tcW w:w="732" w:type="dxa"/>
            <w:tcBorders>
              <w:top w:val="nil"/>
              <w:bottom w:val="single" w:sz="4" w:space="0" w:color="auto"/>
            </w:tcBorders>
            <w:vAlign w:val="center"/>
          </w:tcPr>
          <w:p w14:paraId="652D95B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2036</w:t>
            </w:r>
          </w:p>
        </w:tc>
        <w:tc>
          <w:tcPr>
            <w:tcW w:w="874" w:type="dxa"/>
            <w:tcBorders>
              <w:top w:val="nil"/>
              <w:bottom w:val="single" w:sz="4" w:space="0" w:color="auto"/>
            </w:tcBorders>
            <w:vAlign w:val="center"/>
          </w:tcPr>
          <w:p w14:paraId="20D488E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64.19</w:t>
            </w:r>
          </w:p>
        </w:tc>
        <w:tc>
          <w:tcPr>
            <w:tcW w:w="963" w:type="dxa"/>
            <w:tcBorders>
              <w:top w:val="nil"/>
              <w:bottom w:val="single" w:sz="4" w:space="0" w:color="auto"/>
            </w:tcBorders>
            <w:vAlign w:val="center"/>
          </w:tcPr>
          <w:p w14:paraId="1496064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c>
          <w:tcPr>
            <w:tcW w:w="732" w:type="dxa"/>
            <w:tcBorders>
              <w:top w:val="nil"/>
              <w:bottom w:val="single" w:sz="4" w:space="0" w:color="auto"/>
            </w:tcBorders>
            <w:vAlign w:val="center"/>
          </w:tcPr>
          <w:p w14:paraId="5A7C8AC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hint="eastAsia"/>
                <w:sz w:val="18"/>
                <w:szCs w:val="20"/>
              </w:rPr>
              <w:t>N</w:t>
            </w:r>
            <w:r w:rsidRPr="006912F6">
              <w:rPr>
                <w:rFonts w:asciiTheme="majorHAnsi" w:hAnsiTheme="majorHAnsi" w:cstheme="majorHAnsi"/>
                <w:sz w:val="18"/>
                <w:szCs w:val="20"/>
              </w:rPr>
              <w:t>one</w:t>
            </w:r>
          </w:p>
        </w:tc>
        <w:tc>
          <w:tcPr>
            <w:tcW w:w="874" w:type="dxa"/>
            <w:tcBorders>
              <w:top w:val="nil"/>
              <w:bottom w:val="single" w:sz="4" w:space="0" w:color="auto"/>
            </w:tcBorders>
            <w:vAlign w:val="bottom"/>
          </w:tcPr>
          <w:p w14:paraId="76E4766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80.55</w:t>
            </w:r>
          </w:p>
        </w:tc>
        <w:tc>
          <w:tcPr>
            <w:tcW w:w="963" w:type="dxa"/>
            <w:tcBorders>
              <w:top w:val="nil"/>
              <w:bottom w:val="single" w:sz="4" w:space="0" w:color="auto"/>
            </w:tcBorders>
          </w:tcPr>
          <w:p w14:paraId="359EB77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26.59</w:t>
            </w:r>
          </w:p>
        </w:tc>
      </w:tr>
      <w:tr w:rsidR="006912F6" w:rsidRPr="006912F6" w14:paraId="75688A6A" w14:textId="77777777" w:rsidTr="000C4BE5">
        <w:trPr>
          <w:trHeight w:val="283"/>
        </w:trPr>
        <w:tc>
          <w:tcPr>
            <w:tcW w:w="1016" w:type="dxa"/>
            <w:vMerge w:val="restart"/>
            <w:vAlign w:val="center"/>
          </w:tcPr>
          <w:p w14:paraId="51A5D4B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Medium</w:t>
            </w:r>
          </w:p>
        </w:tc>
        <w:tc>
          <w:tcPr>
            <w:tcW w:w="1035" w:type="dxa"/>
            <w:tcBorders>
              <w:bottom w:val="nil"/>
            </w:tcBorders>
            <w:vAlign w:val="center"/>
          </w:tcPr>
          <w:p w14:paraId="61DD8B4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874" w:type="dxa"/>
            <w:tcBorders>
              <w:bottom w:val="nil"/>
            </w:tcBorders>
            <w:vAlign w:val="center"/>
          </w:tcPr>
          <w:p w14:paraId="0B34073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66.02</w:t>
            </w:r>
          </w:p>
        </w:tc>
        <w:tc>
          <w:tcPr>
            <w:tcW w:w="963" w:type="dxa"/>
            <w:tcBorders>
              <w:bottom w:val="nil"/>
            </w:tcBorders>
            <w:vAlign w:val="center"/>
          </w:tcPr>
          <w:p w14:paraId="6606AC1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24.33</w:t>
            </w:r>
          </w:p>
        </w:tc>
        <w:tc>
          <w:tcPr>
            <w:tcW w:w="732" w:type="dxa"/>
            <w:tcBorders>
              <w:bottom w:val="nil"/>
            </w:tcBorders>
            <w:vAlign w:val="center"/>
          </w:tcPr>
          <w:p w14:paraId="2903DA2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2030</w:t>
            </w:r>
          </w:p>
        </w:tc>
        <w:tc>
          <w:tcPr>
            <w:tcW w:w="874" w:type="dxa"/>
            <w:tcBorders>
              <w:bottom w:val="nil"/>
            </w:tcBorders>
            <w:vAlign w:val="center"/>
          </w:tcPr>
          <w:p w14:paraId="13D4B2B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49.67</w:t>
            </w:r>
          </w:p>
        </w:tc>
        <w:tc>
          <w:tcPr>
            <w:tcW w:w="963" w:type="dxa"/>
            <w:tcBorders>
              <w:bottom w:val="nil"/>
            </w:tcBorders>
            <w:vAlign w:val="center"/>
          </w:tcPr>
          <w:p w14:paraId="61D8877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c>
          <w:tcPr>
            <w:tcW w:w="732" w:type="dxa"/>
            <w:tcBorders>
              <w:bottom w:val="nil"/>
            </w:tcBorders>
            <w:vAlign w:val="center"/>
          </w:tcPr>
          <w:p w14:paraId="4AD2E06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hint="eastAsia"/>
                <w:sz w:val="18"/>
                <w:szCs w:val="20"/>
              </w:rPr>
              <w:t>N</w:t>
            </w:r>
            <w:r w:rsidRPr="006912F6">
              <w:rPr>
                <w:rFonts w:asciiTheme="majorHAnsi" w:hAnsiTheme="majorHAnsi" w:cstheme="majorHAnsi"/>
                <w:sz w:val="18"/>
                <w:szCs w:val="20"/>
              </w:rPr>
              <w:t>one</w:t>
            </w:r>
          </w:p>
        </w:tc>
        <w:tc>
          <w:tcPr>
            <w:tcW w:w="874" w:type="dxa"/>
            <w:tcBorders>
              <w:bottom w:val="nil"/>
            </w:tcBorders>
            <w:vAlign w:val="bottom"/>
          </w:tcPr>
          <w:p w14:paraId="16F71A3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66.03</w:t>
            </w:r>
          </w:p>
        </w:tc>
        <w:tc>
          <w:tcPr>
            <w:tcW w:w="963" w:type="dxa"/>
            <w:tcBorders>
              <w:bottom w:val="nil"/>
            </w:tcBorders>
          </w:tcPr>
          <w:p w14:paraId="20B5B18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24.33</w:t>
            </w:r>
          </w:p>
        </w:tc>
      </w:tr>
      <w:tr w:rsidR="006912F6" w:rsidRPr="006912F6" w14:paraId="2B07444A" w14:textId="77777777" w:rsidTr="000C4BE5">
        <w:trPr>
          <w:trHeight w:val="283"/>
        </w:trPr>
        <w:tc>
          <w:tcPr>
            <w:tcW w:w="1016" w:type="dxa"/>
            <w:vMerge/>
          </w:tcPr>
          <w:p w14:paraId="469306CF" w14:textId="77777777" w:rsidR="001B757C" w:rsidRPr="006912F6" w:rsidRDefault="001B757C" w:rsidP="000C4BE5">
            <w:pPr>
              <w:spacing w:before="0" w:line="240" w:lineRule="auto"/>
              <w:rPr>
                <w:rFonts w:asciiTheme="majorHAnsi" w:hAnsiTheme="majorHAnsi" w:cstheme="majorHAnsi"/>
                <w:sz w:val="18"/>
                <w:szCs w:val="20"/>
              </w:rPr>
            </w:pPr>
          </w:p>
        </w:tc>
        <w:tc>
          <w:tcPr>
            <w:tcW w:w="1035" w:type="dxa"/>
            <w:tcBorders>
              <w:top w:val="nil"/>
              <w:bottom w:val="nil"/>
            </w:tcBorders>
            <w:vAlign w:val="center"/>
          </w:tcPr>
          <w:p w14:paraId="1179083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874" w:type="dxa"/>
            <w:tcBorders>
              <w:top w:val="nil"/>
              <w:bottom w:val="nil"/>
            </w:tcBorders>
            <w:vAlign w:val="center"/>
          </w:tcPr>
          <w:p w14:paraId="6B3E129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70.86</w:t>
            </w:r>
          </w:p>
        </w:tc>
        <w:tc>
          <w:tcPr>
            <w:tcW w:w="963" w:type="dxa"/>
            <w:tcBorders>
              <w:top w:val="nil"/>
              <w:bottom w:val="nil"/>
            </w:tcBorders>
            <w:vAlign w:val="center"/>
          </w:tcPr>
          <w:p w14:paraId="475BB2B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21.60</w:t>
            </w:r>
          </w:p>
        </w:tc>
        <w:tc>
          <w:tcPr>
            <w:tcW w:w="732" w:type="dxa"/>
            <w:tcBorders>
              <w:top w:val="nil"/>
              <w:bottom w:val="nil"/>
            </w:tcBorders>
            <w:vAlign w:val="center"/>
          </w:tcPr>
          <w:p w14:paraId="23E43FE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2036</w:t>
            </w:r>
          </w:p>
        </w:tc>
        <w:tc>
          <w:tcPr>
            <w:tcW w:w="874" w:type="dxa"/>
            <w:tcBorders>
              <w:top w:val="nil"/>
              <w:bottom w:val="nil"/>
            </w:tcBorders>
            <w:vAlign w:val="center"/>
          </w:tcPr>
          <w:p w14:paraId="0674021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54.51</w:t>
            </w:r>
          </w:p>
        </w:tc>
        <w:tc>
          <w:tcPr>
            <w:tcW w:w="963" w:type="dxa"/>
            <w:tcBorders>
              <w:top w:val="nil"/>
              <w:bottom w:val="nil"/>
            </w:tcBorders>
            <w:vAlign w:val="center"/>
          </w:tcPr>
          <w:p w14:paraId="2B820F2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c>
          <w:tcPr>
            <w:tcW w:w="732" w:type="dxa"/>
            <w:tcBorders>
              <w:top w:val="nil"/>
              <w:bottom w:val="nil"/>
            </w:tcBorders>
            <w:vAlign w:val="center"/>
          </w:tcPr>
          <w:p w14:paraId="378BB48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None</w:t>
            </w:r>
          </w:p>
        </w:tc>
        <w:tc>
          <w:tcPr>
            <w:tcW w:w="874" w:type="dxa"/>
            <w:tcBorders>
              <w:top w:val="nil"/>
              <w:bottom w:val="nil"/>
            </w:tcBorders>
            <w:vAlign w:val="bottom"/>
          </w:tcPr>
          <w:p w14:paraId="0599F18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70.86</w:t>
            </w:r>
          </w:p>
        </w:tc>
        <w:tc>
          <w:tcPr>
            <w:tcW w:w="963" w:type="dxa"/>
            <w:tcBorders>
              <w:top w:val="nil"/>
              <w:bottom w:val="nil"/>
            </w:tcBorders>
          </w:tcPr>
          <w:p w14:paraId="7DD3378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21.6</w:t>
            </w:r>
          </w:p>
        </w:tc>
      </w:tr>
      <w:tr w:rsidR="006912F6" w:rsidRPr="006912F6" w14:paraId="22496BC5" w14:textId="77777777" w:rsidTr="000C4BE5">
        <w:trPr>
          <w:trHeight w:val="283"/>
        </w:trPr>
        <w:tc>
          <w:tcPr>
            <w:tcW w:w="1016" w:type="dxa"/>
            <w:vMerge/>
          </w:tcPr>
          <w:p w14:paraId="50D38E8B" w14:textId="77777777" w:rsidR="001B757C" w:rsidRPr="006912F6" w:rsidRDefault="001B757C" w:rsidP="000C4BE5">
            <w:pPr>
              <w:spacing w:before="0" w:line="240" w:lineRule="auto"/>
              <w:rPr>
                <w:rFonts w:asciiTheme="majorHAnsi" w:hAnsiTheme="majorHAnsi" w:cstheme="majorHAnsi"/>
                <w:sz w:val="18"/>
                <w:szCs w:val="20"/>
              </w:rPr>
            </w:pPr>
          </w:p>
        </w:tc>
        <w:tc>
          <w:tcPr>
            <w:tcW w:w="1035" w:type="dxa"/>
            <w:tcBorders>
              <w:top w:val="nil"/>
              <w:bottom w:val="nil"/>
            </w:tcBorders>
            <w:vAlign w:val="center"/>
          </w:tcPr>
          <w:p w14:paraId="5F10452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874" w:type="dxa"/>
            <w:tcBorders>
              <w:top w:val="nil"/>
              <w:bottom w:val="nil"/>
            </w:tcBorders>
            <w:vAlign w:val="center"/>
          </w:tcPr>
          <w:p w14:paraId="0E3A077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75.71</w:t>
            </w:r>
          </w:p>
        </w:tc>
        <w:tc>
          <w:tcPr>
            <w:tcW w:w="963" w:type="dxa"/>
            <w:tcBorders>
              <w:top w:val="nil"/>
              <w:bottom w:val="nil"/>
            </w:tcBorders>
            <w:vAlign w:val="center"/>
          </w:tcPr>
          <w:p w14:paraId="633E3F3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19.31</w:t>
            </w:r>
          </w:p>
        </w:tc>
        <w:tc>
          <w:tcPr>
            <w:tcW w:w="732" w:type="dxa"/>
            <w:tcBorders>
              <w:top w:val="nil"/>
              <w:bottom w:val="nil"/>
            </w:tcBorders>
            <w:vAlign w:val="center"/>
          </w:tcPr>
          <w:p w14:paraId="660B338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2039</w:t>
            </w:r>
          </w:p>
        </w:tc>
        <w:tc>
          <w:tcPr>
            <w:tcW w:w="874" w:type="dxa"/>
            <w:tcBorders>
              <w:top w:val="nil"/>
              <w:bottom w:val="nil"/>
            </w:tcBorders>
            <w:vAlign w:val="center"/>
          </w:tcPr>
          <w:p w14:paraId="56C3F3F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59.36</w:t>
            </w:r>
          </w:p>
        </w:tc>
        <w:tc>
          <w:tcPr>
            <w:tcW w:w="963" w:type="dxa"/>
            <w:tcBorders>
              <w:top w:val="nil"/>
              <w:bottom w:val="nil"/>
            </w:tcBorders>
            <w:vAlign w:val="center"/>
          </w:tcPr>
          <w:p w14:paraId="3673409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c>
          <w:tcPr>
            <w:tcW w:w="732" w:type="dxa"/>
            <w:tcBorders>
              <w:top w:val="nil"/>
              <w:bottom w:val="nil"/>
            </w:tcBorders>
            <w:vAlign w:val="center"/>
          </w:tcPr>
          <w:p w14:paraId="7E81D65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None</w:t>
            </w:r>
          </w:p>
        </w:tc>
        <w:tc>
          <w:tcPr>
            <w:tcW w:w="874" w:type="dxa"/>
            <w:tcBorders>
              <w:top w:val="nil"/>
              <w:bottom w:val="nil"/>
            </w:tcBorders>
            <w:vAlign w:val="bottom"/>
          </w:tcPr>
          <w:p w14:paraId="5608C09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75.7</w:t>
            </w:r>
          </w:p>
        </w:tc>
        <w:tc>
          <w:tcPr>
            <w:tcW w:w="963" w:type="dxa"/>
            <w:tcBorders>
              <w:top w:val="nil"/>
              <w:bottom w:val="nil"/>
            </w:tcBorders>
          </w:tcPr>
          <w:p w14:paraId="28D22E5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19.31</w:t>
            </w:r>
          </w:p>
        </w:tc>
      </w:tr>
      <w:tr w:rsidR="006912F6" w:rsidRPr="006912F6" w14:paraId="2101E6A7" w14:textId="77777777" w:rsidTr="000C4BE5">
        <w:trPr>
          <w:trHeight w:val="283"/>
        </w:trPr>
        <w:tc>
          <w:tcPr>
            <w:tcW w:w="1016" w:type="dxa"/>
            <w:vMerge/>
          </w:tcPr>
          <w:p w14:paraId="75B83111" w14:textId="77777777" w:rsidR="001B757C" w:rsidRPr="006912F6" w:rsidRDefault="001B757C" w:rsidP="000C4BE5">
            <w:pPr>
              <w:spacing w:before="0" w:line="240" w:lineRule="auto"/>
              <w:rPr>
                <w:rFonts w:asciiTheme="majorHAnsi" w:hAnsiTheme="majorHAnsi" w:cstheme="majorHAnsi"/>
                <w:sz w:val="18"/>
                <w:szCs w:val="20"/>
              </w:rPr>
            </w:pPr>
          </w:p>
        </w:tc>
        <w:tc>
          <w:tcPr>
            <w:tcW w:w="1035" w:type="dxa"/>
            <w:tcBorders>
              <w:top w:val="nil"/>
              <w:bottom w:val="single" w:sz="4" w:space="0" w:color="auto"/>
            </w:tcBorders>
            <w:vAlign w:val="center"/>
          </w:tcPr>
          <w:p w14:paraId="363F447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874" w:type="dxa"/>
            <w:tcBorders>
              <w:top w:val="nil"/>
              <w:bottom w:val="single" w:sz="4" w:space="0" w:color="auto"/>
            </w:tcBorders>
            <w:vAlign w:val="center"/>
          </w:tcPr>
          <w:p w14:paraId="3432B3F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80.55</w:t>
            </w:r>
          </w:p>
        </w:tc>
        <w:tc>
          <w:tcPr>
            <w:tcW w:w="963" w:type="dxa"/>
            <w:tcBorders>
              <w:top w:val="nil"/>
              <w:bottom w:val="single" w:sz="4" w:space="0" w:color="auto"/>
            </w:tcBorders>
            <w:vAlign w:val="center"/>
          </w:tcPr>
          <w:p w14:paraId="182FEF8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17.29</w:t>
            </w:r>
          </w:p>
        </w:tc>
        <w:tc>
          <w:tcPr>
            <w:tcW w:w="732" w:type="dxa"/>
            <w:tcBorders>
              <w:top w:val="nil"/>
              <w:bottom w:val="single" w:sz="4" w:space="0" w:color="auto"/>
            </w:tcBorders>
            <w:vAlign w:val="center"/>
          </w:tcPr>
          <w:p w14:paraId="020559E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2043</w:t>
            </w:r>
          </w:p>
        </w:tc>
        <w:tc>
          <w:tcPr>
            <w:tcW w:w="874" w:type="dxa"/>
            <w:tcBorders>
              <w:top w:val="nil"/>
              <w:bottom w:val="single" w:sz="4" w:space="0" w:color="auto"/>
            </w:tcBorders>
            <w:vAlign w:val="center"/>
          </w:tcPr>
          <w:p w14:paraId="225795F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64.19</w:t>
            </w:r>
          </w:p>
        </w:tc>
        <w:tc>
          <w:tcPr>
            <w:tcW w:w="963" w:type="dxa"/>
            <w:tcBorders>
              <w:top w:val="nil"/>
              <w:bottom w:val="single" w:sz="4" w:space="0" w:color="auto"/>
            </w:tcBorders>
            <w:vAlign w:val="center"/>
          </w:tcPr>
          <w:p w14:paraId="152004E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c>
          <w:tcPr>
            <w:tcW w:w="732" w:type="dxa"/>
            <w:tcBorders>
              <w:top w:val="nil"/>
              <w:bottom w:val="single" w:sz="4" w:space="0" w:color="auto"/>
            </w:tcBorders>
            <w:vAlign w:val="center"/>
          </w:tcPr>
          <w:p w14:paraId="08693EA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hint="eastAsia"/>
                <w:sz w:val="18"/>
                <w:szCs w:val="20"/>
              </w:rPr>
              <w:t>N</w:t>
            </w:r>
            <w:r w:rsidRPr="006912F6">
              <w:rPr>
                <w:rFonts w:asciiTheme="majorHAnsi" w:hAnsiTheme="majorHAnsi" w:cstheme="majorHAnsi"/>
                <w:sz w:val="18"/>
                <w:szCs w:val="20"/>
              </w:rPr>
              <w:t>one</w:t>
            </w:r>
          </w:p>
        </w:tc>
        <w:tc>
          <w:tcPr>
            <w:tcW w:w="874" w:type="dxa"/>
            <w:tcBorders>
              <w:top w:val="nil"/>
              <w:bottom w:val="single" w:sz="4" w:space="0" w:color="auto"/>
            </w:tcBorders>
            <w:vAlign w:val="bottom"/>
          </w:tcPr>
          <w:p w14:paraId="4894741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80.55</w:t>
            </w:r>
          </w:p>
        </w:tc>
        <w:tc>
          <w:tcPr>
            <w:tcW w:w="963" w:type="dxa"/>
            <w:tcBorders>
              <w:top w:val="nil"/>
              <w:bottom w:val="single" w:sz="4" w:space="0" w:color="auto"/>
            </w:tcBorders>
          </w:tcPr>
          <w:p w14:paraId="02375D4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17.29</w:t>
            </w:r>
          </w:p>
        </w:tc>
      </w:tr>
      <w:tr w:rsidR="006912F6" w:rsidRPr="006912F6" w14:paraId="5A485724" w14:textId="77777777" w:rsidTr="000C4BE5">
        <w:trPr>
          <w:trHeight w:val="283"/>
        </w:trPr>
        <w:tc>
          <w:tcPr>
            <w:tcW w:w="1016" w:type="dxa"/>
            <w:vMerge w:val="restart"/>
            <w:vAlign w:val="center"/>
          </w:tcPr>
          <w:p w14:paraId="60FA4C3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Low</w:t>
            </w:r>
          </w:p>
        </w:tc>
        <w:tc>
          <w:tcPr>
            <w:tcW w:w="1035" w:type="dxa"/>
            <w:tcBorders>
              <w:bottom w:val="nil"/>
            </w:tcBorders>
            <w:vAlign w:val="center"/>
          </w:tcPr>
          <w:p w14:paraId="7D49D52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874" w:type="dxa"/>
            <w:tcBorders>
              <w:bottom w:val="nil"/>
            </w:tcBorders>
            <w:vAlign w:val="center"/>
          </w:tcPr>
          <w:p w14:paraId="1482515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66.02</w:t>
            </w:r>
          </w:p>
        </w:tc>
        <w:tc>
          <w:tcPr>
            <w:tcW w:w="963" w:type="dxa"/>
            <w:tcBorders>
              <w:bottom w:val="nil"/>
            </w:tcBorders>
            <w:vAlign w:val="center"/>
          </w:tcPr>
          <w:p w14:paraId="667673D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16.72</w:t>
            </w:r>
          </w:p>
        </w:tc>
        <w:tc>
          <w:tcPr>
            <w:tcW w:w="732" w:type="dxa"/>
            <w:tcBorders>
              <w:bottom w:val="nil"/>
            </w:tcBorders>
            <w:vAlign w:val="center"/>
          </w:tcPr>
          <w:p w14:paraId="694773D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2037</w:t>
            </w:r>
          </w:p>
        </w:tc>
        <w:tc>
          <w:tcPr>
            <w:tcW w:w="874" w:type="dxa"/>
            <w:tcBorders>
              <w:bottom w:val="nil"/>
            </w:tcBorders>
            <w:vAlign w:val="center"/>
          </w:tcPr>
          <w:p w14:paraId="7533224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49.67</w:t>
            </w:r>
          </w:p>
        </w:tc>
        <w:tc>
          <w:tcPr>
            <w:tcW w:w="963" w:type="dxa"/>
            <w:tcBorders>
              <w:bottom w:val="nil"/>
            </w:tcBorders>
            <w:vAlign w:val="center"/>
          </w:tcPr>
          <w:p w14:paraId="45B688E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c>
          <w:tcPr>
            <w:tcW w:w="732" w:type="dxa"/>
            <w:tcBorders>
              <w:bottom w:val="nil"/>
            </w:tcBorders>
            <w:vAlign w:val="center"/>
          </w:tcPr>
          <w:p w14:paraId="06AE1B7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hint="eastAsia"/>
                <w:sz w:val="18"/>
                <w:szCs w:val="20"/>
              </w:rPr>
              <w:t>N</w:t>
            </w:r>
            <w:r w:rsidRPr="006912F6">
              <w:rPr>
                <w:rFonts w:asciiTheme="majorHAnsi" w:hAnsiTheme="majorHAnsi" w:cstheme="majorHAnsi"/>
                <w:sz w:val="18"/>
                <w:szCs w:val="20"/>
              </w:rPr>
              <w:t>one</w:t>
            </w:r>
          </w:p>
        </w:tc>
        <w:tc>
          <w:tcPr>
            <w:tcW w:w="874" w:type="dxa"/>
            <w:tcBorders>
              <w:bottom w:val="nil"/>
            </w:tcBorders>
            <w:vAlign w:val="bottom"/>
          </w:tcPr>
          <w:p w14:paraId="605FB9F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66.03</w:t>
            </w:r>
          </w:p>
        </w:tc>
        <w:tc>
          <w:tcPr>
            <w:tcW w:w="963" w:type="dxa"/>
            <w:tcBorders>
              <w:bottom w:val="nil"/>
            </w:tcBorders>
          </w:tcPr>
          <w:p w14:paraId="536EBCA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16.72</w:t>
            </w:r>
          </w:p>
        </w:tc>
      </w:tr>
      <w:tr w:rsidR="006912F6" w:rsidRPr="006912F6" w14:paraId="0B4DA58A" w14:textId="77777777" w:rsidTr="000C4BE5">
        <w:trPr>
          <w:trHeight w:val="283"/>
        </w:trPr>
        <w:tc>
          <w:tcPr>
            <w:tcW w:w="1016" w:type="dxa"/>
            <w:vMerge/>
          </w:tcPr>
          <w:p w14:paraId="2443DF50" w14:textId="77777777" w:rsidR="001B757C" w:rsidRPr="006912F6" w:rsidRDefault="001B757C" w:rsidP="000C4BE5">
            <w:pPr>
              <w:spacing w:before="0" w:line="240" w:lineRule="auto"/>
              <w:rPr>
                <w:rFonts w:asciiTheme="majorHAnsi" w:hAnsiTheme="majorHAnsi" w:cstheme="majorHAnsi"/>
                <w:sz w:val="18"/>
                <w:szCs w:val="20"/>
              </w:rPr>
            </w:pPr>
          </w:p>
        </w:tc>
        <w:tc>
          <w:tcPr>
            <w:tcW w:w="1035" w:type="dxa"/>
            <w:tcBorders>
              <w:top w:val="nil"/>
              <w:bottom w:val="nil"/>
            </w:tcBorders>
            <w:vAlign w:val="center"/>
          </w:tcPr>
          <w:p w14:paraId="5ADAD4B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874" w:type="dxa"/>
            <w:tcBorders>
              <w:top w:val="nil"/>
              <w:bottom w:val="nil"/>
            </w:tcBorders>
            <w:vAlign w:val="center"/>
          </w:tcPr>
          <w:p w14:paraId="181FED8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70.86</w:t>
            </w:r>
          </w:p>
        </w:tc>
        <w:tc>
          <w:tcPr>
            <w:tcW w:w="963" w:type="dxa"/>
            <w:tcBorders>
              <w:top w:val="nil"/>
              <w:bottom w:val="nil"/>
            </w:tcBorders>
            <w:vAlign w:val="center"/>
          </w:tcPr>
          <w:p w14:paraId="1BE7A3C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14.55</w:t>
            </w:r>
          </w:p>
        </w:tc>
        <w:tc>
          <w:tcPr>
            <w:tcW w:w="732" w:type="dxa"/>
            <w:tcBorders>
              <w:top w:val="nil"/>
              <w:bottom w:val="nil"/>
            </w:tcBorders>
            <w:vAlign w:val="center"/>
          </w:tcPr>
          <w:p w14:paraId="2083572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2041</w:t>
            </w:r>
          </w:p>
        </w:tc>
        <w:tc>
          <w:tcPr>
            <w:tcW w:w="874" w:type="dxa"/>
            <w:tcBorders>
              <w:top w:val="nil"/>
              <w:bottom w:val="nil"/>
            </w:tcBorders>
            <w:vAlign w:val="center"/>
          </w:tcPr>
          <w:p w14:paraId="69B218D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54.51</w:t>
            </w:r>
          </w:p>
        </w:tc>
        <w:tc>
          <w:tcPr>
            <w:tcW w:w="963" w:type="dxa"/>
            <w:tcBorders>
              <w:top w:val="nil"/>
              <w:bottom w:val="nil"/>
            </w:tcBorders>
            <w:vAlign w:val="center"/>
          </w:tcPr>
          <w:p w14:paraId="706F4B5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c>
          <w:tcPr>
            <w:tcW w:w="732" w:type="dxa"/>
            <w:tcBorders>
              <w:top w:val="nil"/>
              <w:bottom w:val="nil"/>
            </w:tcBorders>
            <w:vAlign w:val="center"/>
          </w:tcPr>
          <w:p w14:paraId="78A9352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None</w:t>
            </w:r>
          </w:p>
        </w:tc>
        <w:tc>
          <w:tcPr>
            <w:tcW w:w="874" w:type="dxa"/>
            <w:tcBorders>
              <w:top w:val="nil"/>
              <w:bottom w:val="nil"/>
            </w:tcBorders>
            <w:vAlign w:val="bottom"/>
          </w:tcPr>
          <w:p w14:paraId="0E68BAA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70.86</w:t>
            </w:r>
          </w:p>
        </w:tc>
        <w:tc>
          <w:tcPr>
            <w:tcW w:w="963" w:type="dxa"/>
            <w:tcBorders>
              <w:top w:val="nil"/>
              <w:bottom w:val="nil"/>
            </w:tcBorders>
          </w:tcPr>
          <w:p w14:paraId="62CDC6B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14.55</w:t>
            </w:r>
          </w:p>
        </w:tc>
      </w:tr>
      <w:tr w:rsidR="006912F6" w:rsidRPr="006912F6" w14:paraId="6CB5BC8A" w14:textId="77777777" w:rsidTr="000C4BE5">
        <w:trPr>
          <w:trHeight w:val="283"/>
        </w:trPr>
        <w:tc>
          <w:tcPr>
            <w:tcW w:w="1016" w:type="dxa"/>
            <w:vMerge/>
          </w:tcPr>
          <w:p w14:paraId="3CD45C0D" w14:textId="77777777" w:rsidR="001B757C" w:rsidRPr="006912F6" w:rsidRDefault="001B757C" w:rsidP="000C4BE5">
            <w:pPr>
              <w:spacing w:before="0" w:line="240" w:lineRule="auto"/>
              <w:rPr>
                <w:rFonts w:asciiTheme="majorHAnsi" w:hAnsiTheme="majorHAnsi" w:cstheme="majorHAnsi"/>
                <w:sz w:val="18"/>
                <w:szCs w:val="20"/>
              </w:rPr>
            </w:pPr>
          </w:p>
        </w:tc>
        <w:tc>
          <w:tcPr>
            <w:tcW w:w="1035" w:type="dxa"/>
            <w:tcBorders>
              <w:top w:val="nil"/>
              <w:bottom w:val="nil"/>
            </w:tcBorders>
            <w:vAlign w:val="center"/>
          </w:tcPr>
          <w:p w14:paraId="39DC2C0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874" w:type="dxa"/>
            <w:tcBorders>
              <w:top w:val="nil"/>
              <w:bottom w:val="nil"/>
            </w:tcBorders>
            <w:vAlign w:val="center"/>
          </w:tcPr>
          <w:p w14:paraId="4E92B39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75.71</w:t>
            </w:r>
          </w:p>
        </w:tc>
        <w:tc>
          <w:tcPr>
            <w:tcW w:w="963" w:type="dxa"/>
            <w:tcBorders>
              <w:top w:val="nil"/>
              <w:bottom w:val="nil"/>
            </w:tcBorders>
            <w:vAlign w:val="center"/>
          </w:tcPr>
          <w:p w14:paraId="6D00323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12.69</w:t>
            </w:r>
          </w:p>
        </w:tc>
        <w:tc>
          <w:tcPr>
            <w:tcW w:w="732" w:type="dxa"/>
            <w:tcBorders>
              <w:top w:val="nil"/>
              <w:bottom w:val="nil"/>
            </w:tcBorders>
            <w:vAlign w:val="center"/>
          </w:tcPr>
          <w:p w14:paraId="3B92848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2046</w:t>
            </w:r>
          </w:p>
        </w:tc>
        <w:tc>
          <w:tcPr>
            <w:tcW w:w="874" w:type="dxa"/>
            <w:tcBorders>
              <w:top w:val="nil"/>
              <w:bottom w:val="nil"/>
            </w:tcBorders>
            <w:vAlign w:val="center"/>
          </w:tcPr>
          <w:p w14:paraId="7EF3EDB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59.36</w:t>
            </w:r>
          </w:p>
        </w:tc>
        <w:tc>
          <w:tcPr>
            <w:tcW w:w="963" w:type="dxa"/>
            <w:tcBorders>
              <w:top w:val="nil"/>
              <w:bottom w:val="nil"/>
            </w:tcBorders>
            <w:vAlign w:val="center"/>
          </w:tcPr>
          <w:p w14:paraId="6EF34CC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c>
          <w:tcPr>
            <w:tcW w:w="732" w:type="dxa"/>
            <w:tcBorders>
              <w:top w:val="nil"/>
              <w:bottom w:val="nil"/>
            </w:tcBorders>
            <w:vAlign w:val="center"/>
          </w:tcPr>
          <w:p w14:paraId="06D69E6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None</w:t>
            </w:r>
          </w:p>
        </w:tc>
        <w:tc>
          <w:tcPr>
            <w:tcW w:w="874" w:type="dxa"/>
            <w:tcBorders>
              <w:top w:val="nil"/>
              <w:bottom w:val="nil"/>
            </w:tcBorders>
            <w:vAlign w:val="bottom"/>
          </w:tcPr>
          <w:p w14:paraId="7287C35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75.7</w:t>
            </w:r>
          </w:p>
        </w:tc>
        <w:tc>
          <w:tcPr>
            <w:tcW w:w="963" w:type="dxa"/>
            <w:tcBorders>
              <w:top w:val="nil"/>
              <w:bottom w:val="nil"/>
            </w:tcBorders>
          </w:tcPr>
          <w:p w14:paraId="5D5DA5F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12.69</w:t>
            </w:r>
          </w:p>
        </w:tc>
      </w:tr>
      <w:tr w:rsidR="006912F6" w:rsidRPr="006912F6" w14:paraId="78F91B53" w14:textId="77777777" w:rsidTr="000C4BE5">
        <w:trPr>
          <w:trHeight w:val="283"/>
        </w:trPr>
        <w:tc>
          <w:tcPr>
            <w:tcW w:w="1016" w:type="dxa"/>
            <w:vMerge/>
          </w:tcPr>
          <w:p w14:paraId="130EEDFA" w14:textId="77777777" w:rsidR="001B757C" w:rsidRPr="006912F6" w:rsidRDefault="001B757C" w:rsidP="000C4BE5">
            <w:pPr>
              <w:spacing w:before="0" w:line="240" w:lineRule="auto"/>
              <w:rPr>
                <w:rFonts w:asciiTheme="majorHAnsi" w:hAnsiTheme="majorHAnsi" w:cstheme="majorHAnsi"/>
                <w:sz w:val="18"/>
                <w:szCs w:val="20"/>
              </w:rPr>
            </w:pPr>
          </w:p>
        </w:tc>
        <w:tc>
          <w:tcPr>
            <w:tcW w:w="1035" w:type="dxa"/>
            <w:tcBorders>
              <w:top w:val="nil"/>
              <w:bottom w:val="single" w:sz="4" w:space="0" w:color="auto"/>
            </w:tcBorders>
            <w:vAlign w:val="center"/>
          </w:tcPr>
          <w:p w14:paraId="3ECC3C6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874" w:type="dxa"/>
            <w:tcBorders>
              <w:top w:val="nil"/>
              <w:bottom w:val="single" w:sz="4" w:space="0" w:color="auto"/>
            </w:tcBorders>
            <w:vAlign w:val="center"/>
          </w:tcPr>
          <w:p w14:paraId="3C36182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80.55</w:t>
            </w:r>
          </w:p>
        </w:tc>
        <w:tc>
          <w:tcPr>
            <w:tcW w:w="963" w:type="dxa"/>
            <w:tcBorders>
              <w:top w:val="nil"/>
              <w:bottom w:val="single" w:sz="4" w:space="0" w:color="auto"/>
            </w:tcBorders>
            <w:vAlign w:val="center"/>
          </w:tcPr>
          <w:p w14:paraId="024A719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11.11</w:t>
            </w:r>
          </w:p>
        </w:tc>
        <w:tc>
          <w:tcPr>
            <w:tcW w:w="732" w:type="dxa"/>
            <w:tcBorders>
              <w:top w:val="nil"/>
              <w:bottom w:val="single" w:sz="4" w:space="0" w:color="auto"/>
            </w:tcBorders>
            <w:vAlign w:val="center"/>
          </w:tcPr>
          <w:p w14:paraId="7CF5196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2051</w:t>
            </w:r>
          </w:p>
        </w:tc>
        <w:tc>
          <w:tcPr>
            <w:tcW w:w="874" w:type="dxa"/>
            <w:tcBorders>
              <w:top w:val="nil"/>
              <w:bottom w:val="single" w:sz="4" w:space="0" w:color="auto"/>
            </w:tcBorders>
            <w:vAlign w:val="center"/>
          </w:tcPr>
          <w:p w14:paraId="61DD6DC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64.19</w:t>
            </w:r>
          </w:p>
        </w:tc>
        <w:tc>
          <w:tcPr>
            <w:tcW w:w="963" w:type="dxa"/>
            <w:tcBorders>
              <w:top w:val="nil"/>
              <w:bottom w:val="single" w:sz="4" w:space="0" w:color="auto"/>
            </w:tcBorders>
            <w:vAlign w:val="center"/>
          </w:tcPr>
          <w:p w14:paraId="06CA1DF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c>
          <w:tcPr>
            <w:tcW w:w="732" w:type="dxa"/>
            <w:tcBorders>
              <w:top w:val="nil"/>
              <w:bottom w:val="single" w:sz="4" w:space="0" w:color="auto"/>
            </w:tcBorders>
            <w:vAlign w:val="center"/>
          </w:tcPr>
          <w:p w14:paraId="12ECC4C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hint="eastAsia"/>
                <w:sz w:val="18"/>
                <w:szCs w:val="20"/>
              </w:rPr>
              <w:t>N</w:t>
            </w:r>
            <w:r w:rsidRPr="006912F6">
              <w:rPr>
                <w:rFonts w:asciiTheme="majorHAnsi" w:hAnsiTheme="majorHAnsi" w:cstheme="majorHAnsi"/>
                <w:sz w:val="18"/>
                <w:szCs w:val="20"/>
              </w:rPr>
              <w:t>one</w:t>
            </w:r>
          </w:p>
        </w:tc>
        <w:tc>
          <w:tcPr>
            <w:tcW w:w="874" w:type="dxa"/>
            <w:tcBorders>
              <w:top w:val="nil"/>
              <w:bottom w:val="single" w:sz="4" w:space="0" w:color="auto"/>
            </w:tcBorders>
            <w:vAlign w:val="bottom"/>
          </w:tcPr>
          <w:p w14:paraId="2044FE2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80.55</w:t>
            </w:r>
          </w:p>
        </w:tc>
        <w:tc>
          <w:tcPr>
            <w:tcW w:w="963" w:type="dxa"/>
            <w:tcBorders>
              <w:top w:val="nil"/>
              <w:bottom w:val="single" w:sz="4" w:space="0" w:color="auto"/>
            </w:tcBorders>
          </w:tcPr>
          <w:p w14:paraId="11D6D01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11.11</w:t>
            </w:r>
          </w:p>
        </w:tc>
      </w:tr>
      <w:tr w:rsidR="006912F6" w:rsidRPr="006912F6" w14:paraId="0EFA0151" w14:textId="77777777" w:rsidTr="000C4BE5">
        <w:trPr>
          <w:trHeight w:val="283"/>
        </w:trPr>
        <w:tc>
          <w:tcPr>
            <w:tcW w:w="1016" w:type="dxa"/>
            <w:vMerge w:val="restart"/>
            <w:vAlign w:val="center"/>
          </w:tcPr>
          <w:p w14:paraId="079A48B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 xml:space="preserve">Historical </w:t>
            </w:r>
          </w:p>
          <w:p w14:paraId="44E4A79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Trend</w:t>
            </w:r>
          </w:p>
        </w:tc>
        <w:tc>
          <w:tcPr>
            <w:tcW w:w="1035" w:type="dxa"/>
            <w:tcBorders>
              <w:bottom w:val="nil"/>
            </w:tcBorders>
            <w:vAlign w:val="center"/>
          </w:tcPr>
          <w:p w14:paraId="12FD2EA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w:t>
            </w:r>
          </w:p>
        </w:tc>
        <w:tc>
          <w:tcPr>
            <w:tcW w:w="874" w:type="dxa"/>
            <w:tcBorders>
              <w:bottom w:val="nil"/>
            </w:tcBorders>
            <w:vAlign w:val="center"/>
          </w:tcPr>
          <w:p w14:paraId="15F3B9B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66.02</w:t>
            </w:r>
          </w:p>
        </w:tc>
        <w:tc>
          <w:tcPr>
            <w:tcW w:w="963" w:type="dxa"/>
            <w:tcBorders>
              <w:bottom w:val="nil"/>
            </w:tcBorders>
            <w:vAlign w:val="center"/>
          </w:tcPr>
          <w:p w14:paraId="4228CE1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0.92</w:t>
            </w:r>
          </w:p>
        </w:tc>
        <w:tc>
          <w:tcPr>
            <w:tcW w:w="732" w:type="dxa"/>
            <w:tcBorders>
              <w:bottom w:val="nil"/>
            </w:tcBorders>
            <w:vAlign w:val="center"/>
          </w:tcPr>
          <w:p w14:paraId="32781B8F"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2089</w:t>
            </w:r>
          </w:p>
        </w:tc>
        <w:tc>
          <w:tcPr>
            <w:tcW w:w="874" w:type="dxa"/>
            <w:tcBorders>
              <w:bottom w:val="nil"/>
            </w:tcBorders>
            <w:vAlign w:val="center"/>
          </w:tcPr>
          <w:p w14:paraId="44C5FB7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49.67</w:t>
            </w:r>
          </w:p>
        </w:tc>
        <w:tc>
          <w:tcPr>
            <w:tcW w:w="963" w:type="dxa"/>
            <w:tcBorders>
              <w:bottom w:val="nil"/>
            </w:tcBorders>
            <w:vAlign w:val="center"/>
          </w:tcPr>
          <w:p w14:paraId="7A4BE44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c>
          <w:tcPr>
            <w:tcW w:w="732" w:type="dxa"/>
            <w:tcBorders>
              <w:bottom w:val="nil"/>
            </w:tcBorders>
            <w:vAlign w:val="center"/>
          </w:tcPr>
          <w:p w14:paraId="4C809962"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hint="eastAsia"/>
                <w:sz w:val="18"/>
                <w:szCs w:val="20"/>
              </w:rPr>
              <w:t>N</w:t>
            </w:r>
            <w:r w:rsidRPr="006912F6">
              <w:rPr>
                <w:rFonts w:asciiTheme="majorHAnsi" w:hAnsiTheme="majorHAnsi" w:cstheme="majorHAnsi"/>
                <w:sz w:val="18"/>
                <w:szCs w:val="20"/>
              </w:rPr>
              <w:t>one</w:t>
            </w:r>
          </w:p>
        </w:tc>
        <w:tc>
          <w:tcPr>
            <w:tcW w:w="874" w:type="dxa"/>
            <w:tcBorders>
              <w:bottom w:val="nil"/>
            </w:tcBorders>
            <w:vAlign w:val="bottom"/>
          </w:tcPr>
          <w:p w14:paraId="7C89238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66.03</w:t>
            </w:r>
          </w:p>
        </w:tc>
        <w:tc>
          <w:tcPr>
            <w:tcW w:w="963" w:type="dxa"/>
            <w:tcBorders>
              <w:bottom w:val="nil"/>
            </w:tcBorders>
          </w:tcPr>
          <w:p w14:paraId="34251DE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0.92</w:t>
            </w:r>
          </w:p>
        </w:tc>
      </w:tr>
      <w:tr w:rsidR="006912F6" w:rsidRPr="006912F6" w14:paraId="75EA93DE" w14:textId="77777777" w:rsidTr="000C4BE5">
        <w:trPr>
          <w:trHeight w:val="283"/>
        </w:trPr>
        <w:tc>
          <w:tcPr>
            <w:tcW w:w="1016" w:type="dxa"/>
            <w:vMerge/>
          </w:tcPr>
          <w:p w14:paraId="28112957" w14:textId="77777777" w:rsidR="001B757C" w:rsidRPr="006912F6" w:rsidRDefault="001B757C" w:rsidP="000C4BE5">
            <w:pPr>
              <w:spacing w:before="0" w:line="240" w:lineRule="auto"/>
              <w:rPr>
                <w:rFonts w:asciiTheme="majorHAnsi" w:hAnsiTheme="majorHAnsi" w:cstheme="majorHAnsi"/>
                <w:sz w:val="18"/>
                <w:szCs w:val="20"/>
              </w:rPr>
            </w:pPr>
          </w:p>
        </w:tc>
        <w:tc>
          <w:tcPr>
            <w:tcW w:w="1035" w:type="dxa"/>
            <w:tcBorders>
              <w:top w:val="nil"/>
              <w:bottom w:val="nil"/>
            </w:tcBorders>
            <w:vAlign w:val="center"/>
          </w:tcPr>
          <w:p w14:paraId="356BA8D3"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30%</w:t>
            </w:r>
          </w:p>
        </w:tc>
        <w:tc>
          <w:tcPr>
            <w:tcW w:w="874" w:type="dxa"/>
            <w:tcBorders>
              <w:top w:val="nil"/>
              <w:bottom w:val="nil"/>
            </w:tcBorders>
            <w:vAlign w:val="center"/>
          </w:tcPr>
          <w:p w14:paraId="7E3885A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70.86</w:t>
            </w:r>
          </w:p>
        </w:tc>
        <w:tc>
          <w:tcPr>
            <w:tcW w:w="963" w:type="dxa"/>
            <w:tcBorders>
              <w:top w:val="nil"/>
              <w:bottom w:val="nil"/>
            </w:tcBorders>
            <w:vAlign w:val="center"/>
          </w:tcPr>
          <w:p w14:paraId="596C8A8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0.60</w:t>
            </w:r>
          </w:p>
        </w:tc>
        <w:tc>
          <w:tcPr>
            <w:tcW w:w="732" w:type="dxa"/>
            <w:tcBorders>
              <w:top w:val="nil"/>
              <w:bottom w:val="nil"/>
            </w:tcBorders>
            <w:vAlign w:val="center"/>
          </w:tcPr>
          <w:p w14:paraId="340B0056"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2100</w:t>
            </w:r>
          </w:p>
        </w:tc>
        <w:tc>
          <w:tcPr>
            <w:tcW w:w="874" w:type="dxa"/>
            <w:tcBorders>
              <w:top w:val="nil"/>
              <w:bottom w:val="nil"/>
            </w:tcBorders>
            <w:vAlign w:val="center"/>
          </w:tcPr>
          <w:p w14:paraId="2518ABE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54.51</w:t>
            </w:r>
          </w:p>
        </w:tc>
        <w:tc>
          <w:tcPr>
            <w:tcW w:w="963" w:type="dxa"/>
            <w:tcBorders>
              <w:top w:val="nil"/>
              <w:bottom w:val="nil"/>
            </w:tcBorders>
            <w:vAlign w:val="center"/>
          </w:tcPr>
          <w:p w14:paraId="3E885DE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c>
          <w:tcPr>
            <w:tcW w:w="732" w:type="dxa"/>
            <w:tcBorders>
              <w:top w:val="nil"/>
              <w:bottom w:val="nil"/>
            </w:tcBorders>
            <w:vAlign w:val="center"/>
          </w:tcPr>
          <w:p w14:paraId="1087CA6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None</w:t>
            </w:r>
          </w:p>
        </w:tc>
        <w:tc>
          <w:tcPr>
            <w:tcW w:w="874" w:type="dxa"/>
            <w:tcBorders>
              <w:top w:val="nil"/>
              <w:bottom w:val="nil"/>
            </w:tcBorders>
            <w:vAlign w:val="bottom"/>
          </w:tcPr>
          <w:p w14:paraId="446C969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70.86</w:t>
            </w:r>
          </w:p>
        </w:tc>
        <w:tc>
          <w:tcPr>
            <w:tcW w:w="963" w:type="dxa"/>
            <w:tcBorders>
              <w:top w:val="nil"/>
              <w:bottom w:val="nil"/>
            </w:tcBorders>
          </w:tcPr>
          <w:p w14:paraId="14D97858"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0.6</w:t>
            </w:r>
          </w:p>
        </w:tc>
      </w:tr>
      <w:tr w:rsidR="006912F6" w:rsidRPr="006912F6" w14:paraId="3B827826" w14:textId="77777777" w:rsidTr="000C4BE5">
        <w:trPr>
          <w:trHeight w:val="283"/>
        </w:trPr>
        <w:tc>
          <w:tcPr>
            <w:tcW w:w="1016" w:type="dxa"/>
            <w:vMerge/>
          </w:tcPr>
          <w:p w14:paraId="4337ABED" w14:textId="77777777" w:rsidR="001B757C" w:rsidRPr="006912F6" w:rsidRDefault="001B757C" w:rsidP="000C4BE5">
            <w:pPr>
              <w:spacing w:before="0" w:line="240" w:lineRule="auto"/>
              <w:rPr>
                <w:rFonts w:asciiTheme="majorHAnsi" w:hAnsiTheme="majorHAnsi" w:cstheme="majorHAnsi"/>
                <w:sz w:val="18"/>
                <w:szCs w:val="20"/>
              </w:rPr>
            </w:pPr>
          </w:p>
        </w:tc>
        <w:tc>
          <w:tcPr>
            <w:tcW w:w="1035" w:type="dxa"/>
            <w:tcBorders>
              <w:top w:val="nil"/>
              <w:bottom w:val="nil"/>
            </w:tcBorders>
            <w:vAlign w:val="center"/>
          </w:tcPr>
          <w:p w14:paraId="49CB7BBD"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40%</w:t>
            </w:r>
          </w:p>
        </w:tc>
        <w:tc>
          <w:tcPr>
            <w:tcW w:w="874" w:type="dxa"/>
            <w:tcBorders>
              <w:top w:val="nil"/>
              <w:bottom w:val="nil"/>
            </w:tcBorders>
            <w:vAlign w:val="center"/>
          </w:tcPr>
          <w:p w14:paraId="1E56D6EE"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75.71</w:t>
            </w:r>
          </w:p>
        </w:tc>
        <w:tc>
          <w:tcPr>
            <w:tcW w:w="963" w:type="dxa"/>
            <w:tcBorders>
              <w:top w:val="nil"/>
              <w:bottom w:val="nil"/>
            </w:tcBorders>
            <w:vAlign w:val="center"/>
          </w:tcPr>
          <w:p w14:paraId="04803711"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0.30</w:t>
            </w:r>
          </w:p>
        </w:tc>
        <w:tc>
          <w:tcPr>
            <w:tcW w:w="732" w:type="dxa"/>
            <w:tcBorders>
              <w:top w:val="nil"/>
              <w:bottom w:val="nil"/>
            </w:tcBorders>
            <w:vAlign w:val="center"/>
          </w:tcPr>
          <w:p w14:paraId="45CD290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2100</w:t>
            </w:r>
          </w:p>
        </w:tc>
        <w:tc>
          <w:tcPr>
            <w:tcW w:w="874" w:type="dxa"/>
            <w:tcBorders>
              <w:top w:val="nil"/>
              <w:bottom w:val="nil"/>
            </w:tcBorders>
            <w:vAlign w:val="center"/>
          </w:tcPr>
          <w:p w14:paraId="6AAC68B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59.36</w:t>
            </w:r>
          </w:p>
        </w:tc>
        <w:tc>
          <w:tcPr>
            <w:tcW w:w="963" w:type="dxa"/>
            <w:tcBorders>
              <w:top w:val="nil"/>
              <w:bottom w:val="nil"/>
            </w:tcBorders>
            <w:vAlign w:val="center"/>
          </w:tcPr>
          <w:p w14:paraId="733AB0B0"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c>
          <w:tcPr>
            <w:tcW w:w="732" w:type="dxa"/>
            <w:tcBorders>
              <w:top w:val="nil"/>
              <w:bottom w:val="nil"/>
            </w:tcBorders>
            <w:vAlign w:val="center"/>
          </w:tcPr>
          <w:p w14:paraId="2D993937"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None</w:t>
            </w:r>
          </w:p>
        </w:tc>
        <w:tc>
          <w:tcPr>
            <w:tcW w:w="874" w:type="dxa"/>
            <w:tcBorders>
              <w:top w:val="nil"/>
              <w:bottom w:val="nil"/>
            </w:tcBorders>
            <w:vAlign w:val="bottom"/>
          </w:tcPr>
          <w:p w14:paraId="6A34AE6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75.7</w:t>
            </w:r>
          </w:p>
        </w:tc>
        <w:tc>
          <w:tcPr>
            <w:tcW w:w="963" w:type="dxa"/>
            <w:tcBorders>
              <w:top w:val="nil"/>
              <w:bottom w:val="nil"/>
            </w:tcBorders>
          </w:tcPr>
          <w:p w14:paraId="02135A7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0.3</w:t>
            </w:r>
          </w:p>
        </w:tc>
      </w:tr>
      <w:tr w:rsidR="006912F6" w:rsidRPr="006912F6" w14:paraId="06231CA0" w14:textId="77777777" w:rsidTr="000C4BE5">
        <w:trPr>
          <w:trHeight w:val="283"/>
        </w:trPr>
        <w:tc>
          <w:tcPr>
            <w:tcW w:w="1016" w:type="dxa"/>
            <w:vMerge/>
          </w:tcPr>
          <w:p w14:paraId="17481962" w14:textId="77777777" w:rsidR="001B757C" w:rsidRPr="006912F6" w:rsidRDefault="001B757C" w:rsidP="000C4BE5">
            <w:pPr>
              <w:spacing w:before="0" w:line="240" w:lineRule="auto"/>
              <w:rPr>
                <w:rFonts w:asciiTheme="majorHAnsi" w:hAnsiTheme="majorHAnsi" w:cstheme="majorHAnsi"/>
                <w:sz w:val="18"/>
                <w:szCs w:val="20"/>
              </w:rPr>
            </w:pPr>
          </w:p>
        </w:tc>
        <w:tc>
          <w:tcPr>
            <w:tcW w:w="1035" w:type="dxa"/>
            <w:tcBorders>
              <w:top w:val="nil"/>
            </w:tcBorders>
            <w:vAlign w:val="center"/>
          </w:tcPr>
          <w:p w14:paraId="44028B5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50%</w:t>
            </w:r>
          </w:p>
        </w:tc>
        <w:tc>
          <w:tcPr>
            <w:tcW w:w="874" w:type="dxa"/>
            <w:tcBorders>
              <w:top w:val="nil"/>
            </w:tcBorders>
            <w:vAlign w:val="center"/>
          </w:tcPr>
          <w:p w14:paraId="30A827B4"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80.55</w:t>
            </w:r>
          </w:p>
        </w:tc>
        <w:tc>
          <w:tcPr>
            <w:tcW w:w="963" w:type="dxa"/>
            <w:tcBorders>
              <w:top w:val="nil"/>
            </w:tcBorders>
            <w:vAlign w:val="center"/>
          </w:tcPr>
          <w:p w14:paraId="3E07E67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0.06</w:t>
            </w:r>
          </w:p>
        </w:tc>
        <w:tc>
          <w:tcPr>
            <w:tcW w:w="732" w:type="dxa"/>
            <w:tcBorders>
              <w:top w:val="nil"/>
            </w:tcBorders>
            <w:vAlign w:val="center"/>
          </w:tcPr>
          <w:p w14:paraId="5021B81A"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2100</w:t>
            </w:r>
          </w:p>
        </w:tc>
        <w:tc>
          <w:tcPr>
            <w:tcW w:w="874" w:type="dxa"/>
            <w:tcBorders>
              <w:top w:val="nil"/>
            </w:tcBorders>
            <w:vAlign w:val="center"/>
          </w:tcPr>
          <w:p w14:paraId="38A098DC"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64.19</w:t>
            </w:r>
          </w:p>
        </w:tc>
        <w:tc>
          <w:tcPr>
            <w:tcW w:w="963" w:type="dxa"/>
            <w:tcBorders>
              <w:top w:val="nil"/>
            </w:tcBorders>
            <w:vAlign w:val="center"/>
          </w:tcPr>
          <w:p w14:paraId="0414FA7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w:t>
            </w:r>
          </w:p>
        </w:tc>
        <w:tc>
          <w:tcPr>
            <w:tcW w:w="732" w:type="dxa"/>
            <w:tcBorders>
              <w:top w:val="nil"/>
            </w:tcBorders>
            <w:vAlign w:val="center"/>
          </w:tcPr>
          <w:p w14:paraId="33D9E9E5"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hint="eastAsia"/>
                <w:sz w:val="18"/>
                <w:szCs w:val="20"/>
              </w:rPr>
              <w:t>N</w:t>
            </w:r>
            <w:r w:rsidRPr="006912F6">
              <w:rPr>
                <w:rFonts w:asciiTheme="majorHAnsi" w:hAnsiTheme="majorHAnsi" w:cstheme="majorHAnsi"/>
                <w:sz w:val="18"/>
                <w:szCs w:val="20"/>
              </w:rPr>
              <w:t>one</w:t>
            </w:r>
          </w:p>
        </w:tc>
        <w:tc>
          <w:tcPr>
            <w:tcW w:w="874" w:type="dxa"/>
            <w:tcBorders>
              <w:top w:val="nil"/>
            </w:tcBorders>
            <w:vAlign w:val="bottom"/>
          </w:tcPr>
          <w:p w14:paraId="49EECC49"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80.55</w:t>
            </w:r>
          </w:p>
        </w:tc>
        <w:tc>
          <w:tcPr>
            <w:tcW w:w="963" w:type="dxa"/>
            <w:tcBorders>
              <w:top w:val="nil"/>
            </w:tcBorders>
          </w:tcPr>
          <w:p w14:paraId="691FDB0B" w14:textId="77777777" w:rsidR="001B757C" w:rsidRPr="006912F6" w:rsidRDefault="001B757C" w:rsidP="000C4BE5">
            <w:pPr>
              <w:spacing w:before="0" w:line="240" w:lineRule="auto"/>
              <w:jc w:val="center"/>
              <w:rPr>
                <w:rFonts w:asciiTheme="majorHAnsi" w:hAnsiTheme="majorHAnsi" w:cstheme="majorHAnsi"/>
                <w:sz w:val="18"/>
                <w:szCs w:val="20"/>
              </w:rPr>
            </w:pPr>
            <w:r w:rsidRPr="006912F6">
              <w:rPr>
                <w:rFonts w:asciiTheme="majorHAnsi" w:hAnsiTheme="majorHAnsi" w:cstheme="majorHAnsi"/>
                <w:sz w:val="18"/>
                <w:szCs w:val="20"/>
              </w:rPr>
              <w:t>0.06</w:t>
            </w:r>
          </w:p>
        </w:tc>
      </w:tr>
    </w:tbl>
    <w:p w14:paraId="0C0DE19F" w14:textId="77777777" w:rsidR="001B757C" w:rsidRPr="006912F6" w:rsidRDefault="001B757C" w:rsidP="001B757C"/>
    <w:p w14:paraId="2C90F324" w14:textId="77777777" w:rsidR="00B41568" w:rsidRPr="006912F6" w:rsidRDefault="00B41568" w:rsidP="001B757C">
      <w:pPr>
        <w:pStyle w:val="a4"/>
        <w:jc w:val="both"/>
        <w:rPr>
          <w:b/>
          <w:bCs/>
          <w:i w:val="0"/>
          <w:color w:val="auto"/>
        </w:rPr>
      </w:pPr>
      <w:bookmarkStart w:id="720" w:name="_Ref520601638"/>
      <w:bookmarkStart w:id="721" w:name="_Toc18071473"/>
    </w:p>
    <w:p w14:paraId="728B2D70" w14:textId="450DBF9F" w:rsidR="0037226C" w:rsidRPr="006912F6" w:rsidRDefault="0037226C">
      <w:pPr>
        <w:spacing w:before="0" w:after="160" w:line="259" w:lineRule="auto"/>
        <w:rPr>
          <w:b/>
          <w:bCs/>
          <w:iCs/>
          <w:szCs w:val="18"/>
        </w:rPr>
      </w:pPr>
      <w:r w:rsidRPr="006912F6">
        <w:rPr>
          <w:b/>
          <w:bCs/>
          <w:i/>
        </w:rPr>
        <w:br w:type="page"/>
      </w:r>
    </w:p>
    <w:p w14:paraId="05843861" w14:textId="793274BB" w:rsidR="0037226C" w:rsidRPr="006912F6" w:rsidRDefault="0037226C" w:rsidP="0037226C">
      <w:pPr>
        <w:pStyle w:val="EndNoteBibliography"/>
        <w:ind w:left="720" w:hanging="720"/>
        <w:rPr>
          <w:rFonts w:ascii="Times New Roman" w:hAnsi="Times New Roman" w:cs="Times New Roman"/>
          <w:b/>
          <w:bCs/>
          <w:sz w:val="22"/>
          <w:szCs w:val="20"/>
        </w:rPr>
      </w:pPr>
      <w:bookmarkStart w:id="722" w:name="_ENREF_2"/>
      <w:r w:rsidRPr="006912F6">
        <w:rPr>
          <w:rFonts w:ascii="Times New Roman" w:hAnsi="Times New Roman" w:cs="Times New Roman"/>
          <w:b/>
          <w:bCs/>
          <w:sz w:val="22"/>
          <w:szCs w:val="20"/>
        </w:rPr>
        <w:lastRenderedPageBreak/>
        <w:t>References</w:t>
      </w:r>
    </w:p>
    <w:p w14:paraId="1FB52A4A" w14:textId="77777777" w:rsidR="0037226C" w:rsidRPr="006912F6" w:rsidRDefault="0037226C" w:rsidP="0037226C">
      <w:pPr>
        <w:pStyle w:val="EndNoteBibliography"/>
        <w:ind w:left="720" w:hanging="720"/>
        <w:rPr>
          <w:rFonts w:ascii="Times New Roman" w:hAnsi="Times New Roman" w:cs="Times New Roman"/>
          <w:sz w:val="20"/>
          <w:szCs w:val="18"/>
        </w:rPr>
      </w:pPr>
    </w:p>
    <w:p w14:paraId="43431B4A" w14:textId="6DBCF808" w:rsidR="0037226C" w:rsidRPr="006912F6" w:rsidRDefault="0037226C" w:rsidP="0037226C">
      <w:pPr>
        <w:pStyle w:val="EndNoteBibliography"/>
        <w:ind w:left="720" w:hanging="720"/>
        <w:rPr>
          <w:rFonts w:ascii="Times New Roman" w:hAnsi="Times New Roman" w:cs="Times New Roman"/>
          <w:sz w:val="20"/>
          <w:szCs w:val="18"/>
        </w:rPr>
      </w:pPr>
      <w:r w:rsidRPr="006912F6">
        <w:rPr>
          <w:rFonts w:ascii="Times New Roman" w:hAnsi="Times New Roman" w:cs="Times New Roman"/>
          <w:sz w:val="20"/>
          <w:szCs w:val="18"/>
        </w:rPr>
        <w:t>BELLMAN, R. 1952. On the Theory of Dynamic Programming. Proceedings of the National Academy of Sciences of the United States of America, 38, 716-719.</w:t>
      </w:r>
      <w:bookmarkEnd w:id="722"/>
    </w:p>
    <w:p w14:paraId="007AB9BB" w14:textId="77777777" w:rsidR="0037226C" w:rsidRPr="006912F6" w:rsidRDefault="0037226C" w:rsidP="0037226C">
      <w:pPr>
        <w:rPr>
          <w:rFonts w:cs="Times New Roman"/>
          <w:sz w:val="20"/>
          <w:szCs w:val="18"/>
        </w:rPr>
      </w:pPr>
      <w:r w:rsidRPr="006912F6">
        <w:rPr>
          <w:rFonts w:cs="Times New Roman"/>
          <w:sz w:val="20"/>
          <w:szCs w:val="18"/>
        </w:rPr>
        <w:t>DIXIT, A. K. and PINDYCK, R. S. 1994. Investment under uncertainty, Princeton, Princeton university press</w:t>
      </w:r>
    </w:p>
    <w:p w14:paraId="7F33F839" w14:textId="77777777" w:rsidR="0037226C" w:rsidRPr="006912F6" w:rsidRDefault="0037226C" w:rsidP="0037226C">
      <w:pPr>
        <w:pStyle w:val="EndNoteBibliography"/>
        <w:ind w:left="720" w:hanging="720"/>
        <w:rPr>
          <w:rFonts w:ascii="Times New Roman" w:hAnsi="Times New Roman" w:cs="Times New Roman"/>
          <w:sz w:val="20"/>
          <w:szCs w:val="20"/>
        </w:rPr>
      </w:pPr>
      <w:r w:rsidRPr="006912F6">
        <w:rPr>
          <w:rFonts w:ascii="Times New Roman" w:hAnsi="Times New Roman" w:cs="Times New Roman"/>
          <w:sz w:val="20"/>
          <w:szCs w:val="20"/>
        </w:rPr>
        <w:t>KIM, M.-J., NICHOLLS, R. J., PRESTON, J. M. and DE ALMEIDA, G. A. M. 2018. An assessment of the optimum timing of coastal flood adaptation given sea-level rise using real options analysis. Journal of Flood Risk Management, 0, e12494.</w:t>
      </w:r>
    </w:p>
    <w:p w14:paraId="07C692E1" w14:textId="77777777" w:rsidR="0037226C" w:rsidRPr="006912F6" w:rsidRDefault="0037226C" w:rsidP="0037226C">
      <w:pPr>
        <w:pStyle w:val="EndNoteBibliography"/>
        <w:ind w:left="720" w:hanging="720"/>
        <w:rPr>
          <w:rFonts w:ascii="Times New Roman" w:hAnsi="Times New Roman" w:cs="Times New Roman"/>
          <w:sz w:val="20"/>
          <w:szCs w:val="18"/>
        </w:rPr>
      </w:pPr>
      <w:bookmarkStart w:id="723" w:name="_ENREF_25"/>
      <w:r w:rsidRPr="006912F6">
        <w:rPr>
          <w:rFonts w:ascii="Times New Roman" w:hAnsi="Times New Roman" w:cs="Times New Roman"/>
          <w:sz w:val="20"/>
          <w:szCs w:val="18"/>
        </w:rPr>
        <w:t>YANG, M. and BLYTH, W. 2007. Modeling investment risks and uncertainties with real options approach. International Energy Agency.</w:t>
      </w:r>
      <w:bookmarkEnd w:id="723"/>
    </w:p>
    <w:p w14:paraId="3B7D2163" w14:textId="77777777" w:rsidR="00B41568" w:rsidRPr="006912F6" w:rsidRDefault="00B41568" w:rsidP="001B757C">
      <w:pPr>
        <w:pStyle w:val="a4"/>
        <w:jc w:val="both"/>
        <w:rPr>
          <w:b/>
          <w:bCs/>
          <w:i w:val="0"/>
          <w:color w:val="auto"/>
        </w:rPr>
      </w:pPr>
    </w:p>
    <w:bookmarkEnd w:id="720"/>
    <w:bookmarkEnd w:id="721"/>
    <w:p w14:paraId="23C572DA" w14:textId="77777777" w:rsidR="00B41568" w:rsidRPr="006912F6" w:rsidRDefault="00B41568" w:rsidP="001B757C">
      <w:pPr>
        <w:pStyle w:val="a4"/>
        <w:jc w:val="both"/>
        <w:rPr>
          <w:b/>
          <w:bCs/>
          <w:i w:val="0"/>
          <w:color w:val="auto"/>
        </w:rPr>
      </w:pPr>
    </w:p>
    <w:sectPr w:rsidR="00B41568" w:rsidRPr="006912F6">
      <w:footerReference w:type="default" r:id="rId24"/>
      <w:pgSz w:w="12240" w:h="15840"/>
      <w:pgMar w:top="1701"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6EBB9B" w14:textId="77777777" w:rsidR="003C7583" w:rsidRDefault="003C7583" w:rsidP="00F333AB">
      <w:pPr>
        <w:spacing w:before="0" w:line="240" w:lineRule="auto"/>
      </w:pPr>
      <w:r>
        <w:separator/>
      </w:r>
    </w:p>
  </w:endnote>
  <w:endnote w:type="continuationSeparator" w:id="0">
    <w:p w14:paraId="751C7855" w14:textId="77777777" w:rsidR="003C7583" w:rsidRDefault="003C7583" w:rsidP="00F333AB">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Wingdings 3">
    <w:panose1 w:val="05040102010807070707"/>
    <w:charset w:val="02"/>
    <w:family w:val="roman"/>
    <w:pitch w:val="variable"/>
    <w:sig w:usb0="00000000" w:usb1="10000000" w:usb2="00000000" w:usb3="00000000" w:csb0="80000000" w:csb1="00000000"/>
  </w:font>
  <w:font w:name="MS PGothic">
    <w:panose1 w:val="020B0600070205080204"/>
    <w:charset w:val="80"/>
    <w:family w:val="swiss"/>
    <w:pitch w:val="variable"/>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1281775"/>
      <w:docPartObj>
        <w:docPartGallery w:val="Page Numbers (Bottom of Page)"/>
        <w:docPartUnique/>
      </w:docPartObj>
    </w:sdtPr>
    <w:sdtEndPr>
      <w:rPr>
        <w:noProof/>
      </w:rPr>
    </w:sdtEndPr>
    <w:sdtContent>
      <w:p w14:paraId="2E217D1F" w14:textId="3A000B7A" w:rsidR="006349EB" w:rsidRDefault="006349EB">
        <w:pPr>
          <w:pStyle w:val="a6"/>
          <w:jc w:val="center"/>
        </w:pPr>
        <w:r>
          <w:fldChar w:fldCharType="begin"/>
        </w:r>
        <w:r>
          <w:instrText xml:space="preserve"> PAGE   \* MERGEFORMAT </w:instrText>
        </w:r>
        <w:r>
          <w:fldChar w:fldCharType="separate"/>
        </w:r>
        <w:r>
          <w:rPr>
            <w:noProof/>
          </w:rPr>
          <w:t>2</w:t>
        </w:r>
        <w:r>
          <w:rPr>
            <w:noProof/>
          </w:rPr>
          <w:fldChar w:fldCharType="end"/>
        </w:r>
      </w:p>
    </w:sdtContent>
  </w:sdt>
  <w:p w14:paraId="120BB8F7" w14:textId="77777777" w:rsidR="006349EB" w:rsidRDefault="006349EB">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9FA91B" w14:textId="77777777" w:rsidR="003C7583" w:rsidRDefault="003C7583" w:rsidP="00F333AB">
      <w:pPr>
        <w:spacing w:before="0" w:line="240" w:lineRule="auto"/>
      </w:pPr>
      <w:r>
        <w:separator/>
      </w:r>
    </w:p>
  </w:footnote>
  <w:footnote w:type="continuationSeparator" w:id="0">
    <w:p w14:paraId="10E302E9" w14:textId="77777777" w:rsidR="003C7583" w:rsidRDefault="003C7583" w:rsidP="00F333AB">
      <w:pPr>
        <w:spacing w:before="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A5CF9"/>
    <w:multiLevelType w:val="hybridMultilevel"/>
    <w:tmpl w:val="F6C6C882"/>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5356F5D"/>
    <w:multiLevelType w:val="multilevel"/>
    <w:tmpl w:val="0E9E3D46"/>
    <w:styleLink w:val="Style3"/>
    <w:lvl w:ilvl="0">
      <w:start w:val="1"/>
      <w:numFmt w:val="decimal"/>
      <w:lvlText w:val="%1."/>
      <w:lvlJc w:val="left"/>
      <w:pPr>
        <w:ind w:left="360" w:hanging="360"/>
      </w:pPr>
      <w:rPr>
        <w:rFonts w:hint="default"/>
      </w:rPr>
    </w:lvl>
    <w:lvl w:ilvl="1">
      <w:start w:val="1"/>
      <w:numFmt w:val="decimal"/>
      <w:lvlText w:val="%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44E191C"/>
    <w:multiLevelType w:val="hybridMultilevel"/>
    <w:tmpl w:val="900ED9CC"/>
    <w:lvl w:ilvl="0" w:tplc="DE7AA8F6">
      <w:start w:val="1"/>
      <w:numFmt w:val="decimal"/>
      <w:lvlText w:val="(%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D405CC5"/>
    <w:multiLevelType w:val="hybridMultilevel"/>
    <w:tmpl w:val="0E9AAB6C"/>
    <w:lvl w:ilvl="0" w:tplc="F22E52A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E747F39"/>
    <w:multiLevelType w:val="multilevel"/>
    <w:tmpl w:val="0809001D"/>
    <w:styleLink w:val="Style7"/>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228C0176"/>
    <w:multiLevelType w:val="hybridMultilevel"/>
    <w:tmpl w:val="DD7A4B34"/>
    <w:lvl w:ilvl="0" w:tplc="04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42F64EF"/>
    <w:multiLevelType w:val="multilevel"/>
    <w:tmpl w:val="C090DE9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245E6B6C"/>
    <w:multiLevelType w:val="hybridMultilevel"/>
    <w:tmpl w:val="C75807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67D4952"/>
    <w:multiLevelType w:val="multilevel"/>
    <w:tmpl w:val="0809001D"/>
    <w:styleLink w:val="Style10"/>
    <w:lvl w:ilvl="0">
      <w:start w:val="3"/>
      <w:numFmt w:val="decimal"/>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26EF57F0"/>
    <w:multiLevelType w:val="hybridMultilevel"/>
    <w:tmpl w:val="1DCA545E"/>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BAA6021"/>
    <w:multiLevelType w:val="multilevel"/>
    <w:tmpl w:val="0809001D"/>
    <w:styleLink w:val="Style8"/>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2DD630F5"/>
    <w:multiLevelType w:val="multilevel"/>
    <w:tmpl w:val="D04A5BA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2EAA7A47"/>
    <w:multiLevelType w:val="multilevel"/>
    <w:tmpl w:val="ABC06E3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31A07B89"/>
    <w:multiLevelType w:val="hybridMultilevel"/>
    <w:tmpl w:val="F24AB2B4"/>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938" w:hanging="360"/>
      </w:pPr>
    </w:lvl>
    <w:lvl w:ilvl="2" w:tplc="0809001B" w:tentative="1">
      <w:start w:val="1"/>
      <w:numFmt w:val="lowerRoman"/>
      <w:lvlText w:val="%3."/>
      <w:lvlJc w:val="right"/>
      <w:pPr>
        <w:ind w:left="1658" w:hanging="180"/>
      </w:pPr>
    </w:lvl>
    <w:lvl w:ilvl="3" w:tplc="0809000F" w:tentative="1">
      <w:start w:val="1"/>
      <w:numFmt w:val="decimal"/>
      <w:lvlText w:val="%4."/>
      <w:lvlJc w:val="left"/>
      <w:pPr>
        <w:ind w:left="2378" w:hanging="360"/>
      </w:pPr>
    </w:lvl>
    <w:lvl w:ilvl="4" w:tplc="08090019" w:tentative="1">
      <w:start w:val="1"/>
      <w:numFmt w:val="lowerLetter"/>
      <w:lvlText w:val="%5."/>
      <w:lvlJc w:val="left"/>
      <w:pPr>
        <w:ind w:left="3098" w:hanging="360"/>
      </w:pPr>
    </w:lvl>
    <w:lvl w:ilvl="5" w:tplc="0809001B" w:tentative="1">
      <w:start w:val="1"/>
      <w:numFmt w:val="lowerRoman"/>
      <w:lvlText w:val="%6."/>
      <w:lvlJc w:val="right"/>
      <w:pPr>
        <w:ind w:left="3818" w:hanging="180"/>
      </w:pPr>
    </w:lvl>
    <w:lvl w:ilvl="6" w:tplc="0809000F" w:tentative="1">
      <w:start w:val="1"/>
      <w:numFmt w:val="decimal"/>
      <w:lvlText w:val="%7."/>
      <w:lvlJc w:val="left"/>
      <w:pPr>
        <w:ind w:left="4538" w:hanging="360"/>
      </w:pPr>
    </w:lvl>
    <w:lvl w:ilvl="7" w:tplc="08090019" w:tentative="1">
      <w:start w:val="1"/>
      <w:numFmt w:val="lowerLetter"/>
      <w:lvlText w:val="%8."/>
      <w:lvlJc w:val="left"/>
      <w:pPr>
        <w:ind w:left="5258" w:hanging="360"/>
      </w:pPr>
    </w:lvl>
    <w:lvl w:ilvl="8" w:tplc="0809001B" w:tentative="1">
      <w:start w:val="1"/>
      <w:numFmt w:val="lowerRoman"/>
      <w:lvlText w:val="%9."/>
      <w:lvlJc w:val="right"/>
      <w:pPr>
        <w:ind w:left="5978" w:hanging="180"/>
      </w:pPr>
    </w:lvl>
  </w:abstractNum>
  <w:abstractNum w:abstractNumId="14" w15:restartNumberingAfterBreak="0">
    <w:nsid w:val="328271E1"/>
    <w:multiLevelType w:val="multilevel"/>
    <w:tmpl w:val="0809001F"/>
    <w:styleLink w:val="Style9"/>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35A8255C"/>
    <w:multiLevelType w:val="multilevel"/>
    <w:tmpl w:val="E1307422"/>
    <w:lvl w:ilvl="0">
      <w:start w:val="1"/>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35EE2DDA"/>
    <w:multiLevelType w:val="hybridMultilevel"/>
    <w:tmpl w:val="8FC4F4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70E5D90"/>
    <w:multiLevelType w:val="hybridMultilevel"/>
    <w:tmpl w:val="DD7A4B34"/>
    <w:lvl w:ilvl="0" w:tplc="04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39095B72"/>
    <w:multiLevelType w:val="multilevel"/>
    <w:tmpl w:val="0E9E3D46"/>
    <w:styleLink w:val="Style4"/>
    <w:lvl w:ilvl="0">
      <w:start w:val="1"/>
      <w:numFmt w:val="decimal"/>
      <w:lvlText w:val="%1."/>
      <w:lvlJc w:val="left"/>
      <w:pPr>
        <w:ind w:left="360" w:hanging="360"/>
      </w:pPr>
      <w:rPr>
        <w:rFonts w:hint="default"/>
      </w:rPr>
    </w:lvl>
    <w:lvl w:ilvl="1">
      <w:start w:val="1"/>
      <w:numFmt w:val="decimal"/>
      <w:lvlText w:val="%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44483392"/>
    <w:multiLevelType w:val="multilevel"/>
    <w:tmpl w:val="72D25536"/>
    <w:lvl w:ilvl="0">
      <w:start w:val="1"/>
      <w:numFmt w:val="decimal"/>
      <w:pStyle w:val="1"/>
      <w:lvlText w:val="%1."/>
      <w:lvlJc w:val="left"/>
      <w:pPr>
        <w:ind w:left="360" w:hanging="360"/>
      </w:pPr>
      <w:rPr>
        <w:rFonts w:hint="default"/>
      </w:rPr>
    </w:lvl>
    <w:lvl w:ilvl="1">
      <w:start w:val="1"/>
      <w:numFmt w:val="upperLetter"/>
      <w:lvlText w:val="%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4097" w:hanging="864"/>
      </w:pPr>
    </w:lvl>
    <w:lvl w:ilvl="4">
      <w:start w:val="1"/>
      <w:numFmt w:val="decimal"/>
      <w:pStyle w:val="5"/>
      <w:lvlText w:val="%1.%2.%3.%4.%5"/>
      <w:lvlJc w:val="left"/>
      <w:pPr>
        <w:ind w:left="-3953" w:hanging="1008"/>
      </w:pPr>
    </w:lvl>
    <w:lvl w:ilvl="5">
      <w:start w:val="1"/>
      <w:numFmt w:val="decimal"/>
      <w:pStyle w:val="6"/>
      <w:lvlText w:val="%1.%2.%3.%4.%5.%6"/>
      <w:lvlJc w:val="left"/>
      <w:pPr>
        <w:ind w:left="-3809" w:hanging="1152"/>
      </w:pPr>
    </w:lvl>
    <w:lvl w:ilvl="6">
      <w:start w:val="1"/>
      <w:numFmt w:val="decimal"/>
      <w:pStyle w:val="7"/>
      <w:lvlText w:val="%1.%2.%3.%4.%5.%6.%7"/>
      <w:lvlJc w:val="left"/>
      <w:pPr>
        <w:ind w:left="-3665" w:hanging="1296"/>
      </w:pPr>
    </w:lvl>
    <w:lvl w:ilvl="7">
      <w:start w:val="1"/>
      <w:numFmt w:val="decimal"/>
      <w:pStyle w:val="8"/>
      <w:lvlText w:val="%1.%2.%3.%4.%5.%6.%7.%8"/>
      <w:lvlJc w:val="left"/>
      <w:pPr>
        <w:ind w:left="-3521" w:hanging="1440"/>
      </w:pPr>
    </w:lvl>
    <w:lvl w:ilvl="8">
      <w:start w:val="1"/>
      <w:numFmt w:val="decimal"/>
      <w:pStyle w:val="9"/>
      <w:lvlText w:val="%1.%2.%3.%4.%5.%6.%7.%8.%9"/>
      <w:lvlJc w:val="left"/>
      <w:pPr>
        <w:ind w:left="-3377" w:hanging="1584"/>
      </w:pPr>
    </w:lvl>
  </w:abstractNum>
  <w:abstractNum w:abstractNumId="20" w15:restartNumberingAfterBreak="0">
    <w:nsid w:val="447327B9"/>
    <w:multiLevelType w:val="hybridMultilevel"/>
    <w:tmpl w:val="878A2F3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9DD2A85"/>
    <w:multiLevelType w:val="hybridMultilevel"/>
    <w:tmpl w:val="CF9085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DD61532"/>
    <w:multiLevelType w:val="hybridMultilevel"/>
    <w:tmpl w:val="6924E3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0A2695D"/>
    <w:multiLevelType w:val="hybridMultilevel"/>
    <w:tmpl w:val="02583804"/>
    <w:lvl w:ilvl="0" w:tplc="E294CF0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2521D05"/>
    <w:multiLevelType w:val="hybridMultilevel"/>
    <w:tmpl w:val="FAA412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79A4A75"/>
    <w:multiLevelType w:val="multilevel"/>
    <w:tmpl w:val="4AE6C7A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685B38A8"/>
    <w:multiLevelType w:val="hybridMultilevel"/>
    <w:tmpl w:val="95D0BB0E"/>
    <w:lvl w:ilvl="0" w:tplc="ADFC23AA">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A5A482D"/>
    <w:multiLevelType w:val="hybridMultilevel"/>
    <w:tmpl w:val="40649C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AF57646"/>
    <w:multiLevelType w:val="hybridMultilevel"/>
    <w:tmpl w:val="DD7A4B34"/>
    <w:lvl w:ilvl="0" w:tplc="04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6BF96E4F"/>
    <w:multiLevelType w:val="multilevel"/>
    <w:tmpl w:val="6116E8A0"/>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0" w15:restartNumberingAfterBreak="0">
    <w:nsid w:val="71CC672C"/>
    <w:multiLevelType w:val="hybridMultilevel"/>
    <w:tmpl w:val="9780B58E"/>
    <w:lvl w:ilvl="0" w:tplc="04090001">
      <w:start w:val="1"/>
      <w:numFmt w:val="bullet"/>
      <w:lvlText w:val=""/>
      <w:lvlJc w:val="left"/>
      <w:pPr>
        <w:ind w:left="720" w:hanging="360"/>
      </w:pPr>
      <w:rPr>
        <w:rFonts w:ascii="Symbol" w:hAnsi="Symbol"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1E53C2C"/>
    <w:multiLevelType w:val="multilevel"/>
    <w:tmpl w:val="0809001F"/>
    <w:styleLink w:val="Style5"/>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746645DA"/>
    <w:multiLevelType w:val="multilevel"/>
    <w:tmpl w:val="0809001D"/>
    <w:styleLink w:val="Style6"/>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782A2350"/>
    <w:multiLevelType w:val="hybridMultilevel"/>
    <w:tmpl w:val="CF3A9A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961434C"/>
    <w:multiLevelType w:val="hybridMultilevel"/>
    <w:tmpl w:val="A5E6F144"/>
    <w:lvl w:ilvl="0" w:tplc="04090011">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BF24E49"/>
    <w:multiLevelType w:val="multilevel"/>
    <w:tmpl w:val="0809001F"/>
    <w:styleLink w:val="Style11"/>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9"/>
  </w:num>
  <w:num w:numId="2">
    <w:abstractNumId w:val="1"/>
  </w:num>
  <w:num w:numId="3">
    <w:abstractNumId w:val="18"/>
  </w:num>
  <w:num w:numId="4">
    <w:abstractNumId w:val="31"/>
  </w:num>
  <w:num w:numId="5">
    <w:abstractNumId w:val="32"/>
  </w:num>
  <w:num w:numId="6">
    <w:abstractNumId w:val="4"/>
  </w:num>
  <w:num w:numId="7">
    <w:abstractNumId w:val="10"/>
  </w:num>
  <w:num w:numId="8">
    <w:abstractNumId w:val="14"/>
  </w:num>
  <w:num w:numId="9">
    <w:abstractNumId w:val="8"/>
  </w:num>
  <w:num w:numId="10">
    <w:abstractNumId w:val="35"/>
  </w:num>
  <w:num w:numId="11">
    <w:abstractNumId w:val="21"/>
  </w:num>
  <w:num w:numId="12">
    <w:abstractNumId w:val="2"/>
  </w:num>
  <w:num w:numId="13">
    <w:abstractNumId w:val="24"/>
  </w:num>
  <w:num w:numId="14">
    <w:abstractNumId w:val="7"/>
  </w:num>
  <w:num w:numId="15">
    <w:abstractNumId w:val="16"/>
  </w:num>
  <w:num w:numId="16">
    <w:abstractNumId w:val="25"/>
  </w:num>
  <w:num w:numId="1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7"/>
  </w:num>
  <w:num w:numId="20">
    <w:abstractNumId w:val="29"/>
  </w:num>
  <w:num w:numId="21">
    <w:abstractNumId w:val="30"/>
  </w:num>
  <w:num w:numId="22">
    <w:abstractNumId w:val="3"/>
  </w:num>
  <w:num w:numId="23">
    <w:abstractNumId w:val="33"/>
  </w:num>
  <w:num w:numId="24">
    <w:abstractNumId w:val="26"/>
  </w:num>
  <w:num w:numId="25">
    <w:abstractNumId w:val="23"/>
  </w:num>
  <w:num w:numId="26">
    <w:abstractNumId w:val="13"/>
  </w:num>
  <w:num w:numId="27">
    <w:abstractNumId w:val="0"/>
  </w:num>
  <w:num w:numId="28">
    <w:abstractNumId w:val="9"/>
  </w:num>
  <w:num w:numId="29">
    <w:abstractNumId w:val="28"/>
  </w:num>
  <w:num w:numId="30">
    <w:abstractNumId w:val="17"/>
  </w:num>
  <w:num w:numId="31">
    <w:abstractNumId w:val="5"/>
  </w:num>
  <w:num w:numId="32">
    <w:abstractNumId w:val="20"/>
  </w:num>
  <w:num w:numId="33">
    <w:abstractNumId w:val="11"/>
  </w:num>
  <w:num w:numId="34">
    <w:abstractNumId w:val="22"/>
  </w:num>
  <w:num w:numId="35">
    <w:abstractNumId w:val="12"/>
  </w:num>
  <w:num w:numId="36">
    <w:abstractNumId w:val="15"/>
  </w:num>
  <w:num w:numId="37">
    <w:abstractNumId w:val="6"/>
  </w:num>
  <w:num w:numId="38">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3B36D8"/>
    <w:rsid w:val="00011122"/>
    <w:rsid w:val="00030814"/>
    <w:rsid w:val="00045770"/>
    <w:rsid w:val="000C4BE5"/>
    <w:rsid w:val="000F065A"/>
    <w:rsid w:val="00110C73"/>
    <w:rsid w:val="00144D57"/>
    <w:rsid w:val="00145CD2"/>
    <w:rsid w:val="001612D9"/>
    <w:rsid w:val="00181232"/>
    <w:rsid w:val="0019128F"/>
    <w:rsid w:val="001A6D92"/>
    <w:rsid w:val="001B55AC"/>
    <w:rsid w:val="001B757C"/>
    <w:rsid w:val="001E39A4"/>
    <w:rsid w:val="002464E1"/>
    <w:rsid w:val="00285467"/>
    <w:rsid w:val="002977E7"/>
    <w:rsid w:val="002E7068"/>
    <w:rsid w:val="002F40B5"/>
    <w:rsid w:val="003024E0"/>
    <w:rsid w:val="00310703"/>
    <w:rsid w:val="00321CB8"/>
    <w:rsid w:val="0037226C"/>
    <w:rsid w:val="003B36D8"/>
    <w:rsid w:val="003C7583"/>
    <w:rsid w:val="003D69B0"/>
    <w:rsid w:val="00424AC6"/>
    <w:rsid w:val="00425A53"/>
    <w:rsid w:val="00432A18"/>
    <w:rsid w:val="004340B1"/>
    <w:rsid w:val="00450CE0"/>
    <w:rsid w:val="0045757A"/>
    <w:rsid w:val="004A2B99"/>
    <w:rsid w:val="004A4EE8"/>
    <w:rsid w:val="004A7589"/>
    <w:rsid w:val="004E3DD1"/>
    <w:rsid w:val="00503539"/>
    <w:rsid w:val="00507710"/>
    <w:rsid w:val="00511BE7"/>
    <w:rsid w:val="00544415"/>
    <w:rsid w:val="00550B73"/>
    <w:rsid w:val="005B30E0"/>
    <w:rsid w:val="005B3EBD"/>
    <w:rsid w:val="005C1EEF"/>
    <w:rsid w:val="005D4031"/>
    <w:rsid w:val="0062291A"/>
    <w:rsid w:val="006349EB"/>
    <w:rsid w:val="00667743"/>
    <w:rsid w:val="006872CF"/>
    <w:rsid w:val="006912F6"/>
    <w:rsid w:val="006B580B"/>
    <w:rsid w:val="006C451C"/>
    <w:rsid w:val="00735934"/>
    <w:rsid w:val="00765ADB"/>
    <w:rsid w:val="007671DA"/>
    <w:rsid w:val="00771E5B"/>
    <w:rsid w:val="00814CF2"/>
    <w:rsid w:val="00857D49"/>
    <w:rsid w:val="00862374"/>
    <w:rsid w:val="008D0637"/>
    <w:rsid w:val="008F085E"/>
    <w:rsid w:val="009458A9"/>
    <w:rsid w:val="00945F75"/>
    <w:rsid w:val="00971E72"/>
    <w:rsid w:val="00992AD9"/>
    <w:rsid w:val="009C0727"/>
    <w:rsid w:val="009C7AB6"/>
    <w:rsid w:val="009E6467"/>
    <w:rsid w:val="00A86367"/>
    <w:rsid w:val="00A95F81"/>
    <w:rsid w:val="00AA0FCF"/>
    <w:rsid w:val="00AA2B51"/>
    <w:rsid w:val="00AB7E4B"/>
    <w:rsid w:val="00AC3AA0"/>
    <w:rsid w:val="00AD3E8A"/>
    <w:rsid w:val="00AF6209"/>
    <w:rsid w:val="00B0357E"/>
    <w:rsid w:val="00B36A57"/>
    <w:rsid w:val="00B41568"/>
    <w:rsid w:val="00B866B4"/>
    <w:rsid w:val="00B92C4A"/>
    <w:rsid w:val="00C2584F"/>
    <w:rsid w:val="00C47A96"/>
    <w:rsid w:val="00C70461"/>
    <w:rsid w:val="00C80F70"/>
    <w:rsid w:val="00C94AEA"/>
    <w:rsid w:val="00C97F6D"/>
    <w:rsid w:val="00CA5475"/>
    <w:rsid w:val="00CD3196"/>
    <w:rsid w:val="00D1263A"/>
    <w:rsid w:val="00D237F9"/>
    <w:rsid w:val="00D25EE1"/>
    <w:rsid w:val="00D412AD"/>
    <w:rsid w:val="00D71D48"/>
    <w:rsid w:val="00D7528D"/>
    <w:rsid w:val="00DD4C3B"/>
    <w:rsid w:val="00DE4E34"/>
    <w:rsid w:val="00E25D4E"/>
    <w:rsid w:val="00E30DAB"/>
    <w:rsid w:val="00E3535B"/>
    <w:rsid w:val="00E4082E"/>
    <w:rsid w:val="00E4377C"/>
    <w:rsid w:val="00E95A25"/>
    <w:rsid w:val="00EE181C"/>
    <w:rsid w:val="00F16950"/>
    <w:rsid w:val="00F333AB"/>
    <w:rsid w:val="00F34EB9"/>
    <w:rsid w:val="00F73713"/>
    <w:rsid w:val="00FE22B5"/>
    <w:rsid w:val="00FF4E2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69707"/>
  <w15:docId w15:val="{A03A53C9-9511-4D4C-9382-AB7597D29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B36D8"/>
    <w:pPr>
      <w:spacing w:before="120" w:after="0" w:line="360" w:lineRule="auto"/>
    </w:pPr>
    <w:rPr>
      <w:rFonts w:ascii="Times New Roman" w:hAnsi="Times New Roman"/>
      <w:sz w:val="24"/>
      <w:lang w:val="en-GB"/>
    </w:rPr>
  </w:style>
  <w:style w:type="paragraph" w:styleId="1">
    <w:name w:val="heading 1"/>
    <w:basedOn w:val="a"/>
    <w:next w:val="a"/>
    <w:link w:val="1Char"/>
    <w:uiPriority w:val="9"/>
    <w:qFormat/>
    <w:rsid w:val="00945F75"/>
    <w:pPr>
      <w:keepNext/>
      <w:keepLines/>
      <w:numPr>
        <w:numId w:val="1"/>
      </w:numPr>
      <w:spacing w:before="100" w:beforeAutospacing="1" w:after="120"/>
      <w:outlineLvl w:val="0"/>
    </w:pPr>
    <w:rPr>
      <w:rFonts w:eastAsiaTheme="majorEastAsia" w:cstheme="majorBidi"/>
      <w:b/>
      <w:color w:val="000000" w:themeColor="text1"/>
      <w:sz w:val="28"/>
      <w:szCs w:val="32"/>
    </w:rPr>
  </w:style>
  <w:style w:type="paragraph" w:styleId="2">
    <w:name w:val="heading 2"/>
    <w:basedOn w:val="a"/>
    <w:next w:val="a"/>
    <w:link w:val="2Char"/>
    <w:uiPriority w:val="9"/>
    <w:unhideWhenUsed/>
    <w:qFormat/>
    <w:rsid w:val="00945F75"/>
    <w:pPr>
      <w:keepNext/>
      <w:keepLines/>
      <w:outlineLvl w:val="1"/>
    </w:pPr>
    <w:rPr>
      <w:rFonts w:eastAsiaTheme="majorEastAsia" w:cstheme="majorBidi"/>
      <w:b/>
      <w:color w:val="000000" w:themeColor="text1"/>
      <w:szCs w:val="26"/>
    </w:rPr>
  </w:style>
  <w:style w:type="paragraph" w:styleId="3">
    <w:name w:val="heading 3"/>
    <w:basedOn w:val="a"/>
    <w:next w:val="a"/>
    <w:link w:val="3Char"/>
    <w:uiPriority w:val="9"/>
    <w:unhideWhenUsed/>
    <w:qFormat/>
    <w:rsid w:val="00945F75"/>
    <w:pPr>
      <w:keepNext/>
      <w:keepLines/>
      <w:numPr>
        <w:ilvl w:val="2"/>
        <w:numId w:val="1"/>
      </w:numPr>
      <w:spacing w:before="40"/>
      <w:outlineLvl w:val="2"/>
    </w:pPr>
    <w:rPr>
      <w:rFonts w:eastAsiaTheme="majorEastAsia" w:cstheme="majorBidi"/>
      <w:b/>
      <w:color w:val="000000" w:themeColor="text1"/>
      <w:szCs w:val="24"/>
    </w:rPr>
  </w:style>
  <w:style w:type="paragraph" w:styleId="4">
    <w:name w:val="heading 4"/>
    <w:basedOn w:val="a"/>
    <w:next w:val="a"/>
    <w:link w:val="4Char"/>
    <w:uiPriority w:val="9"/>
    <w:unhideWhenUsed/>
    <w:qFormat/>
    <w:rsid w:val="00945F75"/>
    <w:pPr>
      <w:keepNext/>
      <w:keepLines/>
      <w:numPr>
        <w:ilvl w:val="3"/>
        <w:numId w:val="1"/>
      </w:numPr>
      <w:spacing w:before="40"/>
      <w:outlineLvl w:val="3"/>
    </w:pPr>
    <w:rPr>
      <w:rFonts w:asciiTheme="majorHAnsi" w:eastAsiaTheme="majorEastAsia" w:hAnsiTheme="majorHAnsi" w:cstheme="majorBidi"/>
      <w:i/>
      <w:iCs/>
      <w:color w:val="2F5496" w:themeColor="accent1" w:themeShade="BF"/>
    </w:rPr>
  </w:style>
  <w:style w:type="paragraph" w:styleId="5">
    <w:name w:val="heading 5"/>
    <w:basedOn w:val="a"/>
    <w:next w:val="a"/>
    <w:link w:val="5Char"/>
    <w:uiPriority w:val="9"/>
    <w:unhideWhenUsed/>
    <w:qFormat/>
    <w:rsid w:val="00945F75"/>
    <w:pPr>
      <w:keepNext/>
      <w:keepLines/>
      <w:numPr>
        <w:ilvl w:val="4"/>
        <w:numId w:val="1"/>
      </w:numPr>
      <w:spacing w:before="40"/>
      <w:outlineLvl w:val="4"/>
    </w:pPr>
    <w:rPr>
      <w:rFonts w:asciiTheme="majorHAnsi" w:eastAsiaTheme="majorEastAsia" w:hAnsiTheme="majorHAnsi" w:cstheme="majorBidi"/>
      <w:color w:val="2F5496" w:themeColor="accent1" w:themeShade="BF"/>
    </w:rPr>
  </w:style>
  <w:style w:type="paragraph" w:styleId="6">
    <w:name w:val="heading 6"/>
    <w:basedOn w:val="a"/>
    <w:next w:val="a"/>
    <w:link w:val="6Char"/>
    <w:uiPriority w:val="9"/>
    <w:unhideWhenUsed/>
    <w:qFormat/>
    <w:rsid w:val="00945F75"/>
    <w:pPr>
      <w:keepNext/>
      <w:keepLines/>
      <w:numPr>
        <w:ilvl w:val="5"/>
        <w:numId w:val="1"/>
      </w:numPr>
      <w:spacing w:before="40"/>
      <w:outlineLvl w:val="5"/>
    </w:pPr>
    <w:rPr>
      <w:rFonts w:asciiTheme="majorHAnsi" w:eastAsiaTheme="majorEastAsia" w:hAnsiTheme="majorHAnsi" w:cstheme="majorBidi"/>
      <w:color w:val="1F3763" w:themeColor="accent1" w:themeShade="7F"/>
    </w:rPr>
  </w:style>
  <w:style w:type="paragraph" w:styleId="7">
    <w:name w:val="heading 7"/>
    <w:basedOn w:val="a"/>
    <w:next w:val="a"/>
    <w:link w:val="7Char"/>
    <w:uiPriority w:val="9"/>
    <w:unhideWhenUsed/>
    <w:qFormat/>
    <w:rsid w:val="00945F75"/>
    <w:pPr>
      <w:keepNext/>
      <w:keepLines/>
      <w:numPr>
        <w:ilvl w:val="6"/>
        <w:numId w:val="1"/>
      </w:numPr>
      <w:spacing w:before="40"/>
      <w:outlineLvl w:val="6"/>
    </w:pPr>
    <w:rPr>
      <w:rFonts w:asciiTheme="majorHAnsi" w:eastAsiaTheme="majorEastAsia" w:hAnsiTheme="majorHAnsi" w:cstheme="majorBidi"/>
      <w:i/>
      <w:iCs/>
      <w:color w:val="1F3763" w:themeColor="accent1" w:themeShade="7F"/>
    </w:rPr>
  </w:style>
  <w:style w:type="paragraph" w:styleId="8">
    <w:name w:val="heading 8"/>
    <w:basedOn w:val="a"/>
    <w:next w:val="a"/>
    <w:link w:val="8Char"/>
    <w:uiPriority w:val="9"/>
    <w:unhideWhenUsed/>
    <w:qFormat/>
    <w:rsid w:val="00945F75"/>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9">
    <w:name w:val="heading 9"/>
    <w:basedOn w:val="a"/>
    <w:next w:val="a"/>
    <w:link w:val="9Char"/>
    <w:uiPriority w:val="9"/>
    <w:unhideWhenUsed/>
    <w:qFormat/>
    <w:rsid w:val="00945F75"/>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B36D8"/>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caption"/>
    <w:basedOn w:val="a"/>
    <w:next w:val="a"/>
    <w:uiPriority w:val="35"/>
    <w:unhideWhenUsed/>
    <w:qFormat/>
    <w:rsid w:val="003B36D8"/>
    <w:pPr>
      <w:jc w:val="center"/>
    </w:pPr>
    <w:rPr>
      <w:i/>
      <w:iCs/>
      <w:color w:val="000000" w:themeColor="text1"/>
      <w:szCs w:val="18"/>
    </w:rPr>
  </w:style>
  <w:style w:type="paragraph" w:styleId="a5">
    <w:name w:val="header"/>
    <w:basedOn w:val="a"/>
    <w:link w:val="Char"/>
    <w:uiPriority w:val="99"/>
    <w:unhideWhenUsed/>
    <w:rsid w:val="00F333AB"/>
    <w:pPr>
      <w:tabs>
        <w:tab w:val="center" w:pos="4680"/>
        <w:tab w:val="right" w:pos="9360"/>
      </w:tabs>
      <w:spacing w:before="0" w:line="240" w:lineRule="auto"/>
    </w:pPr>
  </w:style>
  <w:style w:type="character" w:customStyle="1" w:styleId="Char">
    <w:name w:val="머리글 Char"/>
    <w:basedOn w:val="a0"/>
    <w:link w:val="a5"/>
    <w:uiPriority w:val="99"/>
    <w:rsid w:val="00F333AB"/>
    <w:rPr>
      <w:rFonts w:ascii="Times New Roman" w:hAnsi="Times New Roman"/>
      <w:sz w:val="24"/>
      <w:lang w:val="en-GB"/>
    </w:rPr>
  </w:style>
  <w:style w:type="paragraph" w:styleId="a6">
    <w:name w:val="footer"/>
    <w:basedOn w:val="a"/>
    <w:link w:val="Char0"/>
    <w:uiPriority w:val="99"/>
    <w:unhideWhenUsed/>
    <w:rsid w:val="00F333AB"/>
    <w:pPr>
      <w:tabs>
        <w:tab w:val="center" w:pos="4680"/>
        <w:tab w:val="right" w:pos="9360"/>
      </w:tabs>
      <w:spacing w:before="0" w:line="240" w:lineRule="auto"/>
    </w:pPr>
  </w:style>
  <w:style w:type="character" w:customStyle="1" w:styleId="Char0">
    <w:name w:val="바닥글 Char"/>
    <w:basedOn w:val="a0"/>
    <w:link w:val="a6"/>
    <w:uiPriority w:val="99"/>
    <w:rsid w:val="00F333AB"/>
    <w:rPr>
      <w:rFonts w:ascii="Times New Roman" w:hAnsi="Times New Roman"/>
      <w:sz w:val="24"/>
      <w:lang w:val="en-GB"/>
    </w:rPr>
  </w:style>
  <w:style w:type="character" w:customStyle="1" w:styleId="1Char">
    <w:name w:val="제목 1 Char"/>
    <w:basedOn w:val="a0"/>
    <w:link w:val="1"/>
    <w:uiPriority w:val="9"/>
    <w:rsid w:val="00945F75"/>
    <w:rPr>
      <w:rFonts w:ascii="Times New Roman" w:eastAsiaTheme="majorEastAsia" w:hAnsi="Times New Roman" w:cstheme="majorBidi"/>
      <w:b/>
      <w:color w:val="000000" w:themeColor="text1"/>
      <w:sz w:val="28"/>
      <w:szCs w:val="32"/>
      <w:lang w:val="en-GB"/>
    </w:rPr>
  </w:style>
  <w:style w:type="character" w:customStyle="1" w:styleId="2Char">
    <w:name w:val="제목 2 Char"/>
    <w:basedOn w:val="a0"/>
    <w:link w:val="2"/>
    <w:uiPriority w:val="9"/>
    <w:rsid w:val="00945F75"/>
    <w:rPr>
      <w:rFonts w:ascii="Times New Roman" w:eastAsiaTheme="majorEastAsia" w:hAnsi="Times New Roman" w:cstheme="majorBidi"/>
      <w:b/>
      <w:color w:val="000000" w:themeColor="text1"/>
      <w:sz w:val="24"/>
      <w:szCs w:val="26"/>
      <w:lang w:val="en-GB"/>
    </w:rPr>
  </w:style>
  <w:style w:type="character" w:customStyle="1" w:styleId="3Char">
    <w:name w:val="제목 3 Char"/>
    <w:basedOn w:val="a0"/>
    <w:link w:val="3"/>
    <w:uiPriority w:val="9"/>
    <w:rsid w:val="00945F75"/>
    <w:rPr>
      <w:rFonts w:ascii="Times New Roman" w:eastAsiaTheme="majorEastAsia" w:hAnsi="Times New Roman" w:cstheme="majorBidi"/>
      <w:b/>
      <w:color w:val="000000" w:themeColor="text1"/>
      <w:sz w:val="24"/>
      <w:szCs w:val="24"/>
      <w:lang w:val="en-GB"/>
    </w:rPr>
  </w:style>
  <w:style w:type="character" w:customStyle="1" w:styleId="4Char">
    <w:name w:val="제목 4 Char"/>
    <w:basedOn w:val="a0"/>
    <w:link w:val="4"/>
    <w:uiPriority w:val="9"/>
    <w:rsid w:val="00945F75"/>
    <w:rPr>
      <w:rFonts w:asciiTheme="majorHAnsi" w:eastAsiaTheme="majorEastAsia" w:hAnsiTheme="majorHAnsi" w:cstheme="majorBidi"/>
      <w:i/>
      <w:iCs/>
      <w:color w:val="2F5496" w:themeColor="accent1" w:themeShade="BF"/>
      <w:sz w:val="24"/>
      <w:lang w:val="en-GB"/>
    </w:rPr>
  </w:style>
  <w:style w:type="character" w:customStyle="1" w:styleId="5Char">
    <w:name w:val="제목 5 Char"/>
    <w:basedOn w:val="a0"/>
    <w:link w:val="5"/>
    <w:uiPriority w:val="9"/>
    <w:rsid w:val="00945F75"/>
    <w:rPr>
      <w:rFonts w:asciiTheme="majorHAnsi" w:eastAsiaTheme="majorEastAsia" w:hAnsiTheme="majorHAnsi" w:cstheme="majorBidi"/>
      <w:color w:val="2F5496" w:themeColor="accent1" w:themeShade="BF"/>
      <w:sz w:val="24"/>
      <w:lang w:val="en-GB"/>
    </w:rPr>
  </w:style>
  <w:style w:type="character" w:customStyle="1" w:styleId="6Char">
    <w:name w:val="제목 6 Char"/>
    <w:basedOn w:val="a0"/>
    <w:link w:val="6"/>
    <w:uiPriority w:val="9"/>
    <w:rsid w:val="00945F75"/>
    <w:rPr>
      <w:rFonts w:asciiTheme="majorHAnsi" w:eastAsiaTheme="majorEastAsia" w:hAnsiTheme="majorHAnsi" w:cstheme="majorBidi"/>
      <w:color w:val="1F3763" w:themeColor="accent1" w:themeShade="7F"/>
      <w:sz w:val="24"/>
      <w:lang w:val="en-GB"/>
    </w:rPr>
  </w:style>
  <w:style w:type="character" w:customStyle="1" w:styleId="7Char">
    <w:name w:val="제목 7 Char"/>
    <w:basedOn w:val="a0"/>
    <w:link w:val="7"/>
    <w:uiPriority w:val="9"/>
    <w:rsid w:val="00945F75"/>
    <w:rPr>
      <w:rFonts w:asciiTheme="majorHAnsi" w:eastAsiaTheme="majorEastAsia" w:hAnsiTheme="majorHAnsi" w:cstheme="majorBidi"/>
      <w:i/>
      <w:iCs/>
      <w:color w:val="1F3763" w:themeColor="accent1" w:themeShade="7F"/>
      <w:sz w:val="24"/>
      <w:lang w:val="en-GB"/>
    </w:rPr>
  </w:style>
  <w:style w:type="character" w:customStyle="1" w:styleId="8Char">
    <w:name w:val="제목 8 Char"/>
    <w:basedOn w:val="a0"/>
    <w:link w:val="8"/>
    <w:uiPriority w:val="9"/>
    <w:rsid w:val="00945F75"/>
    <w:rPr>
      <w:rFonts w:asciiTheme="majorHAnsi" w:eastAsiaTheme="majorEastAsia" w:hAnsiTheme="majorHAnsi" w:cstheme="majorBidi"/>
      <w:color w:val="272727" w:themeColor="text1" w:themeTint="D8"/>
      <w:sz w:val="21"/>
      <w:szCs w:val="21"/>
      <w:lang w:val="en-GB"/>
    </w:rPr>
  </w:style>
  <w:style w:type="character" w:customStyle="1" w:styleId="9Char">
    <w:name w:val="제목 9 Char"/>
    <w:basedOn w:val="a0"/>
    <w:link w:val="9"/>
    <w:uiPriority w:val="9"/>
    <w:rsid w:val="00945F75"/>
    <w:rPr>
      <w:rFonts w:asciiTheme="majorHAnsi" w:eastAsiaTheme="majorEastAsia" w:hAnsiTheme="majorHAnsi" w:cstheme="majorBidi"/>
      <w:i/>
      <w:iCs/>
      <w:color w:val="272727" w:themeColor="text1" w:themeTint="D8"/>
      <w:sz w:val="21"/>
      <w:szCs w:val="21"/>
      <w:lang w:val="en-GB"/>
    </w:rPr>
  </w:style>
  <w:style w:type="paragraph" w:styleId="a7">
    <w:name w:val="List Paragraph"/>
    <w:basedOn w:val="a"/>
    <w:uiPriority w:val="34"/>
    <w:qFormat/>
    <w:rsid w:val="00945F75"/>
    <w:pPr>
      <w:ind w:left="720"/>
      <w:contextualSpacing/>
    </w:pPr>
  </w:style>
  <w:style w:type="character" w:customStyle="1" w:styleId="apple-converted-space">
    <w:name w:val="apple-converted-space"/>
    <w:basedOn w:val="a0"/>
    <w:rsid w:val="00507710"/>
  </w:style>
  <w:style w:type="character" w:styleId="a8">
    <w:name w:val="Hyperlink"/>
    <w:basedOn w:val="a0"/>
    <w:uiPriority w:val="99"/>
    <w:unhideWhenUsed/>
    <w:rsid w:val="00507710"/>
    <w:rPr>
      <w:color w:val="0000FF"/>
      <w:u w:val="single"/>
    </w:rPr>
  </w:style>
  <w:style w:type="paragraph" w:styleId="a9">
    <w:name w:val="footnote text"/>
    <w:basedOn w:val="a"/>
    <w:link w:val="Char1"/>
    <w:uiPriority w:val="99"/>
    <w:unhideWhenUsed/>
    <w:rsid w:val="00507710"/>
    <w:pPr>
      <w:spacing w:line="240" w:lineRule="auto"/>
    </w:pPr>
    <w:rPr>
      <w:sz w:val="20"/>
      <w:szCs w:val="20"/>
    </w:rPr>
  </w:style>
  <w:style w:type="character" w:customStyle="1" w:styleId="Char1">
    <w:name w:val="각주 텍스트 Char"/>
    <w:basedOn w:val="a0"/>
    <w:link w:val="a9"/>
    <w:uiPriority w:val="99"/>
    <w:rsid w:val="00507710"/>
    <w:rPr>
      <w:rFonts w:ascii="Times New Roman" w:hAnsi="Times New Roman"/>
      <w:sz w:val="20"/>
      <w:szCs w:val="20"/>
      <w:lang w:val="en-GB"/>
    </w:rPr>
  </w:style>
  <w:style w:type="character" w:styleId="aa">
    <w:name w:val="footnote reference"/>
    <w:basedOn w:val="a0"/>
    <w:uiPriority w:val="99"/>
    <w:semiHidden/>
    <w:unhideWhenUsed/>
    <w:rsid w:val="00507710"/>
    <w:rPr>
      <w:vertAlign w:val="superscript"/>
    </w:rPr>
  </w:style>
  <w:style w:type="paragraph" w:styleId="ab">
    <w:name w:val="Normal (Web)"/>
    <w:basedOn w:val="a"/>
    <w:uiPriority w:val="99"/>
    <w:unhideWhenUsed/>
    <w:rsid w:val="00507710"/>
    <w:pPr>
      <w:spacing w:before="100" w:beforeAutospacing="1" w:after="100" w:afterAutospacing="1" w:line="240" w:lineRule="auto"/>
    </w:pPr>
    <w:rPr>
      <w:rFonts w:eastAsia="Times New Roman" w:cs="Times New Roman"/>
      <w:szCs w:val="24"/>
    </w:rPr>
  </w:style>
  <w:style w:type="paragraph" w:customStyle="1" w:styleId="Default">
    <w:name w:val="Default"/>
    <w:rsid w:val="00507710"/>
    <w:pPr>
      <w:autoSpaceDE w:val="0"/>
      <w:autoSpaceDN w:val="0"/>
      <w:adjustRightInd w:val="0"/>
      <w:spacing w:after="0" w:line="240" w:lineRule="auto"/>
    </w:pPr>
    <w:rPr>
      <w:rFonts w:ascii="Times New Roman" w:hAnsi="Times New Roman" w:cs="Times New Roman"/>
      <w:color w:val="000000"/>
      <w:sz w:val="24"/>
      <w:szCs w:val="24"/>
      <w:lang w:val="en-GB"/>
    </w:rPr>
  </w:style>
  <w:style w:type="paragraph" w:customStyle="1" w:styleId="CM37">
    <w:name w:val="CM37"/>
    <w:basedOn w:val="Default"/>
    <w:next w:val="Default"/>
    <w:uiPriority w:val="99"/>
    <w:rsid w:val="00507710"/>
    <w:rPr>
      <w:color w:val="auto"/>
    </w:rPr>
  </w:style>
  <w:style w:type="character" w:styleId="ac">
    <w:name w:val="Placeholder Text"/>
    <w:basedOn w:val="a0"/>
    <w:uiPriority w:val="99"/>
    <w:semiHidden/>
    <w:rsid w:val="00507710"/>
    <w:rPr>
      <w:color w:val="808080"/>
    </w:rPr>
  </w:style>
  <w:style w:type="paragraph" w:styleId="ad">
    <w:name w:val="Balloon Text"/>
    <w:basedOn w:val="a"/>
    <w:link w:val="Char2"/>
    <w:uiPriority w:val="99"/>
    <w:semiHidden/>
    <w:unhideWhenUsed/>
    <w:rsid w:val="00507710"/>
    <w:pPr>
      <w:spacing w:line="240" w:lineRule="auto"/>
    </w:pPr>
    <w:rPr>
      <w:rFonts w:ascii="Segoe UI" w:hAnsi="Segoe UI" w:cs="Segoe UI"/>
      <w:sz w:val="18"/>
      <w:szCs w:val="18"/>
    </w:rPr>
  </w:style>
  <w:style w:type="character" w:customStyle="1" w:styleId="Char2">
    <w:name w:val="풍선 도움말 텍스트 Char"/>
    <w:basedOn w:val="a0"/>
    <w:link w:val="ad"/>
    <w:uiPriority w:val="99"/>
    <w:semiHidden/>
    <w:rsid w:val="00507710"/>
    <w:rPr>
      <w:rFonts w:ascii="Segoe UI" w:hAnsi="Segoe UI" w:cs="Segoe UI"/>
      <w:sz w:val="18"/>
      <w:szCs w:val="18"/>
      <w:lang w:val="en-GB"/>
    </w:rPr>
  </w:style>
  <w:style w:type="character" w:styleId="ae">
    <w:name w:val="annotation reference"/>
    <w:basedOn w:val="a0"/>
    <w:uiPriority w:val="99"/>
    <w:semiHidden/>
    <w:unhideWhenUsed/>
    <w:rsid w:val="00507710"/>
    <w:rPr>
      <w:sz w:val="16"/>
      <w:szCs w:val="16"/>
    </w:rPr>
  </w:style>
  <w:style w:type="paragraph" w:styleId="af">
    <w:name w:val="annotation text"/>
    <w:basedOn w:val="a"/>
    <w:link w:val="Char3"/>
    <w:uiPriority w:val="99"/>
    <w:unhideWhenUsed/>
    <w:rsid w:val="00507710"/>
    <w:pPr>
      <w:spacing w:line="240" w:lineRule="auto"/>
    </w:pPr>
    <w:rPr>
      <w:sz w:val="20"/>
      <w:szCs w:val="20"/>
    </w:rPr>
  </w:style>
  <w:style w:type="character" w:customStyle="1" w:styleId="Char3">
    <w:name w:val="메모 텍스트 Char"/>
    <w:basedOn w:val="a0"/>
    <w:link w:val="af"/>
    <w:uiPriority w:val="99"/>
    <w:rsid w:val="00507710"/>
    <w:rPr>
      <w:rFonts w:ascii="Times New Roman" w:hAnsi="Times New Roman"/>
      <w:sz w:val="20"/>
      <w:szCs w:val="20"/>
      <w:lang w:val="en-GB"/>
    </w:rPr>
  </w:style>
  <w:style w:type="paragraph" w:styleId="af0">
    <w:name w:val="annotation subject"/>
    <w:basedOn w:val="af"/>
    <w:next w:val="af"/>
    <w:link w:val="Char4"/>
    <w:uiPriority w:val="99"/>
    <w:semiHidden/>
    <w:unhideWhenUsed/>
    <w:rsid w:val="00507710"/>
    <w:rPr>
      <w:b/>
      <w:bCs/>
    </w:rPr>
  </w:style>
  <w:style w:type="character" w:customStyle="1" w:styleId="Char4">
    <w:name w:val="메모 주제 Char"/>
    <w:basedOn w:val="Char3"/>
    <w:link w:val="af0"/>
    <w:uiPriority w:val="99"/>
    <w:semiHidden/>
    <w:rsid w:val="00507710"/>
    <w:rPr>
      <w:rFonts w:ascii="Times New Roman" w:hAnsi="Times New Roman"/>
      <w:b/>
      <w:bCs/>
      <w:sz w:val="20"/>
      <w:szCs w:val="20"/>
      <w:lang w:val="en-GB"/>
    </w:rPr>
  </w:style>
  <w:style w:type="table" w:styleId="af1">
    <w:name w:val="Grid Table Light"/>
    <w:basedOn w:val="a1"/>
    <w:uiPriority w:val="40"/>
    <w:rsid w:val="00507710"/>
    <w:pPr>
      <w:spacing w:after="0" w:line="240" w:lineRule="auto"/>
    </w:pPr>
    <w:rPr>
      <w:lang w:val="en-GB"/>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50">
    <w:name w:val="Plain Table 5"/>
    <w:basedOn w:val="a1"/>
    <w:uiPriority w:val="45"/>
    <w:rsid w:val="00507710"/>
    <w:pPr>
      <w:spacing w:after="0" w:line="240" w:lineRule="auto"/>
    </w:pPr>
    <w:rPr>
      <w:lang w:val="en-GB"/>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EndNoteBibliography">
    <w:name w:val="EndNote Bibliography"/>
    <w:basedOn w:val="a"/>
    <w:link w:val="EndNoteBibliographyChar"/>
    <w:rsid w:val="00507710"/>
    <w:pPr>
      <w:spacing w:line="240" w:lineRule="auto"/>
    </w:pPr>
    <w:rPr>
      <w:rFonts w:ascii="Calibri" w:hAnsi="Calibri"/>
      <w:noProof/>
    </w:rPr>
  </w:style>
  <w:style w:type="character" w:customStyle="1" w:styleId="EndNoteBibliographyChar">
    <w:name w:val="EndNote Bibliography Char"/>
    <w:basedOn w:val="a0"/>
    <w:link w:val="EndNoteBibliography"/>
    <w:rsid w:val="00507710"/>
    <w:rPr>
      <w:rFonts w:ascii="Calibri" w:hAnsi="Calibri"/>
      <w:noProof/>
      <w:sz w:val="24"/>
      <w:lang w:val="en-GB"/>
    </w:rPr>
  </w:style>
  <w:style w:type="paragraph" w:styleId="20">
    <w:name w:val="toc 2"/>
    <w:basedOn w:val="a"/>
    <w:next w:val="a"/>
    <w:autoRedefine/>
    <w:uiPriority w:val="39"/>
    <w:unhideWhenUsed/>
    <w:qFormat/>
    <w:rsid w:val="00507710"/>
    <w:pPr>
      <w:spacing w:after="100" w:line="276" w:lineRule="auto"/>
      <w:ind w:left="220"/>
    </w:pPr>
    <w:rPr>
      <w:lang w:val="en-US" w:eastAsia="zh-CN"/>
    </w:rPr>
  </w:style>
  <w:style w:type="paragraph" w:styleId="10">
    <w:name w:val="toc 1"/>
    <w:basedOn w:val="a"/>
    <w:next w:val="a"/>
    <w:autoRedefine/>
    <w:uiPriority w:val="39"/>
    <w:unhideWhenUsed/>
    <w:qFormat/>
    <w:rsid w:val="00507710"/>
    <w:pPr>
      <w:tabs>
        <w:tab w:val="right" w:leader="dot" w:pos="9016"/>
      </w:tabs>
      <w:spacing w:after="100"/>
      <w:jc w:val="distribute"/>
    </w:pPr>
    <w:rPr>
      <w:rFonts w:cs="Times New Roman"/>
      <w:b/>
      <w:noProof/>
      <w:szCs w:val="30"/>
      <w:lang w:val="en-US"/>
    </w:rPr>
  </w:style>
  <w:style w:type="paragraph" w:styleId="TOC">
    <w:name w:val="TOC Heading"/>
    <w:basedOn w:val="1"/>
    <w:next w:val="a"/>
    <w:uiPriority w:val="39"/>
    <w:unhideWhenUsed/>
    <w:qFormat/>
    <w:rsid w:val="00507710"/>
    <w:pPr>
      <w:outlineLvl w:val="9"/>
    </w:pPr>
    <w:rPr>
      <w:lang w:val="en-US" w:eastAsia="en-US"/>
    </w:rPr>
  </w:style>
  <w:style w:type="paragraph" w:customStyle="1" w:styleId="Style1">
    <w:name w:val="Style1"/>
    <w:basedOn w:val="3"/>
    <w:link w:val="Style1Char"/>
    <w:qFormat/>
    <w:rsid w:val="00507710"/>
  </w:style>
  <w:style w:type="paragraph" w:customStyle="1" w:styleId="Style2">
    <w:name w:val="Style2"/>
    <w:basedOn w:val="Style1"/>
    <w:link w:val="Style2Char"/>
    <w:qFormat/>
    <w:rsid w:val="00507710"/>
  </w:style>
  <w:style w:type="character" w:customStyle="1" w:styleId="Style1Char">
    <w:name w:val="Style1 Char"/>
    <w:basedOn w:val="3Char"/>
    <w:link w:val="Style1"/>
    <w:rsid w:val="00507710"/>
    <w:rPr>
      <w:rFonts w:ascii="Times New Roman" w:eastAsiaTheme="majorEastAsia" w:hAnsi="Times New Roman" w:cstheme="majorBidi"/>
      <w:b/>
      <w:color w:val="000000" w:themeColor="text1"/>
      <w:sz w:val="24"/>
      <w:szCs w:val="24"/>
      <w:lang w:val="en-GB"/>
    </w:rPr>
  </w:style>
  <w:style w:type="paragraph" w:styleId="30">
    <w:name w:val="toc 3"/>
    <w:basedOn w:val="a"/>
    <w:next w:val="a"/>
    <w:autoRedefine/>
    <w:uiPriority w:val="39"/>
    <w:unhideWhenUsed/>
    <w:rsid w:val="00507710"/>
    <w:pPr>
      <w:tabs>
        <w:tab w:val="left" w:pos="1320"/>
        <w:tab w:val="right" w:leader="dot" w:pos="9016"/>
      </w:tabs>
      <w:spacing w:before="0" w:line="240" w:lineRule="auto"/>
      <w:ind w:left="440"/>
    </w:pPr>
  </w:style>
  <w:style w:type="character" w:customStyle="1" w:styleId="Style2Char">
    <w:name w:val="Style2 Char"/>
    <w:basedOn w:val="Style1Char"/>
    <w:link w:val="Style2"/>
    <w:rsid w:val="00507710"/>
    <w:rPr>
      <w:rFonts w:ascii="Times New Roman" w:eastAsiaTheme="majorEastAsia" w:hAnsi="Times New Roman" w:cstheme="majorBidi"/>
      <w:b/>
      <w:color w:val="000000" w:themeColor="text1"/>
      <w:sz w:val="24"/>
      <w:szCs w:val="24"/>
      <w:lang w:val="en-GB"/>
    </w:rPr>
  </w:style>
  <w:style w:type="paragraph" w:styleId="af2">
    <w:name w:val="No Spacing"/>
    <w:basedOn w:val="3"/>
    <w:uiPriority w:val="1"/>
    <w:qFormat/>
    <w:rsid w:val="00507710"/>
    <w:pPr>
      <w:spacing w:line="240" w:lineRule="auto"/>
    </w:pPr>
  </w:style>
  <w:style w:type="paragraph" w:styleId="af3">
    <w:name w:val="table of figures"/>
    <w:basedOn w:val="a"/>
    <w:next w:val="a"/>
    <w:uiPriority w:val="99"/>
    <w:unhideWhenUsed/>
    <w:rsid w:val="00507710"/>
  </w:style>
  <w:style w:type="character" w:styleId="af4">
    <w:name w:val="Strong"/>
    <w:basedOn w:val="a0"/>
    <w:uiPriority w:val="22"/>
    <w:qFormat/>
    <w:rsid w:val="00507710"/>
    <w:rPr>
      <w:b/>
      <w:bCs/>
    </w:rPr>
  </w:style>
  <w:style w:type="paragraph" w:styleId="af5">
    <w:name w:val="Body Text"/>
    <w:basedOn w:val="a"/>
    <w:link w:val="Char5"/>
    <w:uiPriority w:val="99"/>
    <w:qFormat/>
    <w:rsid w:val="00507710"/>
    <w:pPr>
      <w:autoSpaceDE w:val="0"/>
      <w:autoSpaceDN w:val="0"/>
      <w:adjustRightInd w:val="0"/>
      <w:spacing w:before="37" w:line="240" w:lineRule="auto"/>
    </w:pPr>
    <w:rPr>
      <w:rFonts w:ascii="Trebuchet MS" w:hAnsi="Trebuchet MS" w:cs="Trebuchet MS"/>
      <w:b/>
      <w:bCs/>
      <w:sz w:val="15"/>
      <w:szCs w:val="15"/>
    </w:rPr>
  </w:style>
  <w:style w:type="character" w:customStyle="1" w:styleId="Char5">
    <w:name w:val="본문 Char"/>
    <w:basedOn w:val="a0"/>
    <w:link w:val="af5"/>
    <w:uiPriority w:val="99"/>
    <w:rsid w:val="00507710"/>
    <w:rPr>
      <w:rFonts w:ascii="Trebuchet MS" w:hAnsi="Trebuchet MS" w:cs="Trebuchet MS"/>
      <w:b/>
      <w:bCs/>
      <w:sz w:val="15"/>
      <w:szCs w:val="15"/>
      <w:lang w:val="en-GB"/>
    </w:rPr>
  </w:style>
  <w:style w:type="paragraph" w:styleId="af6">
    <w:name w:val="Revision"/>
    <w:hidden/>
    <w:uiPriority w:val="99"/>
    <w:semiHidden/>
    <w:rsid w:val="00507710"/>
    <w:pPr>
      <w:spacing w:after="0" w:line="240" w:lineRule="auto"/>
    </w:pPr>
    <w:rPr>
      <w:lang w:val="en-GB"/>
    </w:rPr>
  </w:style>
  <w:style w:type="numbering" w:customStyle="1" w:styleId="Style3">
    <w:name w:val="Style3"/>
    <w:uiPriority w:val="99"/>
    <w:rsid w:val="00507710"/>
    <w:pPr>
      <w:numPr>
        <w:numId w:val="2"/>
      </w:numPr>
    </w:pPr>
  </w:style>
  <w:style w:type="numbering" w:customStyle="1" w:styleId="Style4">
    <w:name w:val="Style4"/>
    <w:uiPriority w:val="99"/>
    <w:rsid w:val="00507710"/>
    <w:pPr>
      <w:numPr>
        <w:numId w:val="3"/>
      </w:numPr>
    </w:pPr>
  </w:style>
  <w:style w:type="numbering" w:customStyle="1" w:styleId="Style5">
    <w:name w:val="Style5"/>
    <w:uiPriority w:val="99"/>
    <w:rsid w:val="00507710"/>
    <w:pPr>
      <w:numPr>
        <w:numId w:val="4"/>
      </w:numPr>
    </w:pPr>
  </w:style>
  <w:style w:type="numbering" w:customStyle="1" w:styleId="Style6">
    <w:name w:val="Style6"/>
    <w:uiPriority w:val="99"/>
    <w:rsid w:val="00507710"/>
    <w:pPr>
      <w:numPr>
        <w:numId w:val="5"/>
      </w:numPr>
    </w:pPr>
  </w:style>
  <w:style w:type="numbering" w:customStyle="1" w:styleId="Style7">
    <w:name w:val="Style7"/>
    <w:uiPriority w:val="99"/>
    <w:rsid w:val="00507710"/>
    <w:pPr>
      <w:numPr>
        <w:numId w:val="6"/>
      </w:numPr>
    </w:pPr>
  </w:style>
  <w:style w:type="numbering" w:customStyle="1" w:styleId="Style8">
    <w:name w:val="Style8"/>
    <w:uiPriority w:val="99"/>
    <w:rsid w:val="00507710"/>
    <w:pPr>
      <w:numPr>
        <w:numId w:val="7"/>
      </w:numPr>
    </w:pPr>
  </w:style>
  <w:style w:type="numbering" w:customStyle="1" w:styleId="Style9">
    <w:name w:val="Style9"/>
    <w:uiPriority w:val="99"/>
    <w:rsid w:val="00507710"/>
    <w:pPr>
      <w:numPr>
        <w:numId w:val="8"/>
      </w:numPr>
    </w:pPr>
  </w:style>
  <w:style w:type="numbering" w:customStyle="1" w:styleId="Style10">
    <w:name w:val="Style10"/>
    <w:uiPriority w:val="99"/>
    <w:rsid w:val="00507710"/>
    <w:pPr>
      <w:numPr>
        <w:numId w:val="9"/>
      </w:numPr>
    </w:pPr>
  </w:style>
  <w:style w:type="numbering" w:customStyle="1" w:styleId="Style11">
    <w:name w:val="Style11"/>
    <w:uiPriority w:val="99"/>
    <w:rsid w:val="00507710"/>
    <w:pPr>
      <w:numPr>
        <w:numId w:val="10"/>
      </w:numPr>
    </w:pPr>
  </w:style>
  <w:style w:type="character" w:styleId="af7">
    <w:name w:val="Emphasis"/>
    <w:basedOn w:val="a0"/>
    <w:uiPriority w:val="20"/>
    <w:qFormat/>
    <w:rsid w:val="00507710"/>
    <w:rPr>
      <w:i/>
      <w:iCs/>
    </w:rPr>
  </w:style>
  <w:style w:type="paragraph" w:styleId="af8">
    <w:name w:val="Date"/>
    <w:basedOn w:val="a"/>
    <w:next w:val="a"/>
    <w:link w:val="Char6"/>
    <w:uiPriority w:val="99"/>
    <w:semiHidden/>
    <w:unhideWhenUsed/>
    <w:rsid w:val="00507710"/>
  </w:style>
  <w:style w:type="character" w:customStyle="1" w:styleId="Char6">
    <w:name w:val="날짜 Char"/>
    <w:basedOn w:val="a0"/>
    <w:link w:val="af8"/>
    <w:uiPriority w:val="99"/>
    <w:semiHidden/>
    <w:rsid w:val="00507710"/>
    <w:rPr>
      <w:rFonts w:ascii="Times New Roman" w:hAnsi="Times New Roman"/>
      <w:sz w:val="24"/>
      <w:lang w:val="en-GB"/>
    </w:rPr>
  </w:style>
  <w:style w:type="table" w:customStyle="1" w:styleId="TableGrid1">
    <w:name w:val="Table Grid1"/>
    <w:basedOn w:val="a1"/>
    <w:next w:val="a3"/>
    <w:uiPriority w:val="59"/>
    <w:rsid w:val="00507710"/>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51">
    <w:name w:val="Plain Table 51"/>
    <w:basedOn w:val="a1"/>
    <w:uiPriority w:val="45"/>
    <w:rsid w:val="00507710"/>
    <w:pPr>
      <w:spacing w:after="0" w:line="240" w:lineRule="auto"/>
    </w:pPr>
    <w:rPr>
      <w:lang w:val="en-GB"/>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52">
    <w:name w:val="Plain Table 52"/>
    <w:basedOn w:val="a1"/>
    <w:uiPriority w:val="45"/>
    <w:rsid w:val="00507710"/>
    <w:pPr>
      <w:spacing w:after="0" w:line="240" w:lineRule="auto"/>
    </w:pPr>
    <w:rPr>
      <w:lang w:val="en-GB"/>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40">
    <w:name w:val="toc 4"/>
    <w:basedOn w:val="a"/>
    <w:next w:val="a"/>
    <w:autoRedefine/>
    <w:uiPriority w:val="39"/>
    <w:unhideWhenUsed/>
    <w:rsid w:val="00507710"/>
    <w:pPr>
      <w:spacing w:before="0" w:after="100" w:line="259" w:lineRule="auto"/>
      <w:ind w:left="660"/>
    </w:pPr>
    <w:rPr>
      <w:rFonts w:asciiTheme="minorHAnsi" w:hAnsiTheme="minorHAnsi"/>
      <w:sz w:val="22"/>
    </w:rPr>
  </w:style>
  <w:style w:type="paragraph" w:styleId="51">
    <w:name w:val="toc 5"/>
    <w:basedOn w:val="a"/>
    <w:next w:val="a"/>
    <w:autoRedefine/>
    <w:uiPriority w:val="39"/>
    <w:unhideWhenUsed/>
    <w:rsid w:val="00507710"/>
    <w:pPr>
      <w:spacing w:before="0" w:after="100" w:line="259" w:lineRule="auto"/>
      <w:ind w:left="880"/>
    </w:pPr>
    <w:rPr>
      <w:rFonts w:asciiTheme="minorHAnsi" w:hAnsiTheme="minorHAnsi"/>
      <w:sz w:val="22"/>
    </w:rPr>
  </w:style>
  <w:style w:type="paragraph" w:styleId="60">
    <w:name w:val="toc 6"/>
    <w:basedOn w:val="a"/>
    <w:next w:val="a"/>
    <w:autoRedefine/>
    <w:uiPriority w:val="39"/>
    <w:unhideWhenUsed/>
    <w:rsid w:val="00507710"/>
    <w:pPr>
      <w:spacing w:before="0" w:after="100" w:line="259" w:lineRule="auto"/>
      <w:ind w:left="1100"/>
    </w:pPr>
    <w:rPr>
      <w:rFonts w:asciiTheme="minorHAnsi" w:hAnsiTheme="minorHAnsi"/>
      <w:sz w:val="22"/>
    </w:rPr>
  </w:style>
  <w:style w:type="paragraph" w:styleId="70">
    <w:name w:val="toc 7"/>
    <w:basedOn w:val="a"/>
    <w:next w:val="a"/>
    <w:autoRedefine/>
    <w:uiPriority w:val="39"/>
    <w:unhideWhenUsed/>
    <w:rsid w:val="00507710"/>
    <w:pPr>
      <w:spacing w:before="0" w:after="100" w:line="259" w:lineRule="auto"/>
      <w:ind w:left="1320"/>
    </w:pPr>
    <w:rPr>
      <w:rFonts w:asciiTheme="minorHAnsi" w:hAnsiTheme="minorHAnsi"/>
      <w:sz w:val="22"/>
    </w:rPr>
  </w:style>
  <w:style w:type="paragraph" w:styleId="80">
    <w:name w:val="toc 8"/>
    <w:basedOn w:val="a"/>
    <w:next w:val="a"/>
    <w:autoRedefine/>
    <w:uiPriority w:val="39"/>
    <w:unhideWhenUsed/>
    <w:rsid w:val="00507710"/>
    <w:pPr>
      <w:spacing w:before="0" w:after="100" w:line="259" w:lineRule="auto"/>
      <w:ind w:left="1540"/>
    </w:pPr>
    <w:rPr>
      <w:rFonts w:asciiTheme="minorHAnsi" w:hAnsiTheme="minorHAnsi"/>
      <w:sz w:val="22"/>
    </w:rPr>
  </w:style>
  <w:style w:type="paragraph" w:styleId="90">
    <w:name w:val="toc 9"/>
    <w:basedOn w:val="a"/>
    <w:next w:val="a"/>
    <w:autoRedefine/>
    <w:uiPriority w:val="39"/>
    <w:unhideWhenUsed/>
    <w:rsid w:val="00507710"/>
    <w:pPr>
      <w:spacing w:before="0" w:after="100" w:line="259" w:lineRule="auto"/>
      <w:ind w:left="1760"/>
    </w:pPr>
    <w:rPr>
      <w:rFonts w:asciiTheme="minorHAnsi" w:hAnsiTheme="minorHAnsi"/>
      <w:sz w:val="22"/>
    </w:rPr>
  </w:style>
  <w:style w:type="paragraph" w:customStyle="1" w:styleId="TableParagraph">
    <w:name w:val="Table Paragraph"/>
    <w:basedOn w:val="a"/>
    <w:uiPriority w:val="1"/>
    <w:qFormat/>
    <w:rsid w:val="00507710"/>
    <w:pPr>
      <w:autoSpaceDE w:val="0"/>
      <w:autoSpaceDN w:val="0"/>
      <w:adjustRightInd w:val="0"/>
      <w:spacing w:before="0" w:line="240" w:lineRule="auto"/>
    </w:pPr>
    <w:rPr>
      <w:rFonts w:cs="Times New Roman"/>
      <w:szCs w:val="24"/>
    </w:rPr>
  </w:style>
  <w:style w:type="character" w:customStyle="1" w:styleId="UnresolvedMention1">
    <w:name w:val="Unresolved Mention1"/>
    <w:basedOn w:val="a0"/>
    <w:uiPriority w:val="99"/>
    <w:semiHidden/>
    <w:unhideWhenUsed/>
    <w:rsid w:val="00507710"/>
    <w:rPr>
      <w:color w:val="808080"/>
      <w:shd w:val="clear" w:color="auto" w:fill="E6E6E6"/>
    </w:rPr>
  </w:style>
  <w:style w:type="character" w:customStyle="1" w:styleId="11">
    <w:name w:val="확인되지 않은 멘션1"/>
    <w:basedOn w:val="a0"/>
    <w:uiPriority w:val="99"/>
    <w:semiHidden/>
    <w:unhideWhenUsed/>
    <w:rsid w:val="00507710"/>
    <w:rPr>
      <w:color w:val="808080"/>
      <w:shd w:val="clear" w:color="auto" w:fill="E6E6E6"/>
    </w:rPr>
  </w:style>
  <w:style w:type="character" w:styleId="af9">
    <w:name w:val="FollowedHyperlink"/>
    <w:basedOn w:val="a0"/>
    <w:uiPriority w:val="99"/>
    <w:semiHidden/>
    <w:unhideWhenUsed/>
    <w:rsid w:val="00507710"/>
    <w:rPr>
      <w:color w:val="954F72" w:themeColor="followedHyperlink"/>
      <w:u w:val="single"/>
    </w:rPr>
  </w:style>
  <w:style w:type="character" w:customStyle="1" w:styleId="21">
    <w:name w:val="확인되지 않은 멘션2"/>
    <w:basedOn w:val="a0"/>
    <w:uiPriority w:val="99"/>
    <w:semiHidden/>
    <w:unhideWhenUsed/>
    <w:rsid w:val="00507710"/>
    <w:rPr>
      <w:color w:val="808080"/>
      <w:shd w:val="clear" w:color="auto" w:fill="E6E6E6"/>
    </w:rPr>
  </w:style>
  <w:style w:type="table" w:customStyle="1" w:styleId="TableGrid2">
    <w:name w:val="Table Grid2"/>
    <w:basedOn w:val="a1"/>
    <w:next w:val="a3"/>
    <w:uiPriority w:val="39"/>
    <w:rsid w:val="00507710"/>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Book Title"/>
    <w:basedOn w:val="a0"/>
    <w:uiPriority w:val="33"/>
    <w:qFormat/>
    <w:rsid w:val="00507710"/>
    <w:rPr>
      <w:b/>
      <w:bCs/>
      <w:i/>
      <w:iCs/>
      <w:spacing w:val="5"/>
    </w:rPr>
  </w:style>
  <w:style w:type="character" w:styleId="afb">
    <w:name w:val="Intense Reference"/>
    <w:basedOn w:val="a0"/>
    <w:uiPriority w:val="32"/>
    <w:qFormat/>
    <w:rsid w:val="00507710"/>
    <w:rPr>
      <w:b/>
      <w:bCs/>
      <w:smallCaps/>
      <w:color w:val="4472C4" w:themeColor="accent1"/>
      <w:spacing w:val="5"/>
    </w:rPr>
  </w:style>
  <w:style w:type="character" w:styleId="afc">
    <w:name w:val="Subtle Reference"/>
    <w:basedOn w:val="a0"/>
    <w:uiPriority w:val="31"/>
    <w:qFormat/>
    <w:rsid w:val="00507710"/>
    <w:rPr>
      <w:smallCaps/>
      <w:color w:val="5A5A5A" w:themeColor="text1" w:themeTint="A5"/>
    </w:rPr>
  </w:style>
  <w:style w:type="paragraph" w:styleId="afd">
    <w:name w:val="Title"/>
    <w:basedOn w:val="a"/>
    <w:next w:val="a"/>
    <w:link w:val="Char7"/>
    <w:uiPriority w:val="10"/>
    <w:qFormat/>
    <w:rsid w:val="00507710"/>
    <w:pPr>
      <w:spacing w:before="0" w:line="240" w:lineRule="auto"/>
      <w:contextualSpacing/>
    </w:pPr>
    <w:rPr>
      <w:rFonts w:asciiTheme="majorHAnsi" w:eastAsiaTheme="majorEastAsia" w:hAnsiTheme="majorHAnsi" w:cstheme="majorBidi"/>
      <w:spacing w:val="-10"/>
      <w:kern w:val="28"/>
      <w:sz w:val="56"/>
      <w:szCs w:val="56"/>
    </w:rPr>
  </w:style>
  <w:style w:type="character" w:customStyle="1" w:styleId="Char7">
    <w:name w:val="제목 Char"/>
    <w:basedOn w:val="a0"/>
    <w:link w:val="afd"/>
    <w:uiPriority w:val="10"/>
    <w:rsid w:val="00507710"/>
    <w:rPr>
      <w:rFonts w:asciiTheme="majorHAnsi" w:eastAsiaTheme="majorEastAsia" w:hAnsiTheme="majorHAnsi" w:cstheme="majorBidi"/>
      <w:spacing w:val="-10"/>
      <w:kern w:val="28"/>
      <w:sz w:val="56"/>
      <w:szCs w:val="56"/>
      <w:lang w:val="en-GB"/>
    </w:rPr>
  </w:style>
  <w:style w:type="paragraph" w:styleId="afe">
    <w:name w:val="Subtitle"/>
    <w:basedOn w:val="a"/>
    <w:next w:val="a"/>
    <w:link w:val="Char8"/>
    <w:uiPriority w:val="11"/>
    <w:qFormat/>
    <w:rsid w:val="00507710"/>
    <w:pPr>
      <w:numPr>
        <w:ilvl w:val="1"/>
      </w:numPr>
      <w:spacing w:after="160"/>
    </w:pPr>
    <w:rPr>
      <w:sz w:val="22"/>
    </w:rPr>
  </w:style>
  <w:style w:type="character" w:customStyle="1" w:styleId="Char8">
    <w:name w:val="부제 Char"/>
    <w:basedOn w:val="a0"/>
    <w:link w:val="afe"/>
    <w:uiPriority w:val="11"/>
    <w:rsid w:val="00507710"/>
    <w:rPr>
      <w:rFonts w:ascii="Times New Roman" w:hAnsi="Times New Roman"/>
      <w:lang w:val="en-GB"/>
    </w:rPr>
  </w:style>
  <w:style w:type="table" w:styleId="5-1">
    <w:name w:val="Grid Table 5 Dark Accent 1"/>
    <w:basedOn w:val="a1"/>
    <w:uiPriority w:val="50"/>
    <w:rsid w:val="00507710"/>
    <w:pPr>
      <w:spacing w:after="0" w:line="240" w:lineRule="auto"/>
    </w:pPr>
    <w:rPr>
      <w:lang w:val="en-GB"/>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41">
    <w:name w:val="Grid Table 4"/>
    <w:basedOn w:val="a1"/>
    <w:uiPriority w:val="49"/>
    <w:rsid w:val="00507710"/>
    <w:pPr>
      <w:spacing w:after="0" w:line="240" w:lineRule="auto"/>
    </w:pPr>
    <w:rPr>
      <w:lang w:val="en-GB"/>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31">
    <w:name w:val="확인되지 않은 멘션3"/>
    <w:basedOn w:val="a0"/>
    <w:uiPriority w:val="99"/>
    <w:semiHidden/>
    <w:unhideWhenUsed/>
    <w:rsid w:val="00507710"/>
    <w:rPr>
      <w:color w:val="605E5C"/>
      <w:shd w:val="clear" w:color="auto" w:fill="E1DFDD"/>
    </w:rPr>
  </w:style>
  <w:style w:type="character" w:customStyle="1" w:styleId="42">
    <w:name w:val="확인되지 않은 멘션4"/>
    <w:basedOn w:val="a0"/>
    <w:uiPriority w:val="99"/>
    <w:semiHidden/>
    <w:unhideWhenUsed/>
    <w:rsid w:val="005077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yperlink" Target="http://www.northsolentsmp.co.uk/"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3.emf"/><Relationship Id="rId7" Type="http://schemas.openxmlformats.org/officeDocument/2006/relationships/image" Target="media/image1.png"/><Relationship Id="rId12" Type="http://schemas.openxmlformats.org/officeDocument/2006/relationships/image" Target="media/image6.emf"/><Relationship Id="rId17" Type="http://schemas.openxmlformats.org/officeDocument/2006/relationships/hyperlink" Target="http://ukclimateprojections.metoffice.gov.uk/media.jsp?mediaid=87906&amp;filetype=pdf"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2.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image" Target="media/image15.png"/><Relationship Id="rId10" Type="http://schemas.openxmlformats.org/officeDocument/2006/relationships/image" Target="media/image4.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image" Target="media/image14.em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597</TotalTime>
  <Pages>32</Pages>
  <Words>8752</Words>
  <Characters>49891</Characters>
  <Application>Microsoft Office Word</Application>
  <DocSecurity>0</DocSecurity>
  <Lines>415</Lines>
  <Paragraphs>117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58526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MyungJin Kim</dc:creator>
  <cp:keywords/>
  <dc:description/>
  <cp:lastModifiedBy>MyungJin Kim</cp:lastModifiedBy>
  <cp:revision>9</cp:revision>
  <cp:lastPrinted>2021-08-31T08:13:00Z</cp:lastPrinted>
  <dcterms:created xsi:type="dcterms:W3CDTF">2021-07-19T05:52:00Z</dcterms:created>
  <dcterms:modified xsi:type="dcterms:W3CDTF">2021-08-31T18:37:00Z</dcterms:modified>
</cp:coreProperties>
</file>