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54B1A" w14:textId="77777777" w:rsidR="001A4783" w:rsidRDefault="001A4783" w:rsidP="001A4783">
      <w:pPr>
        <w:spacing w:line="360" w:lineRule="auto"/>
        <w:rPr>
          <w:rFonts w:ascii="Times New Roman" w:eastAsia="Microsoft YaHei" w:hAnsi="Times New Roman" w:cs="Times New Roman"/>
          <w:szCs w:val="24"/>
        </w:rPr>
      </w:pPr>
    </w:p>
    <w:p w14:paraId="116ED18E" w14:textId="77777777" w:rsidR="001A4783" w:rsidRDefault="001A4783" w:rsidP="001A4783">
      <w:pPr>
        <w:pStyle w:val="Heading2"/>
        <w:spacing w:line="360" w:lineRule="auto"/>
        <w:rPr>
          <w:rFonts w:ascii="Times New Roman" w:eastAsia="Microsoft YaHei" w:hAnsi="Times New Roman" w:cs="Times New Roman"/>
          <w:sz w:val="24"/>
          <w:szCs w:val="24"/>
        </w:rPr>
      </w:pPr>
      <w:r>
        <w:rPr>
          <w:rFonts w:ascii="Times New Roman" w:eastAsia="Microsoft YaHei" w:hAnsi="Times New Roman" w:cs="Times New Roman"/>
          <w:sz w:val="24"/>
          <w:szCs w:val="24"/>
        </w:rPr>
        <w:t>Table 1. Pre-post changes in junior residents’ self-reported readiness (JR-S)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64"/>
        <w:gridCol w:w="1719"/>
        <w:gridCol w:w="1719"/>
        <w:gridCol w:w="1719"/>
        <w:gridCol w:w="1719"/>
      </w:tblGrid>
      <w:tr w:rsidR="001A4783" w14:paraId="3D147B0E" w14:textId="77777777" w:rsidTr="005702C0">
        <w:tc>
          <w:tcPr>
            <w:tcW w:w="1728" w:type="dxa"/>
          </w:tcPr>
          <w:p w14:paraId="6369F566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Item</w:t>
            </w:r>
          </w:p>
        </w:tc>
        <w:tc>
          <w:tcPr>
            <w:tcW w:w="1728" w:type="dxa"/>
          </w:tcPr>
          <w:p w14:paraId="72F82876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T0 Mean ± SD</w:t>
            </w:r>
          </w:p>
        </w:tc>
        <w:tc>
          <w:tcPr>
            <w:tcW w:w="1728" w:type="dxa"/>
          </w:tcPr>
          <w:p w14:paraId="353531FA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T1 Mean ± SD</w:t>
            </w:r>
          </w:p>
        </w:tc>
        <w:tc>
          <w:tcPr>
            <w:tcW w:w="1728" w:type="dxa"/>
          </w:tcPr>
          <w:p w14:paraId="54CB0814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Δ (T1–T0)</w:t>
            </w:r>
          </w:p>
        </w:tc>
        <w:tc>
          <w:tcPr>
            <w:tcW w:w="1728" w:type="dxa"/>
          </w:tcPr>
          <w:p w14:paraId="0C01D351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p-value</w:t>
            </w:r>
          </w:p>
        </w:tc>
      </w:tr>
      <w:tr w:rsidR="001A4783" w14:paraId="5D9A51B7" w14:textId="77777777" w:rsidTr="005702C0">
        <w:tc>
          <w:tcPr>
            <w:tcW w:w="1728" w:type="dxa"/>
          </w:tcPr>
          <w:p w14:paraId="55C19D81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Confidence in independent emergency assessment</w:t>
            </w:r>
          </w:p>
        </w:tc>
        <w:tc>
          <w:tcPr>
            <w:tcW w:w="1728" w:type="dxa"/>
          </w:tcPr>
          <w:p w14:paraId="7FC43A65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2.6 ± 0.84</w:t>
            </w:r>
          </w:p>
        </w:tc>
        <w:tc>
          <w:tcPr>
            <w:tcW w:w="1728" w:type="dxa"/>
          </w:tcPr>
          <w:p w14:paraId="26014169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4.0 ± 0.67</w:t>
            </w:r>
          </w:p>
        </w:tc>
        <w:tc>
          <w:tcPr>
            <w:tcW w:w="1728" w:type="dxa"/>
          </w:tcPr>
          <w:p w14:paraId="1937116B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+1.4</w:t>
            </w:r>
          </w:p>
        </w:tc>
        <w:tc>
          <w:tcPr>
            <w:tcW w:w="1728" w:type="dxa"/>
          </w:tcPr>
          <w:p w14:paraId="70A3F927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0.001</w:t>
            </w:r>
          </w:p>
        </w:tc>
      </w:tr>
      <w:tr w:rsidR="001A4783" w14:paraId="40369263" w14:textId="77777777" w:rsidTr="005702C0">
        <w:tc>
          <w:tcPr>
            <w:tcW w:w="1728" w:type="dxa"/>
          </w:tcPr>
          <w:p w14:paraId="043DBFC3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Prioritizing life-threatening problems</w:t>
            </w:r>
          </w:p>
        </w:tc>
        <w:tc>
          <w:tcPr>
            <w:tcW w:w="1728" w:type="dxa"/>
          </w:tcPr>
          <w:p w14:paraId="4FF24CFE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3.1 ± 1.10</w:t>
            </w:r>
          </w:p>
        </w:tc>
        <w:tc>
          <w:tcPr>
            <w:tcW w:w="1728" w:type="dxa"/>
          </w:tcPr>
          <w:p w14:paraId="1D808C1C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4.0 ± 0.67</w:t>
            </w:r>
          </w:p>
        </w:tc>
        <w:tc>
          <w:tcPr>
            <w:tcW w:w="1728" w:type="dxa"/>
          </w:tcPr>
          <w:p w14:paraId="678BCDDC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+0.9</w:t>
            </w:r>
          </w:p>
        </w:tc>
        <w:tc>
          <w:tcPr>
            <w:tcW w:w="1728" w:type="dxa"/>
          </w:tcPr>
          <w:p w14:paraId="796559E5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0.015</w:t>
            </w:r>
          </w:p>
        </w:tc>
      </w:tr>
      <w:tr w:rsidR="001A4783" w14:paraId="682FEEDE" w14:textId="77777777" w:rsidTr="005702C0">
        <w:tc>
          <w:tcPr>
            <w:tcW w:w="1728" w:type="dxa"/>
          </w:tcPr>
          <w:p w14:paraId="089AC4E6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Performing anterior nasal packing</w:t>
            </w:r>
          </w:p>
        </w:tc>
        <w:tc>
          <w:tcPr>
            <w:tcW w:w="1728" w:type="dxa"/>
          </w:tcPr>
          <w:p w14:paraId="3480525E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2.9 ± 0.88</w:t>
            </w:r>
          </w:p>
        </w:tc>
        <w:tc>
          <w:tcPr>
            <w:tcW w:w="1728" w:type="dxa"/>
          </w:tcPr>
          <w:p w14:paraId="39E4BD6F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4.2 ± 0.63</w:t>
            </w:r>
          </w:p>
        </w:tc>
        <w:tc>
          <w:tcPr>
            <w:tcW w:w="1728" w:type="dxa"/>
          </w:tcPr>
          <w:p w14:paraId="17442AA3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+1.3</w:t>
            </w:r>
          </w:p>
        </w:tc>
        <w:tc>
          <w:tcPr>
            <w:tcW w:w="1728" w:type="dxa"/>
          </w:tcPr>
          <w:p w14:paraId="2D24647E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0.003</w:t>
            </w:r>
          </w:p>
        </w:tc>
      </w:tr>
      <w:tr w:rsidR="001A4783" w14:paraId="03591B15" w14:textId="77777777" w:rsidTr="005702C0">
        <w:tc>
          <w:tcPr>
            <w:tcW w:w="1728" w:type="dxa"/>
          </w:tcPr>
          <w:p w14:paraId="11EBA43A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Peritonsillar abscess drainage</w:t>
            </w:r>
          </w:p>
        </w:tc>
        <w:tc>
          <w:tcPr>
            <w:tcW w:w="1728" w:type="dxa"/>
          </w:tcPr>
          <w:p w14:paraId="1807F5ED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3.0 ± 0.94</w:t>
            </w:r>
          </w:p>
        </w:tc>
        <w:tc>
          <w:tcPr>
            <w:tcW w:w="1728" w:type="dxa"/>
          </w:tcPr>
          <w:p w14:paraId="04724910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3.9 ± 0.74</w:t>
            </w:r>
          </w:p>
        </w:tc>
        <w:tc>
          <w:tcPr>
            <w:tcW w:w="1728" w:type="dxa"/>
          </w:tcPr>
          <w:p w14:paraId="2F6994A0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+0.9</w:t>
            </w:r>
          </w:p>
        </w:tc>
        <w:tc>
          <w:tcPr>
            <w:tcW w:w="1728" w:type="dxa"/>
          </w:tcPr>
          <w:p w14:paraId="00777F3E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0.042</w:t>
            </w:r>
          </w:p>
        </w:tc>
      </w:tr>
      <w:tr w:rsidR="001A4783" w14:paraId="60BD6A35" w14:textId="77777777" w:rsidTr="005702C0">
        <w:tc>
          <w:tcPr>
            <w:tcW w:w="1728" w:type="dxa"/>
          </w:tcPr>
          <w:p w14:paraId="0C70B8E5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Recognizing airway crisis</w:t>
            </w:r>
          </w:p>
        </w:tc>
        <w:tc>
          <w:tcPr>
            <w:tcW w:w="1728" w:type="dxa"/>
          </w:tcPr>
          <w:p w14:paraId="5B71D402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2.8 ± 0.79</w:t>
            </w:r>
          </w:p>
        </w:tc>
        <w:tc>
          <w:tcPr>
            <w:tcW w:w="1728" w:type="dxa"/>
          </w:tcPr>
          <w:p w14:paraId="38DF2EBE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4.4 ± 0.52</w:t>
            </w:r>
          </w:p>
        </w:tc>
        <w:tc>
          <w:tcPr>
            <w:tcW w:w="1728" w:type="dxa"/>
          </w:tcPr>
          <w:p w14:paraId="65110F28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+1.6</w:t>
            </w:r>
          </w:p>
        </w:tc>
        <w:tc>
          <w:tcPr>
            <w:tcW w:w="1728" w:type="dxa"/>
          </w:tcPr>
          <w:p w14:paraId="5A7F4D18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0.001</w:t>
            </w:r>
          </w:p>
        </w:tc>
      </w:tr>
      <w:tr w:rsidR="001A4783" w14:paraId="10190A5D" w14:textId="77777777" w:rsidTr="005702C0">
        <w:tc>
          <w:tcPr>
            <w:tcW w:w="1728" w:type="dxa"/>
          </w:tcPr>
          <w:p w14:paraId="5DA060F3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Completing handover</w:t>
            </w:r>
          </w:p>
        </w:tc>
        <w:tc>
          <w:tcPr>
            <w:tcW w:w="1728" w:type="dxa"/>
          </w:tcPr>
          <w:p w14:paraId="6CB4211E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3.3 ± 1.16</w:t>
            </w:r>
          </w:p>
        </w:tc>
        <w:tc>
          <w:tcPr>
            <w:tcW w:w="1728" w:type="dxa"/>
          </w:tcPr>
          <w:p w14:paraId="556769BE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4.5 ± 0.71</w:t>
            </w:r>
          </w:p>
        </w:tc>
        <w:tc>
          <w:tcPr>
            <w:tcW w:w="1728" w:type="dxa"/>
          </w:tcPr>
          <w:p w14:paraId="7B5082F3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+1.2</w:t>
            </w:r>
          </w:p>
        </w:tc>
        <w:tc>
          <w:tcPr>
            <w:tcW w:w="1728" w:type="dxa"/>
          </w:tcPr>
          <w:p w14:paraId="5ABC97D1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0.018</w:t>
            </w:r>
          </w:p>
        </w:tc>
      </w:tr>
      <w:tr w:rsidR="001A4783" w14:paraId="5D3534F2" w14:textId="77777777" w:rsidTr="005702C0">
        <w:tc>
          <w:tcPr>
            <w:tcW w:w="1728" w:type="dxa"/>
          </w:tcPr>
          <w:p w14:paraId="2BAF58AB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Communication with colleagues</w:t>
            </w:r>
          </w:p>
        </w:tc>
        <w:tc>
          <w:tcPr>
            <w:tcW w:w="1728" w:type="dxa"/>
          </w:tcPr>
          <w:p w14:paraId="00E96B85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3.6 ± 0.97</w:t>
            </w:r>
          </w:p>
        </w:tc>
        <w:tc>
          <w:tcPr>
            <w:tcW w:w="1728" w:type="dxa"/>
          </w:tcPr>
          <w:p w14:paraId="15CE872A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4.1 ± 0.74</w:t>
            </w:r>
          </w:p>
        </w:tc>
        <w:tc>
          <w:tcPr>
            <w:tcW w:w="1728" w:type="dxa"/>
          </w:tcPr>
          <w:p w14:paraId="2F24126E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+0.5</w:t>
            </w:r>
          </w:p>
        </w:tc>
        <w:tc>
          <w:tcPr>
            <w:tcW w:w="1728" w:type="dxa"/>
          </w:tcPr>
          <w:p w14:paraId="15E3BF79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0.096</w:t>
            </w:r>
          </w:p>
        </w:tc>
      </w:tr>
      <w:tr w:rsidR="001A4783" w14:paraId="6AF56837" w14:textId="77777777" w:rsidTr="005702C0">
        <w:tc>
          <w:tcPr>
            <w:tcW w:w="1728" w:type="dxa"/>
          </w:tcPr>
          <w:p w14:paraId="5D3D2202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Stress reduction</w:t>
            </w:r>
          </w:p>
        </w:tc>
        <w:tc>
          <w:tcPr>
            <w:tcW w:w="1728" w:type="dxa"/>
          </w:tcPr>
          <w:p w14:paraId="0D4E9314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4.1 ± 1.10</w:t>
            </w:r>
          </w:p>
        </w:tc>
        <w:tc>
          <w:tcPr>
            <w:tcW w:w="1728" w:type="dxa"/>
          </w:tcPr>
          <w:p w14:paraId="1A6D0C68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4.3 ± 0.67</w:t>
            </w:r>
          </w:p>
        </w:tc>
        <w:tc>
          <w:tcPr>
            <w:tcW w:w="1728" w:type="dxa"/>
          </w:tcPr>
          <w:p w14:paraId="6481B6B7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+0.2</w:t>
            </w:r>
          </w:p>
        </w:tc>
        <w:tc>
          <w:tcPr>
            <w:tcW w:w="1728" w:type="dxa"/>
          </w:tcPr>
          <w:p w14:paraId="5F4B6884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0.443</w:t>
            </w:r>
          </w:p>
        </w:tc>
      </w:tr>
      <w:tr w:rsidR="001A4783" w14:paraId="2C236132" w14:textId="77777777" w:rsidTr="005702C0">
        <w:tc>
          <w:tcPr>
            <w:tcW w:w="1728" w:type="dxa"/>
          </w:tcPr>
          <w:p w14:paraId="63AC0522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Overall satisfaction</w:t>
            </w:r>
          </w:p>
        </w:tc>
        <w:tc>
          <w:tcPr>
            <w:tcW w:w="1728" w:type="dxa"/>
          </w:tcPr>
          <w:p w14:paraId="594DCCA1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3.8 ± 0.79</w:t>
            </w:r>
          </w:p>
        </w:tc>
        <w:tc>
          <w:tcPr>
            <w:tcW w:w="1728" w:type="dxa"/>
          </w:tcPr>
          <w:p w14:paraId="18B0302E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4.1 ± 0.88</w:t>
            </w:r>
          </w:p>
        </w:tc>
        <w:tc>
          <w:tcPr>
            <w:tcW w:w="1728" w:type="dxa"/>
          </w:tcPr>
          <w:p w14:paraId="3A351992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+0.3</w:t>
            </w:r>
          </w:p>
        </w:tc>
        <w:tc>
          <w:tcPr>
            <w:tcW w:w="1728" w:type="dxa"/>
          </w:tcPr>
          <w:p w14:paraId="2222CD1C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0.193</w:t>
            </w:r>
          </w:p>
        </w:tc>
      </w:tr>
    </w:tbl>
    <w:p w14:paraId="64549394" w14:textId="77777777" w:rsidR="001A4783" w:rsidRDefault="001A4783" w:rsidP="001A4783">
      <w:pPr>
        <w:spacing w:line="360" w:lineRule="auto"/>
        <w:rPr>
          <w:rFonts w:ascii="Times New Roman" w:eastAsia="Microsoft YaHei" w:hAnsi="Times New Roman" w:cs="Times New Roman"/>
          <w:szCs w:val="24"/>
        </w:rPr>
      </w:pPr>
      <w:r>
        <w:rPr>
          <w:rFonts w:ascii="Times New Roman" w:eastAsia="Microsoft YaHei" w:hAnsi="Times New Roman" w:cs="Times New Roman"/>
          <w:szCs w:val="24"/>
        </w:rPr>
        <w:lastRenderedPageBreak/>
        <w:t>Table 1 shows significant improvements in multiple domains after the near-peer transition.</w:t>
      </w:r>
    </w:p>
    <w:p w14:paraId="1BAE7B7F" w14:textId="77777777" w:rsidR="001A4783" w:rsidRDefault="001A4783" w:rsidP="001A4783">
      <w:pPr>
        <w:pStyle w:val="Heading2"/>
        <w:spacing w:line="360" w:lineRule="auto"/>
        <w:rPr>
          <w:rFonts w:ascii="Times New Roman" w:eastAsia="Microsoft YaHei" w:hAnsi="Times New Roman" w:cs="Times New Roman"/>
          <w:sz w:val="24"/>
          <w:szCs w:val="24"/>
        </w:rPr>
      </w:pPr>
    </w:p>
    <w:p w14:paraId="0FC46BBD" w14:textId="77777777" w:rsidR="001A4783" w:rsidRDefault="001A4783" w:rsidP="001A4783">
      <w:pPr>
        <w:pStyle w:val="Heading2"/>
        <w:spacing w:line="360" w:lineRule="auto"/>
        <w:rPr>
          <w:rFonts w:ascii="Times New Roman" w:eastAsia="Microsoft YaHei" w:hAnsi="Times New Roman" w:cs="Times New Roman"/>
          <w:sz w:val="24"/>
          <w:szCs w:val="24"/>
        </w:rPr>
      </w:pPr>
      <w:r>
        <w:rPr>
          <w:rFonts w:ascii="Times New Roman" w:eastAsia="Microsoft YaHei" w:hAnsi="Times New Roman" w:cs="Times New Roman"/>
          <w:sz w:val="24"/>
          <w:szCs w:val="24"/>
        </w:rPr>
        <w:t xml:space="preserve">Table 2. Senior Resident Survey Results (SR-S)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1A4783" w14:paraId="052DABB6" w14:textId="77777777" w:rsidTr="005702C0">
        <w:tc>
          <w:tcPr>
            <w:tcW w:w="4320" w:type="dxa"/>
          </w:tcPr>
          <w:p w14:paraId="7D65F8C4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Domain</w:t>
            </w:r>
          </w:p>
        </w:tc>
        <w:tc>
          <w:tcPr>
            <w:tcW w:w="4320" w:type="dxa"/>
          </w:tcPr>
          <w:p w14:paraId="4C055F81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Mean ± SD</w:t>
            </w:r>
          </w:p>
        </w:tc>
      </w:tr>
      <w:tr w:rsidR="001A4783" w14:paraId="026943E6" w14:textId="77777777" w:rsidTr="005702C0">
        <w:tc>
          <w:tcPr>
            <w:tcW w:w="4320" w:type="dxa"/>
          </w:tcPr>
          <w:p w14:paraId="44212269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Improvement in juniors’ triage/escalation</w:t>
            </w:r>
          </w:p>
        </w:tc>
        <w:tc>
          <w:tcPr>
            <w:tcW w:w="4320" w:type="dxa"/>
          </w:tcPr>
          <w:p w14:paraId="4631DFF3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4.2 ± 0.8</w:t>
            </w:r>
          </w:p>
        </w:tc>
      </w:tr>
      <w:tr w:rsidR="001A4783" w14:paraId="19B3AD79" w14:textId="77777777" w:rsidTr="005702C0">
        <w:tc>
          <w:tcPr>
            <w:tcW w:w="4320" w:type="dxa"/>
          </w:tcPr>
          <w:p w14:paraId="1B5E8122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Improvement in juniors’ procedural skills</w:t>
            </w:r>
          </w:p>
        </w:tc>
        <w:tc>
          <w:tcPr>
            <w:tcW w:w="4320" w:type="dxa"/>
          </w:tcPr>
          <w:p w14:paraId="138CC023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4.4 ± 0.9</w:t>
            </w:r>
          </w:p>
        </w:tc>
      </w:tr>
      <w:tr w:rsidR="001A4783" w14:paraId="148141C9" w14:textId="77777777" w:rsidTr="005702C0">
        <w:tc>
          <w:tcPr>
            <w:tcW w:w="4320" w:type="dxa"/>
          </w:tcPr>
          <w:p w14:paraId="1D12BB9F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Improvement in own clinical reasoning</w:t>
            </w:r>
          </w:p>
        </w:tc>
        <w:tc>
          <w:tcPr>
            <w:tcW w:w="4320" w:type="dxa"/>
          </w:tcPr>
          <w:p w14:paraId="72B4933B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4.6 ± 0.5</w:t>
            </w:r>
          </w:p>
        </w:tc>
      </w:tr>
      <w:tr w:rsidR="001A4783" w14:paraId="72C75F30" w14:textId="77777777" w:rsidTr="005702C0">
        <w:tc>
          <w:tcPr>
            <w:tcW w:w="4320" w:type="dxa"/>
          </w:tcPr>
          <w:p w14:paraId="3DC57F88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Improvement in feedback/communication</w:t>
            </w:r>
          </w:p>
        </w:tc>
        <w:tc>
          <w:tcPr>
            <w:tcW w:w="4320" w:type="dxa"/>
          </w:tcPr>
          <w:p w14:paraId="5CBA5122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4.4 ± 0.5</w:t>
            </w:r>
          </w:p>
        </w:tc>
      </w:tr>
      <w:tr w:rsidR="001A4783" w14:paraId="17D91F4D" w14:textId="77777777" w:rsidTr="005702C0">
        <w:tc>
          <w:tcPr>
            <w:tcW w:w="4320" w:type="dxa"/>
          </w:tcPr>
          <w:p w14:paraId="659BAC78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Leadership development</w:t>
            </w:r>
          </w:p>
        </w:tc>
        <w:tc>
          <w:tcPr>
            <w:tcW w:w="4320" w:type="dxa"/>
          </w:tcPr>
          <w:p w14:paraId="20347780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4.4 ± 0.5</w:t>
            </w:r>
          </w:p>
        </w:tc>
      </w:tr>
      <w:tr w:rsidR="001A4783" w14:paraId="6C59D2C4" w14:textId="77777777" w:rsidTr="005702C0">
        <w:tc>
          <w:tcPr>
            <w:tcW w:w="4320" w:type="dxa"/>
          </w:tcPr>
          <w:p w14:paraId="7F92907B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Additional workload</w:t>
            </w:r>
          </w:p>
        </w:tc>
        <w:tc>
          <w:tcPr>
            <w:tcW w:w="4320" w:type="dxa"/>
          </w:tcPr>
          <w:p w14:paraId="34BDB1C6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1.8 ± 0.7</w:t>
            </w:r>
          </w:p>
        </w:tc>
      </w:tr>
      <w:tr w:rsidR="001A4783" w14:paraId="14FD0131" w14:textId="77777777" w:rsidTr="005702C0">
        <w:tc>
          <w:tcPr>
            <w:tcW w:w="4320" w:type="dxa"/>
          </w:tcPr>
          <w:p w14:paraId="4CF7A13D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Overall satisfaction</w:t>
            </w:r>
          </w:p>
        </w:tc>
        <w:tc>
          <w:tcPr>
            <w:tcW w:w="4320" w:type="dxa"/>
          </w:tcPr>
          <w:p w14:paraId="52F17AB3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4.4 ± 0.5</w:t>
            </w:r>
          </w:p>
        </w:tc>
      </w:tr>
    </w:tbl>
    <w:p w14:paraId="49237850" w14:textId="77777777" w:rsidR="001A4783" w:rsidRDefault="001A4783" w:rsidP="001A4783">
      <w:pPr>
        <w:spacing w:line="360" w:lineRule="auto"/>
        <w:rPr>
          <w:rFonts w:ascii="Times New Roman" w:eastAsia="Microsoft YaHei" w:hAnsi="Times New Roman" w:cs="Times New Roman"/>
          <w:szCs w:val="24"/>
        </w:rPr>
      </w:pPr>
      <w:r>
        <w:rPr>
          <w:rFonts w:ascii="Times New Roman" w:eastAsia="Microsoft YaHei" w:hAnsi="Times New Roman" w:cs="Times New Roman"/>
          <w:szCs w:val="24"/>
        </w:rPr>
        <w:t>Table 2 summarizes SRs’ evaluations, highlighting perceived junior progress, tutor development, and minimal workload burden.</w:t>
      </w:r>
    </w:p>
    <w:p w14:paraId="70CB61C9" w14:textId="77777777" w:rsidR="001A4783" w:rsidRDefault="001A4783" w:rsidP="001A4783"/>
    <w:p w14:paraId="45735C39" w14:textId="77777777" w:rsidR="001A4783" w:rsidRDefault="001A4783" w:rsidP="001A4783">
      <w:pPr>
        <w:pStyle w:val="Heading2"/>
        <w:spacing w:line="360" w:lineRule="auto"/>
        <w:rPr>
          <w:rFonts w:ascii="Times New Roman" w:eastAsia="Microsoft YaHei" w:hAnsi="Times New Roman" w:cs="Times New Roman"/>
          <w:sz w:val="24"/>
          <w:szCs w:val="24"/>
        </w:rPr>
      </w:pPr>
      <w:r>
        <w:rPr>
          <w:rFonts w:ascii="Times New Roman" w:eastAsia="Microsoft YaHei" w:hAnsi="Times New Roman" w:cs="Times New Roman"/>
          <w:sz w:val="24"/>
          <w:szCs w:val="24"/>
        </w:rPr>
        <w:t xml:space="preserve">Table 3. Faculty Survey and Global Readiness Ratings (FAC-S </w:t>
      </w:r>
      <w:r>
        <w:rPr>
          <w:rFonts w:ascii="Times New Roman" w:eastAsia="Microsoft YaHei" w:hAnsi="Times New Roman" w:cs="Times New Roman"/>
          <w:b/>
          <w:bCs/>
          <w:sz w:val="24"/>
          <w:szCs w:val="24"/>
        </w:rPr>
        <w:t>and F-GAJR</w:t>
      </w:r>
      <w:r>
        <w:rPr>
          <w:rFonts w:ascii="Times New Roman" w:eastAsia="Microsoft YaHei" w:hAnsi="Times New Roman" w:cs="Times New Roman"/>
          <w:sz w:val="24"/>
          <w:szCs w:val="24"/>
        </w:rPr>
        <w:t xml:space="preserve">)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1A4783" w14:paraId="6EBBFAC0" w14:textId="77777777" w:rsidTr="005702C0">
        <w:tc>
          <w:tcPr>
            <w:tcW w:w="4320" w:type="dxa"/>
          </w:tcPr>
          <w:p w14:paraId="75A5C873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Domain</w:t>
            </w:r>
          </w:p>
        </w:tc>
        <w:tc>
          <w:tcPr>
            <w:tcW w:w="4320" w:type="dxa"/>
          </w:tcPr>
          <w:p w14:paraId="7407EA7F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Mean ± SD</w:t>
            </w:r>
          </w:p>
        </w:tc>
      </w:tr>
      <w:tr w:rsidR="001A4783" w14:paraId="41EA86E3" w14:textId="77777777" w:rsidTr="005702C0">
        <w:tc>
          <w:tcPr>
            <w:tcW w:w="4320" w:type="dxa"/>
          </w:tcPr>
          <w:p w14:paraId="3C8F9841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Patient safety maintained</w:t>
            </w:r>
          </w:p>
        </w:tc>
        <w:tc>
          <w:tcPr>
            <w:tcW w:w="4320" w:type="dxa"/>
          </w:tcPr>
          <w:p w14:paraId="6BD0BCDE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4.8 ± 0.4</w:t>
            </w:r>
          </w:p>
        </w:tc>
      </w:tr>
      <w:tr w:rsidR="001A4783" w14:paraId="228188AC" w14:textId="77777777" w:rsidTr="005702C0">
        <w:tc>
          <w:tcPr>
            <w:tcW w:w="4320" w:type="dxa"/>
          </w:tcPr>
          <w:p w14:paraId="5D457E37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Feasibility and sustainability</w:t>
            </w:r>
          </w:p>
        </w:tc>
        <w:tc>
          <w:tcPr>
            <w:tcW w:w="4320" w:type="dxa"/>
          </w:tcPr>
          <w:p w14:paraId="4E07F652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4.6 ± 0.5</w:t>
            </w:r>
          </w:p>
        </w:tc>
      </w:tr>
      <w:tr w:rsidR="001A4783" w14:paraId="49B2FECE" w14:textId="77777777" w:rsidTr="005702C0">
        <w:tc>
          <w:tcPr>
            <w:tcW w:w="4320" w:type="dxa"/>
          </w:tcPr>
          <w:p w14:paraId="5E650301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Overall satisfaction</w:t>
            </w:r>
          </w:p>
        </w:tc>
        <w:tc>
          <w:tcPr>
            <w:tcW w:w="4320" w:type="dxa"/>
          </w:tcPr>
          <w:p w14:paraId="64311301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4.4 ± 0.5</w:t>
            </w:r>
          </w:p>
        </w:tc>
      </w:tr>
      <w:tr w:rsidR="001A4783" w14:paraId="1A0F0F7D" w14:textId="77777777" w:rsidTr="005702C0">
        <w:tc>
          <w:tcPr>
            <w:tcW w:w="4320" w:type="dxa"/>
          </w:tcPr>
          <w:p w14:paraId="72E5FED2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% juniors rated ≥4 readiness</w:t>
            </w:r>
          </w:p>
        </w:tc>
        <w:tc>
          <w:tcPr>
            <w:tcW w:w="4320" w:type="dxa"/>
          </w:tcPr>
          <w:p w14:paraId="7C6DC442" w14:textId="77777777" w:rsidR="001A4783" w:rsidRDefault="001A4783" w:rsidP="005702C0">
            <w:pPr>
              <w:spacing w:line="360" w:lineRule="auto"/>
              <w:rPr>
                <w:rFonts w:ascii="Times New Roman" w:eastAsia="Microsoft YaHei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/>
                <w:szCs w:val="24"/>
              </w:rPr>
              <w:t>80%</w:t>
            </w:r>
          </w:p>
        </w:tc>
      </w:tr>
    </w:tbl>
    <w:p w14:paraId="4ED1FD75" w14:textId="77777777" w:rsidR="001A4783" w:rsidRDefault="001A4783" w:rsidP="001A4783">
      <w:pPr>
        <w:spacing w:line="360" w:lineRule="auto"/>
        <w:rPr>
          <w:rFonts w:ascii="Times New Roman" w:eastAsia="Microsoft YaHei" w:hAnsi="Times New Roman" w:cs="Times New Roman"/>
          <w:szCs w:val="24"/>
        </w:rPr>
      </w:pPr>
      <w:r>
        <w:rPr>
          <w:rFonts w:ascii="Times New Roman" w:eastAsia="Microsoft YaHei" w:hAnsi="Times New Roman" w:cs="Times New Roman"/>
          <w:szCs w:val="24"/>
        </w:rPr>
        <w:t>Table 3 presents faculty survey results, confirming safety, feasibility, and readiness of junior residents.</w:t>
      </w:r>
    </w:p>
    <w:p w14:paraId="68F5638B" w14:textId="77777777" w:rsidR="001A4783" w:rsidRDefault="001A4783" w:rsidP="001A4783">
      <w:pPr>
        <w:spacing w:line="360" w:lineRule="auto"/>
        <w:rPr>
          <w:rFonts w:ascii="Times New Roman" w:eastAsia="Microsoft YaHei" w:hAnsi="Times New Roman" w:cs="Times New Roman"/>
          <w:i/>
          <w:iCs/>
          <w:szCs w:val="24"/>
        </w:rPr>
      </w:pPr>
    </w:p>
    <w:p w14:paraId="28F8B6DF" w14:textId="77777777" w:rsidR="001A4783" w:rsidRDefault="001A4783" w:rsidP="001A4783">
      <w:pPr>
        <w:spacing w:line="360" w:lineRule="auto"/>
        <w:rPr>
          <w:rFonts w:ascii="Times New Roman" w:eastAsia="Microsoft YaHei" w:hAnsi="Times New Roman" w:cs="Times New Roman"/>
          <w:i/>
          <w:iCs/>
          <w:szCs w:val="24"/>
          <w:lang w:eastAsia="zh-CN"/>
        </w:rPr>
      </w:pPr>
      <w:r>
        <w:rPr>
          <w:rFonts w:ascii="Times New Roman" w:eastAsia="Microsoft YaHei" w:hAnsi="Times New Roman" w:cs="Times New Roman"/>
          <w:i/>
          <w:iCs/>
          <w:noProof/>
          <w:szCs w:val="24"/>
          <w:lang w:eastAsia="zh-CN"/>
        </w:rPr>
        <w:drawing>
          <wp:inline distT="0" distB="0" distL="114300" distR="114300" wp14:anchorId="48E555BB" wp14:editId="2116B1CA">
            <wp:extent cx="5486400" cy="3291840"/>
            <wp:effectExtent l="0" t="0" r="0" b="10160"/>
            <wp:docPr id="1" name="图片 1" descr="JR_T0_T1_Bar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JR_T0_T1_BarChart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C47A6" w14:textId="77777777" w:rsidR="001A4783" w:rsidRDefault="001A4783" w:rsidP="001A4783">
      <w:pPr>
        <w:spacing w:line="360" w:lineRule="auto"/>
        <w:rPr>
          <w:rFonts w:ascii="Times New Roman" w:eastAsia="Microsoft YaHei" w:hAnsi="Times New Roman" w:cs="Times New Roman"/>
          <w:szCs w:val="24"/>
        </w:rPr>
      </w:pPr>
    </w:p>
    <w:p w14:paraId="68A5A5CF" w14:textId="77777777" w:rsidR="001A4783" w:rsidRDefault="001A4783" w:rsidP="001A4783">
      <w:pPr>
        <w:spacing w:line="360" w:lineRule="auto"/>
        <w:rPr>
          <w:rFonts w:ascii="Times New Roman" w:eastAsia="Microsoft YaHei" w:hAnsi="Times New Roman" w:cs="Times New Roman"/>
          <w:szCs w:val="24"/>
        </w:rPr>
      </w:pPr>
    </w:p>
    <w:p w14:paraId="35D6F5BA" w14:textId="77777777" w:rsidR="001A4783" w:rsidRDefault="001A4783" w:rsidP="001A4783">
      <w:pPr>
        <w:spacing w:line="360" w:lineRule="auto"/>
        <w:rPr>
          <w:rFonts w:ascii="Times New Roman" w:eastAsia="Microsoft YaHei" w:hAnsi="Times New Roman" w:cs="Times New Roman"/>
          <w:szCs w:val="24"/>
        </w:rPr>
      </w:pPr>
    </w:p>
    <w:p w14:paraId="129DC042" w14:textId="77777777" w:rsidR="001A4783" w:rsidRDefault="001A4783" w:rsidP="001A4783">
      <w:pPr>
        <w:spacing w:line="360" w:lineRule="auto"/>
        <w:rPr>
          <w:rFonts w:ascii="Times New Roman" w:eastAsia="Microsoft YaHei" w:hAnsi="Times New Roman" w:cs="Times New Roman"/>
          <w:szCs w:val="24"/>
        </w:rPr>
      </w:pPr>
    </w:p>
    <w:p w14:paraId="417E00A5" w14:textId="77777777" w:rsidR="009542D6" w:rsidRDefault="009542D6"/>
    <w:sectPr w:rsidR="009542D6" w:rsidSect="001A478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783"/>
    <w:rsid w:val="001A4783"/>
    <w:rsid w:val="00264C10"/>
    <w:rsid w:val="00470242"/>
    <w:rsid w:val="00726E03"/>
    <w:rsid w:val="009542D6"/>
    <w:rsid w:val="00A3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9242F"/>
  <w15:chartTrackingRefBased/>
  <w15:docId w15:val="{A8BB08B2-84B2-4FFB-9498-350ACDB79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783"/>
    <w:pPr>
      <w:spacing w:after="200" w:line="276" w:lineRule="auto"/>
    </w:pPr>
    <w:rPr>
      <w:kern w:val="0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478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478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478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478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Cs w:val="24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478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Cs w:val="24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478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Cs w:val="24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478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Cs w:val="24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478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Cs w:val="24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478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Cs w:val="24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7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1A47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47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47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47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47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47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47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47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47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A47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78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A47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478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Cs w:val="24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A47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4783"/>
    <w:pPr>
      <w:spacing w:after="160" w:line="278" w:lineRule="auto"/>
      <w:ind w:left="720"/>
      <w:contextualSpacing/>
    </w:pPr>
    <w:rPr>
      <w:kern w:val="2"/>
      <w:szCs w:val="24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A47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47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Cs w:val="24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47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47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221</Words>
  <Characters>1416</Characters>
  <Application>Microsoft Office Word</Application>
  <DocSecurity>0</DocSecurity>
  <Lines>33</Lines>
  <Paragraphs>13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2026-02-27T12:24:00Z</dcterms:created>
  <dcterms:modified xsi:type="dcterms:W3CDTF">2026-02-27T12:25:00Z</dcterms:modified>
</cp:coreProperties>
</file>