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AFF90" w14:textId="77777777" w:rsidR="007C7B1F" w:rsidRPr="00725BC2" w:rsidRDefault="007C7B1F" w:rsidP="007C7B1F">
      <w:pPr>
        <w:pBdr>
          <w:bottom w:val="single" w:sz="4" w:space="1" w:color="auto"/>
          <w:between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bookmarkStart w:id="0" w:name="_Hlk218596647"/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1.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Patient Characteristics and Clinical Variables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8"/>
        <w:gridCol w:w="1394"/>
        <w:gridCol w:w="1276"/>
        <w:gridCol w:w="2551"/>
      </w:tblGrid>
      <w:tr w:rsidR="007C7B1F" w:rsidRPr="00725BC2" w14:paraId="01F28DA4" w14:textId="77777777" w:rsidTr="008F5A0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bookmarkEnd w:id="0"/>
          <w:p w14:paraId="10AAFBA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1364" w:type="dxa"/>
            <w:vAlign w:val="center"/>
            <w:hideMark/>
          </w:tcPr>
          <w:p w14:paraId="0A84DBF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Min–Max</w:t>
            </w:r>
          </w:p>
        </w:tc>
        <w:tc>
          <w:tcPr>
            <w:tcW w:w="1246" w:type="dxa"/>
            <w:vAlign w:val="center"/>
            <w:hideMark/>
          </w:tcPr>
          <w:p w14:paraId="25F718E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Median</w:t>
            </w:r>
          </w:p>
        </w:tc>
        <w:tc>
          <w:tcPr>
            <w:tcW w:w="2506" w:type="dxa"/>
            <w:vAlign w:val="center"/>
            <w:hideMark/>
          </w:tcPr>
          <w:p w14:paraId="13821F2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Mean ± SD / n (%)</w:t>
            </w:r>
          </w:p>
        </w:tc>
      </w:tr>
      <w:tr w:rsidR="007C7B1F" w:rsidRPr="00725BC2" w14:paraId="37C89CB6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3077F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1364" w:type="dxa"/>
            <w:vAlign w:val="center"/>
            <w:hideMark/>
          </w:tcPr>
          <w:p w14:paraId="4B76F8BA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22.0–98.0</w:t>
            </w:r>
          </w:p>
        </w:tc>
        <w:tc>
          <w:tcPr>
            <w:tcW w:w="1246" w:type="dxa"/>
            <w:vAlign w:val="center"/>
            <w:hideMark/>
          </w:tcPr>
          <w:p w14:paraId="2E30D8A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68.5</w:t>
            </w:r>
          </w:p>
        </w:tc>
        <w:tc>
          <w:tcPr>
            <w:tcW w:w="2506" w:type="dxa"/>
            <w:vAlign w:val="center"/>
            <w:hideMark/>
          </w:tcPr>
          <w:p w14:paraId="22F54E4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67.6 ± 13.9</w:t>
            </w:r>
          </w:p>
        </w:tc>
      </w:tr>
      <w:tr w:rsidR="007C7B1F" w:rsidRPr="00725BC2" w14:paraId="2B014790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0BE5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Gender</w:t>
            </w:r>
          </w:p>
        </w:tc>
        <w:tc>
          <w:tcPr>
            <w:tcW w:w="1364" w:type="dxa"/>
            <w:vAlign w:val="center"/>
            <w:hideMark/>
          </w:tcPr>
          <w:p w14:paraId="37021F3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6774492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73269A7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7C7B1F" w:rsidRPr="00725BC2" w14:paraId="1DAFDC27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2321E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Female</w:t>
            </w:r>
          </w:p>
        </w:tc>
        <w:tc>
          <w:tcPr>
            <w:tcW w:w="1364" w:type="dxa"/>
            <w:vAlign w:val="center"/>
            <w:hideMark/>
          </w:tcPr>
          <w:p w14:paraId="3DD946E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382FD6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33FB28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152 (54.3)</w:t>
            </w:r>
          </w:p>
        </w:tc>
      </w:tr>
      <w:tr w:rsidR="007C7B1F" w:rsidRPr="00725BC2" w14:paraId="6B4D132D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9D7D1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Male</w:t>
            </w:r>
          </w:p>
        </w:tc>
        <w:tc>
          <w:tcPr>
            <w:tcW w:w="1364" w:type="dxa"/>
            <w:vAlign w:val="center"/>
            <w:hideMark/>
          </w:tcPr>
          <w:p w14:paraId="7AD59D2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FFB808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E7E389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128 (45.7)</w:t>
            </w:r>
          </w:p>
        </w:tc>
      </w:tr>
      <w:tr w:rsidR="007C7B1F" w:rsidRPr="00725BC2" w14:paraId="6BB35756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E592E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Comorbidity</w:t>
            </w:r>
          </w:p>
        </w:tc>
        <w:tc>
          <w:tcPr>
            <w:tcW w:w="1364" w:type="dxa"/>
            <w:vAlign w:val="center"/>
            <w:hideMark/>
          </w:tcPr>
          <w:p w14:paraId="3041243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4E18628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188970A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7C7B1F" w:rsidRPr="00725BC2" w14:paraId="65971BF1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2A5F9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No</w:t>
            </w:r>
          </w:p>
        </w:tc>
        <w:tc>
          <w:tcPr>
            <w:tcW w:w="1364" w:type="dxa"/>
            <w:vAlign w:val="center"/>
            <w:hideMark/>
          </w:tcPr>
          <w:p w14:paraId="26A1627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84A734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7B361A2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62 (22.1)</w:t>
            </w:r>
          </w:p>
        </w:tc>
      </w:tr>
      <w:tr w:rsidR="007C7B1F" w:rsidRPr="00725BC2" w14:paraId="5584680D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17E67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Yes</w:t>
            </w:r>
          </w:p>
        </w:tc>
        <w:tc>
          <w:tcPr>
            <w:tcW w:w="1364" w:type="dxa"/>
            <w:vAlign w:val="center"/>
            <w:hideMark/>
          </w:tcPr>
          <w:p w14:paraId="3CF104A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54C2EB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56AA121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218 (77.9)</w:t>
            </w:r>
          </w:p>
        </w:tc>
      </w:tr>
      <w:tr w:rsidR="007C7B1F" w:rsidRPr="00725BC2" w14:paraId="236AC8D4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988BF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Hypertension</w:t>
            </w:r>
          </w:p>
        </w:tc>
        <w:tc>
          <w:tcPr>
            <w:tcW w:w="1364" w:type="dxa"/>
            <w:vAlign w:val="center"/>
            <w:hideMark/>
          </w:tcPr>
          <w:p w14:paraId="1E3D98D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3C1DF08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3A09B1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170 (60.7)</w:t>
            </w:r>
          </w:p>
        </w:tc>
      </w:tr>
      <w:tr w:rsidR="007C7B1F" w:rsidRPr="00725BC2" w14:paraId="5A4A644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A7301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Heart failure</w:t>
            </w:r>
          </w:p>
        </w:tc>
        <w:tc>
          <w:tcPr>
            <w:tcW w:w="1364" w:type="dxa"/>
            <w:vAlign w:val="center"/>
            <w:hideMark/>
          </w:tcPr>
          <w:p w14:paraId="72EC388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B421F0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2AE784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103 (36.8)</w:t>
            </w:r>
          </w:p>
        </w:tc>
      </w:tr>
      <w:tr w:rsidR="007C7B1F" w:rsidRPr="00725BC2" w14:paraId="6B459209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F537F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Diabetes mellitus</w:t>
            </w:r>
          </w:p>
        </w:tc>
        <w:tc>
          <w:tcPr>
            <w:tcW w:w="1364" w:type="dxa"/>
            <w:vAlign w:val="center"/>
            <w:hideMark/>
          </w:tcPr>
          <w:p w14:paraId="44706EC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856616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4E333C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93 (33.2)</w:t>
            </w:r>
          </w:p>
        </w:tc>
      </w:tr>
      <w:tr w:rsidR="007C7B1F" w:rsidRPr="00725BC2" w14:paraId="132C5AA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00471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Atrial fibrillation</w:t>
            </w:r>
          </w:p>
        </w:tc>
        <w:tc>
          <w:tcPr>
            <w:tcW w:w="1364" w:type="dxa"/>
            <w:vAlign w:val="center"/>
            <w:hideMark/>
          </w:tcPr>
          <w:p w14:paraId="10B37BA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09B375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DA5F81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40 (14.3)</w:t>
            </w:r>
          </w:p>
        </w:tc>
      </w:tr>
      <w:tr w:rsidR="007C7B1F" w:rsidRPr="00725BC2" w14:paraId="6FECE67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9DDA7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Malignancy</w:t>
            </w:r>
          </w:p>
        </w:tc>
        <w:tc>
          <w:tcPr>
            <w:tcW w:w="1364" w:type="dxa"/>
            <w:vAlign w:val="center"/>
            <w:hideMark/>
          </w:tcPr>
          <w:p w14:paraId="6DD3948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8F5AB7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3C0363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8 (2.9)</w:t>
            </w:r>
          </w:p>
        </w:tc>
      </w:tr>
      <w:tr w:rsidR="007C7B1F" w:rsidRPr="00725BC2" w14:paraId="3494D8CB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51970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COPD</w:t>
            </w:r>
          </w:p>
        </w:tc>
        <w:tc>
          <w:tcPr>
            <w:tcW w:w="1364" w:type="dxa"/>
            <w:vAlign w:val="center"/>
            <w:hideMark/>
          </w:tcPr>
          <w:p w14:paraId="4B1BCBD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4690C3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D07856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 (1.8)</w:t>
            </w:r>
          </w:p>
        </w:tc>
      </w:tr>
      <w:tr w:rsidR="007C7B1F" w:rsidRPr="00725BC2" w14:paraId="4C996BAD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4DB59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1364" w:type="dxa"/>
            <w:vAlign w:val="center"/>
            <w:hideMark/>
          </w:tcPr>
          <w:p w14:paraId="393B630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0–6</w:t>
            </w:r>
          </w:p>
        </w:tc>
        <w:tc>
          <w:tcPr>
            <w:tcW w:w="1246" w:type="dxa"/>
            <w:vAlign w:val="center"/>
            <w:hideMark/>
          </w:tcPr>
          <w:p w14:paraId="3651E35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</w:t>
            </w:r>
          </w:p>
        </w:tc>
        <w:tc>
          <w:tcPr>
            <w:tcW w:w="2506" w:type="dxa"/>
            <w:vAlign w:val="center"/>
            <w:hideMark/>
          </w:tcPr>
          <w:p w14:paraId="7E8B99D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2.9 ± 2.5</w:t>
            </w:r>
          </w:p>
        </w:tc>
      </w:tr>
      <w:tr w:rsidR="007C7B1F" w:rsidRPr="00725BC2" w14:paraId="54BB5FEB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C4A9E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--</w:t>
            </w: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NIHSS category</w:t>
            </w:r>
          </w:p>
        </w:tc>
        <w:tc>
          <w:tcPr>
            <w:tcW w:w="1364" w:type="dxa"/>
            <w:vAlign w:val="center"/>
            <w:hideMark/>
          </w:tcPr>
          <w:p w14:paraId="77B61B5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2044BDF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0837837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7C7B1F" w:rsidRPr="00725BC2" w14:paraId="1A3D3665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5BA59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Minor</w:t>
            </w:r>
          </w:p>
        </w:tc>
        <w:tc>
          <w:tcPr>
            <w:tcW w:w="1364" w:type="dxa"/>
            <w:vAlign w:val="center"/>
            <w:hideMark/>
          </w:tcPr>
          <w:p w14:paraId="5DEC8F4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5741BFE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06BFFB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81 (28.9)</w:t>
            </w:r>
          </w:p>
        </w:tc>
      </w:tr>
      <w:tr w:rsidR="007C7B1F" w:rsidRPr="00725BC2" w14:paraId="2DD91157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C754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Moderate</w:t>
            </w:r>
          </w:p>
        </w:tc>
        <w:tc>
          <w:tcPr>
            <w:tcW w:w="1364" w:type="dxa"/>
            <w:vAlign w:val="center"/>
            <w:hideMark/>
          </w:tcPr>
          <w:p w14:paraId="2B0C855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A64B60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24A6CB7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139 (49.6)</w:t>
            </w:r>
          </w:p>
        </w:tc>
      </w:tr>
      <w:tr w:rsidR="007C7B1F" w:rsidRPr="00725BC2" w14:paraId="603690F4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7B006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Severe</w:t>
            </w:r>
          </w:p>
        </w:tc>
        <w:tc>
          <w:tcPr>
            <w:tcW w:w="1364" w:type="dxa"/>
            <w:vAlign w:val="center"/>
            <w:hideMark/>
          </w:tcPr>
          <w:p w14:paraId="38CB92C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74CA1BC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0898927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49 (17.5)</w:t>
            </w:r>
          </w:p>
        </w:tc>
      </w:tr>
      <w:tr w:rsidR="007C7B1F" w:rsidRPr="00725BC2" w14:paraId="0E6EA46B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63B84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Very severe</w:t>
            </w:r>
          </w:p>
        </w:tc>
        <w:tc>
          <w:tcPr>
            <w:tcW w:w="1364" w:type="dxa"/>
            <w:vAlign w:val="center"/>
            <w:hideMark/>
          </w:tcPr>
          <w:p w14:paraId="14A2761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3799C79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218BE22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11 (3.9)</w:t>
            </w:r>
          </w:p>
        </w:tc>
      </w:tr>
      <w:tr w:rsidR="007C7B1F" w:rsidRPr="00725BC2" w14:paraId="502C40F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A6589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1364" w:type="dxa"/>
            <w:vAlign w:val="center"/>
            <w:hideMark/>
          </w:tcPr>
          <w:p w14:paraId="19A169C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2.7–122.4</w:t>
            </w:r>
          </w:p>
        </w:tc>
        <w:tc>
          <w:tcPr>
            <w:tcW w:w="1246" w:type="dxa"/>
            <w:vAlign w:val="center"/>
            <w:hideMark/>
          </w:tcPr>
          <w:p w14:paraId="6063D7B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35.3</w:t>
            </w:r>
          </w:p>
        </w:tc>
        <w:tc>
          <w:tcPr>
            <w:tcW w:w="2506" w:type="dxa"/>
            <w:vAlign w:val="center"/>
            <w:hideMark/>
          </w:tcPr>
          <w:p w14:paraId="7157CBA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38.4 ± 22.8</w:t>
            </w:r>
          </w:p>
        </w:tc>
      </w:tr>
      <w:tr w:rsidR="007C7B1F" w:rsidRPr="00725BC2" w14:paraId="66AE1BF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C4732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Thrombolysis performed</w:t>
            </w:r>
          </w:p>
        </w:tc>
        <w:tc>
          <w:tcPr>
            <w:tcW w:w="1364" w:type="dxa"/>
            <w:vAlign w:val="center"/>
            <w:hideMark/>
          </w:tcPr>
          <w:p w14:paraId="2783A1C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7FE2F32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096725C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101 (36.1)</w:t>
            </w:r>
          </w:p>
        </w:tc>
      </w:tr>
      <w:tr w:rsidR="007C7B1F" w:rsidRPr="00725BC2" w14:paraId="3310A9B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2FBAA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Thrombectomy</w:t>
            </w:r>
          </w:p>
        </w:tc>
        <w:tc>
          <w:tcPr>
            <w:tcW w:w="1364" w:type="dxa"/>
            <w:vAlign w:val="center"/>
            <w:hideMark/>
          </w:tcPr>
          <w:p w14:paraId="162D800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A963DA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20C7FBB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100 (35.7)</w:t>
            </w:r>
          </w:p>
        </w:tc>
      </w:tr>
      <w:tr w:rsidR="007C7B1F" w:rsidRPr="00725BC2" w14:paraId="78B57985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4AE21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Hemisphere involvement</w:t>
            </w:r>
          </w:p>
        </w:tc>
        <w:tc>
          <w:tcPr>
            <w:tcW w:w="1364" w:type="dxa"/>
            <w:vAlign w:val="center"/>
            <w:hideMark/>
          </w:tcPr>
          <w:p w14:paraId="50CF55D4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3D1C93F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0C64239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7C7B1F" w:rsidRPr="00725BC2" w14:paraId="3DA446C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3C93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Right</w:t>
            </w:r>
          </w:p>
        </w:tc>
        <w:tc>
          <w:tcPr>
            <w:tcW w:w="1364" w:type="dxa"/>
            <w:vAlign w:val="center"/>
            <w:hideMark/>
          </w:tcPr>
          <w:p w14:paraId="5D4B446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B8B31A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15FD9E0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121 (43.2)</w:t>
            </w:r>
          </w:p>
        </w:tc>
      </w:tr>
      <w:tr w:rsidR="007C7B1F" w:rsidRPr="00725BC2" w14:paraId="2D3509C0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3B86F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Left</w:t>
            </w:r>
          </w:p>
        </w:tc>
        <w:tc>
          <w:tcPr>
            <w:tcW w:w="1364" w:type="dxa"/>
            <w:vAlign w:val="center"/>
            <w:hideMark/>
          </w:tcPr>
          <w:p w14:paraId="20B5DA0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7B79CA4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0A53000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130 (46.4)</w:t>
            </w:r>
          </w:p>
        </w:tc>
      </w:tr>
      <w:tr w:rsidR="007C7B1F" w:rsidRPr="00725BC2" w14:paraId="05AC9D14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C3D23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Combined*</w:t>
            </w:r>
          </w:p>
        </w:tc>
        <w:tc>
          <w:tcPr>
            <w:tcW w:w="1364" w:type="dxa"/>
            <w:vAlign w:val="center"/>
            <w:hideMark/>
          </w:tcPr>
          <w:p w14:paraId="0165063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BAC2B3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3702E8E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29 (10.4)</w:t>
            </w:r>
          </w:p>
        </w:tc>
      </w:tr>
      <w:tr w:rsidR="007C7B1F" w:rsidRPr="00725BC2" w14:paraId="22E19C6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12ACD5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MCA involvement</w:t>
            </w:r>
          </w:p>
        </w:tc>
        <w:tc>
          <w:tcPr>
            <w:tcW w:w="1364" w:type="dxa"/>
            <w:vAlign w:val="center"/>
            <w:hideMark/>
          </w:tcPr>
          <w:p w14:paraId="497D336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32AEAC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007EFDF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109 (38.9)</w:t>
            </w:r>
          </w:p>
        </w:tc>
      </w:tr>
      <w:tr w:rsidR="007C7B1F" w:rsidRPr="00725BC2" w14:paraId="49A9C006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39498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ACA involvement</w:t>
            </w:r>
          </w:p>
        </w:tc>
        <w:tc>
          <w:tcPr>
            <w:tcW w:w="1364" w:type="dxa"/>
            <w:vAlign w:val="center"/>
            <w:hideMark/>
          </w:tcPr>
          <w:p w14:paraId="64C66A9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AF3066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849936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93 (33.2)</w:t>
            </w:r>
          </w:p>
        </w:tc>
      </w:tr>
      <w:tr w:rsidR="007C7B1F" w:rsidRPr="00725BC2" w14:paraId="3FA987C4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38709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PCA involvement</w:t>
            </w:r>
          </w:p>
        </w:tc>
        <w:tc>
          <w:tcPr>
            <w:tcW w:w="1364" w:type="dxa"/>
            <w:vAlign w:val="center"/>
            <w:hideMark/>
          </w:tcPr>
          <w:p w14:paraId="6043EC21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8C68C5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40219ED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38 (13.6)</w:t>
            </w:r>
          </w:p>
        </w:tc>
      </w:tr>
      <w:tr w:rsidR="007C7B1F" w:rsidRPr="00725BC2" w14:paraId="6BD0452E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CA4EE8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Lacunar infarction</w:t>
            </w:r>
          </w:p>
        </w:tc>
        <w:tc>
          <w:tcPr>
            <w:tcW w:w="1364" w:type="dxa"/>
            <w:vAlign w:val="center"/>
            <w:hideMark/>
          </w:tcPr>
          <w:p w14:paraId="1D41F8E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06F712A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4F93953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55 (19.6)</w:t>
            </w:r>
          </w:p>
        </w:tc>
      </w:tr>
      <w:tr w:rsidR="007C7B1F" w:rsidRPr="00725BC2" w14:paraId="34CC374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FAECA0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Cerebellar infarction</w:t>
            </w:r>
          </w:p>
        </w:tc>
        <w:tc>
          <w:tcPr>
            <w:tcW w:w="1364" w:type="dxa"/>
            <w:vAlign w:val="center"/>
            <w:hideMark/>
          </w:tcPr>
          <w:p w14:paraId="485473CA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6AEAF907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536069EB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44 (15.7)</w:t>
            </w:r>
          </w:p>
        </w:tc>
      </w:tr>
      <w:tr w:rsidR="007C7B1F" w:rsidRPr="00725BC2" w14:paraId="3A8575B0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70C57B" w14:textId="77777777" w:rsidR="007C7B1F" w:rsidRPr="00152ABA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152ABA">
              <w:rPr>
                <w:rFonts w:ascii="Times New Roman" w:eastAsia="Times New Roman" w:hAnsi="Times New Roman" w:cs="Times New Roman"/>
                <w:bCs/>
                <w:kern w:val="0"/>
                <w:lang w:eastAsia="tr-TR"/>
                <w14:ligatures w14:val="none"/>
              </w:rPr>
              <w:t>Stroke subtype (during hospitalization)</w:t>
            </w:r>
          </w:p>
        </w:tc>
        <w:tc>
          <w:tcPr>
            <w:tcW w:w="1364" w:type="dxa"/>
            <w:vAlign w:val="center"/>
            <w:hideMark/>
          </w:tcPr>
          <w:p w14:paraId="1654C5B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1246" w:type="dxa"/>
            <w:vAlign w:val="center"/>
            <w:hideMark/>
          </w:tcPr>
          <w:p w14:paraId="4D32DD7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  <w:tc>
          <w:tcPr>
            <w:tcW w:w="2506" w:type="dxa"/>
            <w:vAlign w:val="center"/>
            <w:hideMark/>
          </w:tcPr>
          <w:p w14:paraId="336811F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</w:p>
        </w:tc>
      </w:tr>
      <w:tr w:rsidR="007C7B1F" w:rsidRPr="00725BC2" w14:paraId="4AB9A71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00B5AF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Ischemic</w:t>
            </w:r>
          </w:p>
        </w:tc>
        <w:tc>
          <w:tcPr>
            <w:tcW w:w="1364" w:type="dxa"/>
            <w:vAlign w:val="center"/>
            <w:hideMark/>
          </w:tcPr>
          <w:p w14:paraId="0F46BEC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2810FD8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2EDC0BB3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254 (90.7)</w:t>
            </w:r>
          </w:p>
        </w:tc>
      </w:tr>
      <w:tr w:rsidR="007C7B1F" w:rsidRPr="00725BC2" w14:paraId="7ACA5F8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4B3D99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lastRenderedPageBreak/>
              <w:t>Hemorrhagic transformation</w:t>
            </w:r>
          </w:p>
        </w:tc>
        <w:tc>
          <w:tcPr>
            <w:tcW w:w="1364" w:type="dxa"/>
            <w:vAlign w:val="center"/>
            <w:hideMark/>
          </w:tcPr>
          <w:p w14:paraId="1486EB2E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14:paraId="16F8F9F6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2506" w:type="dxa"/>
            <w:vAlign w:val="center"/>
            <w:hideMark/>
          </w:tcPr>
          <w:p w14:paraId="689A1952" w14:textId="77777777" w:rsidR="007C7B1F" w:rsidRPr="00725BC2" w:rsidRDefault="007C7B1F" w:rsidP="008F5A05">
            <w:pPr>
              <w:pBdr>
                <w:bottom w:val="single" w:sz="4" w:space="1" w:color="auto"/>
                <w:between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26 (9.3)</w:t>
            </w:r>
          </w:p>
        </w:tc>
      </w:tr>
    </w:tbl>
    <w:p w14:paraId="40BF270A" w14:textId="77777777" w:rsidR="007C7B1F" w:rsidRPr="00152ABA" w:rsidRDefault="007C7B1F" w:rsidP="007C7B1F">
      <w:pPr>
        <w:pBdr>
          <w:bottom w:val="single" w:sz="4" w:space="1" w:color="auto"/>
        </w:pBdr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tr-TR"/>
          <w14:ligatures w14:val="none"/>
        </w:rPr>
        <w:t>Footnotes: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t xml:space="preserve"> *Combined hemisphere involvement indicates bilateral or multi-territorial infarction.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br/>
      </w:r>
      <w:r w:rsidRPr="00152ABA">
        <w:rPr>
          <w:rFonts w:ascii="Times New Roman" w:eastAsia="Times New Roman" w:hAnsi="Times New Roman" w:cs="Times New Roman"/>
          <w:b/>
          <w:bCs/>
          <w:kern w:val="0"/>
          <w:sz w:val="16"/>
          <w:szCs w:val="16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6"/>
          <w:szCs w:val="16"/>
          <w:lang w:eastAsia="tr-TR"/>
          <w14:ligatures w14:val="none"/>
        </w:rPr>
        <w:t xml:space="preserve"> mRS, modified Rankin Scale; NIHSS, National Institutes of Health Stroke Scale; HALP, hemoglobin × albumin × lymphocytes / platelets; MCA, middle cerebral artery; ACA, anterior cerebral artery; PCA, posterior cerebral artery; COPD, chronic obstructive pulmonary disease.</w:t>
      </w:r>
    </w:p>
    <w:p w14:paraId="00498D9E" w14:textId="77777777" w:rsidR="007C7B1F" w:rsidRPr="00725BC2" w:rsidRDefault="007C7B1F" w:rsidP="007C7B1F">
      <w:pPr>
        <w:pBdr>
          <w:top w:val="single" w:sz="4" w:space="1" w:color="auto"/>
        </w:pBdr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  <w:br w:type="page"/>
      </w: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2.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Laboratory Parameters, Complications, Length of Hospital Stay, and Mortality</w:t>
      </w:r>
    </w:p>
    <w:tbl>
      <w:tblPr>
        <w:tblW w:w="0" w:type="auto"/>
        <w:tblCellSpacing w:w="15" w:type="dxa"/>
        <w:tblBorders>
          <w:top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8"/>
        <w:gridCol w:w="2080"/>
        <w:gridCol w:w="1134"/>
        <w:gridCol w:w="3260"/>
      </w:tblGrid>
      <w:tr w:rsidR="007C7B1F" w:rsidRPr="00725BC2" w14:paraId="177DC29F" w14:textId="77777777" w:rsidTr="008F5A0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0CA97D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Variable</w:t>
            </w:r>
          </w:p>
        </w:tc>
        <w:tc>
          <w:tcPr>
            <w:tcW w:w="2050" w:type="dxa"/>
            <w:vAlign w:val="center"/>
            <w:hideMark/>
          </w:tcPr>
          <w:p w14:paraId="17305B8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Min–Max</w:t>
            </w:r>
          </w:p>
        </w:tc>
        <w:tc>
          <w:tcPr>
            <w:tcW w:w="1104" w:type="dxa"/>
            <w:vAlign w:val="center"/>
            <w:hideMark/>
          </w:tcPr>
          <w:p w14:paraId="3534A11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Median</w:t>
            </w:r>
          </w:p>
        </w:tc>
        <w:tc>
          <w:tcPr>
            <w:tcW w:w="3215" w:type="dxa"/>
            <w:vAlign w:val="center"/>
            <w:hideMark/>
          </w:tcPr>
          <w:p w14:paraId="3F14AEA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Mean ± SD / n (%)</w:t>
            </w:r>
          </w:p>
        </w:tc>
      </w:tr>
      <w:tr w:rsidR="007C7B1F" w:rsidRPr="00725BC2" w14:paraId="649E775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A001D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Hemoglobin (g/dL)</w:t>
            </w:r>
          </w:p>
        </w:tc>
        <w:tc>
          <w:tcPr>
            <w:tcW w:w="2050" w:type="dxa"/>
            <w:vAlign w:val="center"/>
            <w:hideMark/>
          </w:tcPr>
          <w:p w14:paraId="6B7351C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3.6–19.2</w:t>
            </w:r>
          </w:p>
        </w:tc>
        <w:tc>
          <w:tcPr>
            <w:tcW w:w="1104" w:type="dxa"/>
            <w:vAlign w:val="center"/>
            <w:hideMark/>
          </w:tcPr>
          <w:p w14:paraId="4215DDE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13.2</w:t>
            </w:r>
          </w:p>
        </w:tc>
        <w:tc>
          <w:tcPr>
            <w:tcW w:w="3215" w:type="dxa"/>
            <w:vAlign w:val="center"/>
            <w:hideMark/>
          </w:tcPr>
          <w:p w14:paraId="5BEE6B7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13.0 ± 2.1</w:t>
            </w:r>
          </w:p>
        </w:tc>
      </w:tr>
      <w:tr w:rsidR="007C7B1F" w:rsidRPr="00725BC2" w14:paraId="3D502B5D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54679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RDW (%)</w:t>
            </w:r>
          </w:p>
        </w:tc>
        <w:tc>
          <w:tcPr>
            <w:tcW w:w="2050" w:type="dxa"/>
            <w:vAlign w:val="center"/>
            <w:hideMark/>
          </w:tcPr>
          <w:p w14:paraId="771808A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9.8–54.4</w:t>
            </w:r>
          </w:p>
        </w:tc>
        <w:tc>
          <w:tcPr>
            <w:tcW w:w="1104" w:type="dxa"/>
            <w:vAlign w:val="center"/>
            <w:hideMark/>
          </w:tcPr>
          <w:p w14:paraId="7010592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13.0</w:t>
            </w:r>
          </w:p>
        </w:tc>
        <w:tc>
          <w:tcPr>
            <w:tcW w:w="3215" w:type="dxa"/>
            <w:vAlign w:val="center"/>
            <w:hideMark/>
          </w:tcPr>
          <w:p w14:paraId="3E39752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16.0 ± 9.1</w:t>
            </w:r>
          </w:p>
        </w:tc>
      </w:tr>
      <w:tr w:rsidR="007C7B1F" w:rsidRPr="00725BC2" w14:paraId="5AADFD66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9C729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Neutrophils (×10³/µL)</w:t>
            </w:r>
          </w:p>
        </w:tc>
        <w:tc>
          <w:tcPr>
            <w:tcW w:w="2050" w:type="dxa"/>
            <w:vAlign w:val="center"/>
            <w:hideMark/>
          </w:tcPr>
          <w:p w14:paraId="57E4E29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0.5–27.5</w:t>
            </w:r>
          </w:p>
        </w:tc>
        <w:tc>
          <w:tcPr>
            <w:tcW w:w="1104" w:type="dxa"/>
            <w:vAlign w:val="center"/>
            <w:hideMark/>
          </w:tcPr>
          <w:p w14:paraId="02D5D5F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7.2</w:t>
            </w:r>
          </w:p>
        </w:tc>
        <w:tc>
          <w:tcPr>
            <w:tcW w:w="3215" w:type="dxa"/>
            <w:vAlign w:val="center"/>
            <w:hideMark/>
          </w:tcPr>
          <w:p w14:paraId="607DF1B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8.2 ± 4.3</w:t>
            </w:r>
          </w:p>
        </w:tc>
      </w:tr>
      <w:tr w:rsidR="007C7B1F" w:rsidRPr="00725BC2" w14:paraId="2E8FEC50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DF2AB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Lymphocytes (×10³/µL)</w:t>
            </w:r>
          </w:p>
        </w:tc>
        <w:tc>
          <w:tcPr>
            <w:tcW w:w="2050" w:type="dxa"/>
            <w:vAlign w:val="center"/>
            <w:hideMark/>
          </w:tcPr>
          <w:p w14:paraId="0F758CB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0.3–6.2</w:t>
            </w:r>
          </w:p>
        </w:tc>
        <w:tc>
          <w:tcPr>
            <w:tcW w:w="1104" w:type="dxa"/>
            <w:vAlign w:val="center"/>
            <w:hideMark/>
          </w:tcPr>
          <w:p w14:paraId="2BA3F5B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1.6</w:t>
            </w:r>
          </w:p>
        </w:tc>
        <w:tc>
          <w:tcPr>
            <w:tcW w:w="3215" w:type="dxa"/>
            <w:vAlign w:val="center"/>
            <w:hideMark/>
          </w:tcPr>
          <w:p w14:paraId="4C17226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1.7 ± 0.9</w:t>
            </w:r>
          </w:p>
        </w:tc>
      </w:tr>
      <w:tr w:rsidR="007C7B1F" w:rsidRPr="00725BC2" w14:paraId="6A8F62E2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698E8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Platelets (×10³/µL)</w:t>
            </w:r>
          </w:p>
        </w:tc>
        <w:tc>
          <w:tcPr>
            <w:tcW w:w="2050" w:type="dxa"/>
            <w:vAlign w:val="center"/>
            <w:hideMark/>
          </w:tcPr>
          <w:p w14:paraId="068EC11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42–844</w:t>
            </w:r>
          </w:p>
        </w:tc>
        <w:tc>
          <w:tcPr>
            <w:tcW w:w="1104" w:type="dxa"/>
            <w:vAlign w:val="center"/>
            <w:hideMark/>
          </w:tcPr>
          <w:p w14:paraId="2D92719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238</w:t>
            </w:r>
          </w:p>
        </w:tc>
        <w:tc>
          <w:tcPr>
            <w:tcW w:w="3215" w:type="dxa"/>
            <w:vAlign w:val="center"/>
            <w:hideMark/>
          </w:tcPr>
          <w:p w14:paraId="661C665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247.2 ± 85.9</w:t>
            </w:r>
          </w:p>
        </w:tc>
      </w:tr>
      <w:tr w:rsidR="007C7B1F" w:rsidRPr="00725BC2" w14:paraId="3744E3F9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D1704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Albumin (g/dL)</w:t>
            </w:r>
          </w:p>
        </w:tc>
        <w:tc>
          <w:tcPr>
            <w:tcW w:w="2050" w:type="dxa"/>
            <w:vAlign w:val="center"/>
            <w:hideMark/>
          </w:tcPr>
          <w:p w14:paraId="12CD87D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2.0–6.5</w:t>
            </w:r>
          </w:p>
        </w:tc>
        <w:tc>
          <w:tcPr>
            <w:tcW w:w="1104" w:type="dxa"/>
            <w:vAlign w:val="center"/>
            <w:hideMark/>
          </w:tcPr>
          <w:p w14:paraId="71E155D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3.9</w:t>
            </w:r>
          </w:p>
        </w:tc>
        <w:tc>
          <w:tcPr>
            <w:tcW w:w="3215" w:type="dxa"/>
            <w:vAlign w:val="center"/>
            <w:hideMark/>
          </w:tcPr>
          <w:p w14:paraId="6CA5FF6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3.9 ± 0.5</w:t>
            </w:r>
          </w:p>
        </w:tc>
      </w:tr>
      <w:tr w:rsidR="007C7B1F" w:rsidRPr="00725BC2" w14:paraId="3ED7062B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EA862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CRP (mg/L)</w:t>
            </w:r>
          </w:p>
        </w:tc>
        <w:tc>
          <w:tcPr>
            <w:tcW w:w="2050" w:type="dxa"/>
            <w:vAlign w:val="center"/>
            <w:hideMark/>
          </w:tcPr>
          <w:p w14:paraId="082A211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0–41.0</w:t>
            </w:r>
          </w:p>
        </w:tc>
        <w:tc>
          <w:tcPr>
            <w:tcW w:w="1104" w:type="dxa"/>
            <w:vAlign w:val="center"/>
            <w:hideMark/>
          </w:tcPr>
          <w:p w14:paraId="5344912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1.3</w:t>
            </w:r>
          </w:p>
        </w:tc>
        <w:tc>
          <w:tcPr>
            <w:tcW w:w="3215" w:type="dxa"/>
            <w:vAlign w:val="center"/>
            <w:hideMark/>
          </w:tcPr>
          <w:p w14:paraId="088058B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3.8 ± 6.5</w:t>
            </w:r>
          </w:p>
        </w:tc>
      </w:tr>
      <w:tr w:rsidR="007C7B1F" w:rsidRPr="00725BC2" w14:paraId="56E912AF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147C3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NLR</w:t>
            </w:r>
          </w:p>
        </w:tc>
        <w:tc>
          <w:tcPr>
            <w:tcW w:w="2050" w:type="dxa"/>
            <w:vAlign w:val="center"/>
            <w:hideMark/>
          </w:tcPr>
          <w:p w14:paraId="5EEED0C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0.3–50.9</w:t>
            </w:r>
          </w:p>
        </w:tc>
        <w:tc>
          <w:tcPr>
            <w:tcW w:w="1104" w:type="dxa"/>
            <w:vAlign w:val="center"/>
            <w:hideMark/>
          </w:tcPr>
          <w:p w14:paraId="0ACB567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4.7</w:t>
            </w:r>
          </w:p>
        </w:tc>
        <w:tc>
          <w:tcPr>
            <w:tcW w:w="3215" w:type="dxa"/>
            <w:vAlign w:val="center"/>
            <w:hideMark/>
          </w:tcPr>
          <w:p w14:paraId="35C1626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6.8 ± 7.0</w:t>
            </w:r>
          </w:p>
        </w:tc>
      </w:tr>
      <w:tr w:rsidR="007C7B1F" w:rsidRPr="00725BC2" w14:paraId="179240E3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7EBAC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Complications</w:t>
            </w:r>
          </w:p>
        </w:tc>
        <w:tc>
          <w:tcPr>
            <w:tcW w:w="2050" w:type="dxa"/>
            <w:vAlign w:val="center"/>
            <w:hideMark/>
          </w:tcPr>
          <w:p w14:paraId="06D08A7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095D8C3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64D9EE2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70 (25.0)</w:t>
            </w:r>
          </w:p>
        </w:tc>
      </w:tr>
      <w:tr w:rsidR="007C7B1F" w:rsidRPr="00725BC2" w14:paraId="1D073BCC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FFB7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Length of hospital stay (days)</w:t>
            </w:r>
          </w:p>
        </w:tc>
        <w:tc>
          <w:tcPr>
            <w:tcW w:w="2050" w:type="dxa"/>
            <w:vAlign w:val="center"/>
            <w:hideMark/>
          </w:tcPr>
          <w:p w14:paraId="25EEC42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1–53</w:t>
            </w:r>
          </w:p>
        </w:tc>
        <w:tc>
          <w:tcPr>
            <w:tcW w:w="1104" w:type="dxa"/>
            <w:vAlign w:val="center"/>
            <w:hideMark/>
          </w:tcPr>
          <w:p w14:paraId="53E796F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5.0</w:t>
            </w:r>
          </w:p>
        </w:tc>
        <w:tc>
          <w:tcPr>
            <w:tcW w:w="3215" w:type="dxa"/>
            <w:vAlign w:val="center"/>
            <w:hideMark/>
          </w:tcPr>
          <w:p w14:paraId="769714D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7.5 ± 6.8</w:t>
            </w:r>
          </w:p>
        </w:tc>
      </w:tr>
      <w:tr w:rsidR="007C7B1F" w:rsidRPr="00725BC2" w14:paraId="5698B66F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8DC3D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tr-TR"/>
                <w14:ligatures w14:val="none"/>
              </w:rPr>
              <w:t>Mortality</w:t>
            </w:r>
          </w:p>
        </w:tc>
        <w:tc>
          <w:tcPr>
            <w:tcW w:w="2050" w:type="dxa"/>
            <w:vAlign w:val="center"/>
            <w:hideMark/>
          </w:tcPr>
          <w:p w14:paraId="0EA015C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1104" w:type="dxa"/>
            <w:vAlign w:val="center"/>
            <w:hideMark/>
          </w:tcPr>
          <w:p w14:paraId="2E70765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  <w:tc>
          <w:tcPr>
            <w:tcW w:w="3215" w:type="dxa"/>
            <w:vAlign w:val="center"/>
            <w:hideMark/>
          </w:tcPr>
          <w:p w14:paraId="2B78DBE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</w:p>
        </w:tc>
      </w:tr>
      <w:tr w:rsidR="007C7B1F" w:rsidRPr="00725BC2" w14:paraId="17A182FB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9B9CC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No</w:t>
            </w:r>
          </w:p>
        </w:tc>
        <w:tc>
          <w:tcPr>
            <w:tcW w:w="2050" w:type="dxa"/>
            <w:vAlign w:val="center"/>
            <w:hideMark/>
          </w:tcPr>
          <w:p w14:paraId="5BDAAA6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6EC8140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0CB5058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199 (71.1)</w:t>
            </w:r>
          </w:p>
        </w:tc>
      </w:tr>
      <w:tr w:rsidR="007C7B1F" w:rsidRPr="00725BC2" w14:paraId="7562C2BA" w14:textId="77777777" w:rsidTr="008F5A0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2A8B7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Yes</w:t>
            </w:r>
          </w:p>
        </w:tc>
        <w:tc>
          <w:tcPr>
            <w:tcW w:w="2050" w:type="dxa"/>
            <w:vAlign w:val="center"/>
            <w:hideMark/>
          </w:tcPr>
          <w:p w14:paraId="3D35E5A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1104" w:type="dxa"/>
            <w:vAlign w:val="center"/>
            <w:hideMark/>
          </w:tcPr>
          <w:p w14:paraId="57B7BD5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—</w:t>
            </w:r>
          </w:p>
        </w:tc>
        <w:tc>
          <w:tcPr>
            <w:tcW w:w="3215" w:type="dxa"/>
            <w:vAlign w:val="center"/>
            <w:hideMark/>
          </w:tcPr>
          <w:p w14:paraId="3EE86B2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tr-TR"/>
                <w14:ligatures w14:val="none"/>
              </w:rPr>
              <w:t>81 (28.9)</w:t>
            </w:r>
          </w:p>
        </w:tc>
      </w:tr>
    </w:tbl>
    <w:p w14:paraId="68D54F6E" w14:textId="77777777" w:rsidR="007C7B1F" w:rsidRPr="00152ABA" w:rsidRDefault="007C7B1F" w:rsidP="007C7B1F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RDW, red cell distribution width; CRP, C-reactive protein; NLR, neutrophil-to-lymphocyte ratio.</w:t>
      </w:r>
    </w:p>
    <w:p w14:paraId="5A552486" w14:textId="77777777" w:rsidR="007C7B1F" w:rsidRPr="00725BC2" w:rsidRDefault="007C7B1F" w:rsidP="007C7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0F67024C" w14:textId="77777777" w:rsidR="007C7B1F" w:rsidRPr="00725BC2" w:rsidRDefault="007C7B1F" w:rsidP="007C7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</w:p>
    <w:p w14:paraId="7DCFDA5F" w14:textId="77777777" w:rsidR="007C7B1F" w:rsidRPr="00725BC2" w:rsidRDefault="007C7B1F" w:rsidP="007C7B1F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3.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Comparison of Surviving and Non-Surviving Patients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7"/>
        <w:gridCol w:w="2552"/>
        <w:gridCol w:w="2126"/>
        <w:gridCol w:w="1417"/>
      </w:tblGrid>
      <w:tr w:rsidR="007C7B1F" w:rsidRPr="00725BC2" w14:paraId="3F61B72D" w14:textId="77777777" w:rsidTr="008F5A05">
        <w:trPr>
          <w:tblHeader/>
          <w:tblCellSpacing w:w="15" w:type="dxa"/>
        </w:trPr>
        <w:tc>
          <w:tcPr>
            <w:tcW w:w="2932" w:type="dxa"/>
            <w:vAlign w:val="center"/>
            <w:hideMark/>
          </w:tcPr>
          <w:p w14:paraId="29F97AA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2522" w:type="dxa"/>
            <w:vAlign w:val="center"/>
            <w:hideMark/>
          </w:tcPr>
          <w:p w14:paraId="62E23FB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Mortality (−) n = 199</w:t>
            </w:r>
          </w:p>
        </w:tc>
        <w:tc>
          <w:tcPr>
            <w:tcW w:w="2096" w:type="dxa"/>
            <w:vAlign w:val="center"/>
            <w:hideMark/>
          </w:tcPr>
          <w:p w14:paraId="1CB419E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Mortality (+) n = 81</w:t>
            </w:r>
          </w:p>
        </w:tc>
        <w:tc>
          <w:tcPr>
            <w:tcW w:w="1372" w:type="dxa"/>
            <w:vAlign w:val="center"/>
            <w:hideMark/>
          </w:tcPr>
          <w:p w14:paraId="4453013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p-value</w:t>
            </w:r>
          </w:p>
        </w:tc>
      </w:tr>
      <w:tr w:rsidR="007C7B1F" w:rsidRPr="00725BC2" w14:paraId="4700D738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22BD154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2522" w:type="dxa"/>
            <w:vAlign w:val="center"/>
            <w:hideMark/>
          </w:tcPr>
          <w:p w14:paraId="4AE6667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65.8 ± 13.8</w:t>
            </w:r>
          </w:p>
        </w:tc>
        <w:tc>
          <w:tcPr>
            <w:tcW w:w="2096" w:type="dxa"/>
            <w:vAlign w:val="center"/>
            <w:hideMark/>
          </w:tcPr>
          <w:p w14:paraId="03F6A28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72.2 ± 13.0</w:t>
            </w:r>
          </w:p>
        </w:tc>
        <w:tc>
          <w:tcPr>
            <w:tcW w:w="1372" w:type="dxa"/>
            <w:vAlign w:val="center"/>
            <w:hideMark/>
          </w:tcPr>
          <w:p w14:paraId="27C4E13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0.001ᵐ</w:t>
            </w:r>
          </w:p>
        </w:tc>
      </w:tr>
      <w:tr w:rsidR="007C7B1F" w:rsidRPr="00725BC2" w14:paraId="3AEF906D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064D49D4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Female sex, n (%)</w:t>
            </w:r>
          </w:p>
        </w:tc>
        <w:tc>
          <w:tcPr>
            <w:tcW w:w="2522" w:type="dxa"/>
            <w:vAlign w:val="center"/>
            <w:hideMark/>
          </w:tcPr>
          <w:p w14:paraId="5E15EC4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101 (50.8)</w:t>
            </w:r>
          </w:p>
        </w:tc>
        <w:tc>
          <w:tcPr>
            <w:tcW w:w="2096" w:type="dxa"/>
            <w:vAlign w:val="center"/>
            <w:hideMark/>
          </w:tcPr>
          <w:p w14:paraId="0A157A3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51 (63.0)</w:t>
            </w:r>
          </w:p>
        </w:tc>
        <w:tc>
          <w:tcPr>
            <w:tcW w:w="1372" w:type="dxa"/>
            <w:vAlign w:val="center"/>
            <w:hideMark/>
          </w:tcPr>
          <w:p w14:paraId="74FD77F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0.063ᵡ²</w:t>
            </w:r>
          </w:p>
        </w:tc>
      </w:tr>
      <w:tr w:rsidR="007C7B1F" w:rsidRPr="00725BC2" w14:paraId="345AB9E8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138475D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2522" w:type="dxa"/>
            <w:vAlign w:val="center"/>
            <w:hideMark/>
          </w:tcPr>
          <w:p w14:paraId="5BA9CDE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1.8 ± 2.0</w:t>
            </w:r>
          </w:p>
        </w:tc>
        <w:tc>
          <w:tcPr>
            <w:tcW w:w="2096" w:type="dxa"/>
            <w:vAlign w:val="center"/>
            <w:hideMark/>
          </w:tcPr>
          <w:p w14:paraId="1C4D59C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5.4 ± 1.7</w:t>
            </w:r>
          </w:p>
        </w:tc>
        <w:tc>
          <w:tcPr>
            <w:tcW w:w="1372" w:type="dxa"/>
            <w:vAlign w:val="center"/>
            <w:hideMark/>
          </w:tcPr>
          <w:p w14:paraId="5E7B1ED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7C7B1F" w:rsidRPr="00725BC2" w14:paraId="7164D195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179ABBA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Severe–very severe NIHSS category, n (%)</w:t>
            </w:r>
          </w:p>
        </w:tc>
        <w:tc>
          <w:tcPr>
            <w:tcW w:w="2522" w:type="dxa"/>
            <w:vAlign w:val="center"/>
            <w:hideMark/>
          </w:tcPr>
          <w:p w14:paraId="261E666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24 (12.1)</w:t>
            </w:r>
          </w:p>
        </w:tc>
        <w:tc>
          <w:tcPr>
            <w:tcW w:w="2096" w:type="dxa"/>
            <w:vAlign w:val="center"/>
            <w:hideMark/>
          </w:tcPr>
          <w:p w14:paraId="774BBB6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36 (44.4)</w:t>
            </w:r>
          </w:p>
        </w:tc>
        <w:tc>
          <w:tcPr>
            <w:tcW w:w="1372" w:type="dxa"/>
            <w:vAlign w:val="center"/>
            <w:hideMark/>
          </w:tcPr>
          <w:p w14:paraId="2F6283B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&lt;0.001ᵡ²</w:t>
            </w:r>
          </w:p>
        </w:tc>
      </w:tr>
      <w:tr w:rsidR="007C7B1F" w:rsidRPr="00725BC2" w14:paraId="69E8B552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43C93ED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522" w:type="dxa"/>
            <w:vAlign w:val="center"/>
            <w:hideMark/>
          </w:tcPr>
          <w:p w14:paraId="1A7D4FF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42.5 ± 21.2</w:t>
            </w:r>
          </w:p>
        </w:tc>
        <w:tc>
          <w:tcPr>
            <w:tcW w:w="2096" w:type="dxa"/>
            <w:vAlign w:val="center"/>
            <w:hideMark/>
          </w:tcPr>
          <w:p w14:paraId="5471B2F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28.3 ± 23.4</w:t>
            </w:r>
          </w:p>
        </w:tc>
        <w:tc>
          <w:tcPr>
            <w:tcW w:w="1372" w:type="dxa"/>
            <w:vAlign w:val="center"/>
            <w:hideMark/>
          </w:tcPr>
          <w:p w14:paraId="28EB675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7C7B1F" w:rsidRPr="00725BC2" w14:paraId="12F92317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1F80EB8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MCA involvement, n (%)</w:t>
            </w:r>
          </w:p>
        </w:tc>
        <w:tc>
          <w:tcPr>
            <w:tcW w:w="2522" w:type="dxa"/>
            <w:vAlign w:val="center"/>
            <w:hideMark/>
          </w:tcPr>
          <w:p w14:paraId="2FD83A4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70 (35.2)</w:t>
            </w:r>
          </w:p>
        </w:tc>
        <w:tc>
          <w:tcPr>
            <w:tcW w:w="2096" w:type="dxa"/>
            <w:vAlign w:val="center"/>
            <w:hideMark/>
          </w:tcPr>
          <w:p w14:paraId="153FFA3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39 (48.1)</w:t>
            </w:r>
          </w:p>
        </w:tc>
        <w:tc>
          <w:tcPr>
            <w:tcW w:w="1372" w:type="dxa"/>
            <w:vAlign w:val="center"/>
            <w:hideMark/>
          </w:tcPr>
          <w:p w14:paraId="526F4D6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0.044ᵡ²</w:t>
            </w:r>
          </w:p>
        </w:tc>
      </w:tr>
      <w:tr w:rsidR="007C7B1F" w:rsidRPr="00725BC2" w14:paraId="0DBC74EC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7AC3E57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Lacunar infarction, n (%)</w:t>
            </w:r>
          </w:p>
        </w:tc>
        <w:tc>
          <w:tcPr>
            <w:tcW w:w="2522" w:type="dxa"/>
            <w:vAlign w:val="center"/>
            <w:hideMark/>
          </w:tcPr>
          <w:p w14:paraId="48463A2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45 (22.6)</w:t>
            </w:r>
          </w:p>
        </w:tc>
        <w:tc>
          <w:tcPr>
            <w:tcW w:w="2096" w:type="dxa"/>
            <w:vAlign w:val="center"/>
            <w:hideMark/>
          </w:tcPr>
          <w:p w14:paraId="4932C29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10 (12.3)</w:t>
            </w:r>
          </w:p>
        </w:tc>
        <w:tc>
          <w:tcPr>
            <w:tcW w:w="1372" w:type="dxa"/>
            <w:vAlign w:val="center"/>
            <w:hideMark/>
          </w:tcPr>
          <w:p w14:paraId="3B60DAF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0.050ᵡ²</w:t>
            </w:r>
          </w:p>
        </w:tc>
      </w:tr>
      <w:tr w:rsidR="007C7B1F" w:rsidRPr="00725BC2" w14:paraId="5B932846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11DE30A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Hemoglobin (g/dL)</w:t>
            </w:r>
          </w:p>
        </w:tc>
        <w:tc>
          <w:tcPr>
            <w:tcW w:w="2522" w:type="dxa"/>
            <w:vAlign w:val="center"/>
            <w:hideMark/>
          </w:tcPr>
          <w:p w14:paraId="13FCD22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13.2 ± 2.0</w:t>
            </w:r>
          </w:p>
        </w:tc>
        <w:tc>
          <w:tcPr>
            <w:tcW w:w="2096" w:type="dxa"/>
            <w:vAlign w:val="center"/>
            <w:hideMark/>
          </w:tcPr>
          <w:p w14:paraId="6517F6F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12.5 ± 2.2</w:t>
            </w:r>
          </w:p>
        </w:tc>
        <w:tc>
          <w:tcPr>
            <w:tcW w:w="1372" w:type="dxa"/>
            <w:vAlign w:val="center"/>
            <w:hideMark/>
          </w:tcPr>
          <w:p w14:paraId="6369594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0.018ᵐ</w:t>
            </w:r>
          </w:p>
        </w:tc>
      </w:tr>
      <w:tr w:rsidR="007C7B1F" w:rsidRPr="00725BC2" w14:paraId="03A8A70C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377CEEB4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Albumin (g/dL)</w:t>
            </w:r>
          </w:p>
        </w:tc>
        <w:tc>
          <w:tcPr>
            <w:tcW w:w="2522" w:type="dxa"/>
            <w:vAlign w:val="center"/>
            <w:hideMark/>
          </w:tcPr>
          <w:p w14:paraId="4EDE511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3.9 ± 0.5</w:t>
            </w:r>
          </w:p>
        </w:tc>
        <w:tc>
          <w:tcPr>
            <w:tcW w:w="2096" w:type="dxa"/>
            <w:vAlign w:val="center"/>
            <w:hideMark/>
          </w:tcPr>
          <w:p w14:paraId="41DA008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3.7 ± 0.6</w:t>
            </w:r>
          </w:p>
        </w:tc>
        <w:tc>
          <w:tcPr>
            <w:tcW w:w="1372" w:type="dxa"/>
            <w:vAlign w:val="center"/>
            <w:hideMark/>
          </w:tcPr>
          <w:p w14:paraId="635309B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7C7B1F" w:rsidRPr="00725BC2" w14:paraId="1C844532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781D2A9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CRP (mg/L)</w:t>
            </w:r>
          </w:p>
        </w:tc>
        <w:tc>
          <w:tcPr>
            <w:tcW w:w="2522" w:type="dxa"/>
            <w:vAlign w:val="center"/>
            <w:hideMark/>
          </w:tcPr>
          <w:p w14:paraId="11F885C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2.7 ± 4.7</w:t>
            </w:r>
          </w:p>
        </w:tc>
        <w:tc>
          <w:tcPr>
            <w:tcW w:w="2096" w:type="dxa"/>
            <w:vAlign w:val="center"/>
            <w:hideMark/>
          </w:tcPr>
          <w:p w14:paraId="0631EF4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6.7 ± 9.0</w:t>
            </w:r>
          </w:p>
        </w:tc>
        <w:tc>
          <w:tcPr>
            <w:tcW w:w="1372" w:type="dxa"/>
            <w:vAlign w:val="center"/>
            <w:hideMark/>
          </w:tcPr>
          <w:p w14:paraId="44B6310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&lt;0.001ᵐ</w:t>
            </w:r>
          </w:p>
        </w:tc>
      </w:tr>
      <w:tr w:rsidR="007C7B1F" w:rsidRPr="00725BC2" w14:paraId="22FF5669" w14:textId="77777777" w:rsidTr="008F5A05">
        <w:trPr>
          <w:tblCellSpacing w:w="15" w:type="dxa"/>
        </w:trPr>
        <w:tc>
          <w:tcPr>
            <w:tcW w:w="2932" w:type="dxa"/>
            <w:vAlign w:val="center"/>
            <w:hideMark/>
          </w:tcPr>
          <w:p w14:paraId="195F4C9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Complications, n (%)</w:t>
            </w:r>
          </w:p>
        </w:tc>
        <w:tc>
          <w:tcPr>
            <w:tcW w:w="2522" w:type="dxa"/>
            <w:vAlign w:val="center"/>
            <w:hideMark/>
          </w:tcPr>
          <w:p w14:paraId="780AAE0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 (3.0)</w:t>
            </w:r>
          </w:p>
        </w:tc>
        <w:tc>
          <w:tcPr>
            <w:tcW w:w="2096" w:type="dxa"/>
            <w:vAlign w:val="center"/>
            <w:hideMark/>
          </w:tcPr>
          <w:p w14:paraId="4CC3F71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64 (79.0)</w:t>
            </w:r>
          </w:p>
        </w:tc>
        <w:tc>
          <w:tcPr>
            <w:tcW w:w="1372" w:type="dxa"/>
            <w:vAlign w:val="center"/>
            <w:hideMark/>
          </w:tcPr>
          <w:p w14:paraId="14EB53E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&lt;0.001ᵡ²</w:t>
            </w:r>
          </w:p>
        </w:tc>
      </w:tr>
    </w:tbl>
    <w:p w14:paraId="38A2AD2C" w14:textId="77777777" w:rsidR="007C7B1F" w:rsidRPr="00152ABA" w:rsidRDefault="007C7B1F" w:rsidP="007C7B1F">
      <w:pPr>
        <w:pBdr>
          <w:top w:val="single" w:sz="4" w:space="1" w:color="auto"/>
        </w:pBdr>
        <w:spacing w:after="0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mRS, modified Rankin Scale; NIHSS, National Institutes of Health Stroke Scale; HALP, hemoglobin × albumin × lymphocyte / platelet; MCA, middle cerebral artery; CRP, C-reactive protein.</w:t>
      </w:r>
    </w:p>
    <w:p w14:paraId="53DA3F35" w14:textId="77777777" w:rsidR="007C7B1F" w:rsidRPr="00725BC2" w:rsidRDefault="007C7B1F" w:rsidP="007C7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76B7C65E" w14:textId="77777777" w:rsidR="007C7B1F" w:rsidRPr="00725BC2" w:rsidRDefault="007C7B1F" w:rsidP="007C7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0341F67E" w14:textId="77777777" w:rsidR="007C7B1F" w:rsidRPr="00725BC2" w:rsidRDefault="007C7B1F" w:rsidP="007C7B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eastAsia="tr-TR"/>
          <w14:ligatures w14:val="none"/>
        </w:rPr>
      </w:pPr>
    </w:p>
    <w:p w14:paraId="1499FA72" w14:textId="77777777" w:rsidR="007C7B1F" w:rsidRPr="00725BC2" w:rsidRDefault="007C7B1F" w:rsidP="007C7B1F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4.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Logistic Regression Analysis of Factors Associated with Mortality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0"/>
        <w:gridCol w:w="2693"/>
        <w:gridCol w:w="1134"/>
        <w:gridCol w:w="2835"/>
        <w:gridCol w:w="850"/>
      </w:tblGrid>
      <w:tr w:rsidR="007C7B1F" w:rsidRPr="00725BC2" w14:paraId="3F6A1E9B" w14:textId="77777777" w:rsidTr="008F5A05">
        <w:trPr>
          <w:tblHeader/>
          <w:tblCellSpacing w:w="15" w:type="dxa"/>
        </w:trPr>
        <w:tc>
          <w:tcPr>
            <w:tcW w:w="1515" w:type="dxa"/>
            <w:vAlign w:val="center"/>
            <w:hideMark/>
          </w:tcPr>
          <w:p w14:paraId="7229A38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Variable</w:t>
            </w:r>
          </w:p>
        </w:tc>
        <w:tc>
          <w:tcPr>
            <w:tcW w:w="2663" w:type="dxa"/>
            <w:vAlign w:val="center"/>
            <w:hideMark/>
          </w:tcPr>
          <w:p w14:paraId="427296A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Univariate OR (95% CI)</w:t>
            </w:r>
          </w:p>
        </w:tc>
        <w:tc>
          <w:tcPr>
            <w:tcW w:w="1104" w:type="dxa"/>
            <w:vAlign w:val="center"/>
            <w:hideMark/>
          </w:tcPr>
          <w:p w14:paraId="4109879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  <w:tc>
          <w:tcPr>
            <w:tcW w:w="2805" w:type="dxa"/>
            <w:vAlign w:val="center"/>
            <w:hideMark/>
          </w:tcPr>
          <w:p w14:paraId="25A465C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Multivariate OR (95% CI)</w:t>
            </w:r>
          </w:p>
        </w:tc>
        <w:tc>
          <w:tcPr>
            <w:tcW w:w="805" w:type="dxa"/>
            <w:vAlign w:val="center"/>
            <w:hideMark/>
          </w:tcPr>
          <w:p w14:paraId="2EE26C8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7C7B1F" w:rsidRPr="00725BC2" w14:paraId="40F2E6AD" w14:textId="77777777" w:rsidTr="008F5A05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6524F68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(years)</w:t>
            </w:r>
          </w:p>
        </w:tc>
        <w:tc>
          <w:tcPr>
            <w:tcW w:w="2663" w:type="dxa"/>
            <w:vAlign w:val="center"/>
            <w:hideMark/>
          </w:tcPr>
          <w:p w14:paraId="56135BA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1.038 (1.016–1.060)</w:t>
            </w:r>
          </w:p>
        </w:tc>
        <w:tc>
          <w:tcPr>
            <w:tcW w:w="1104" w:type="dxa"/>
            <w:vAlign w:val="center"/>
            <w:hideMark/>
          </w:tcPr>
          <w:p w14:paraId="3FB127F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0.001</w:t>
            </w:r>
          </w:p>
        </w:tc>
        <w:tc>
          <w:tcPr>
            <w:tcW w:w="2805" w:type="dxa"/>
            <w:vAlign w:val="center"/>
            <w:hideMark/>
          </w:tcPr>
          <w:p w14:paraId="0A56C49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  <w:tc>
          <w:tcPr>
            <w:tcW w:w="805" w:type="dxa"/>
            <w:vAlign w:val="center"/>
            <w:hideMark/>
          </w:tcPr>
          <w:p w14:paraId="3DC1700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—</w:t>
            </w:r>
          </w:p>
        </w:tc>
      </w:tr>
      <w:tr w:rsidR="007C7B1F" w:rsidRPr="00725BC2" w14:paraId="35A22D9D" w14:textId="77777777" w:rsidTr="008F5A05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41884E8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mRS score</w:t>
            </w:r>
          </w:p>
        </w:tc>
        <w:tc>
          <w:tcPr>
            <w:tcW w:w="2663" w:type="dxa"/>
            <w:vAlign w:val="center"/>
            <w:hideMark/>
          </w:tcPr>
          <w:p w14:paraId="253A003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2.023 (1.730–2.366)</w:t>
            </w:r>
          </w:p>
        </w:tc>
        <w:tc>
          <w:tcPr>
            <w:tcW w:w="1104" w:type="dxa"/>
            <w:vAlign w:val="center"/>
            <w:hideMark/>
          </w:tcPr>
          <w:p w14:paraId="3D271007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1E9EB26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1.769 (1.491–2.099)</w:t>
            </w:r>
          </w:p>
        </w:tc>
        <w:tc>
          <w:tcPr>
            <w:tcW w:w="805" w:type="dxa"/>
            <w:vAlign w:val="center"/>
            <w:hideMark/>
          </w:tcPr>
          <w:p w14:paraId="492F462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7C7B1F" w:rsidRPr="00725BC2" w14:paraId="549494D9" w14:textId="77777777" w:rsidTr="008F5A05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29BCC0C5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Severe–very severe NIHSS category</w:t>
            </w:r>
          </w:p>
        </w:tc>
        <w:tc>
          <w:tcPr>
            <w:tcW w:w="2663" w:type="dxa"/>
            <w:vAlign w:val="center"/>
            <w:hideMark/>
          </w:tcPr>
          <w:p w14:paraId="493C0C2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3.535 (2.367–5.278)</w:t>
            </w:r>
          </w:p>
        </w:tc>
        <w:tc>
          <w:tcPr>
            <w:tcW w:w="1104" w:type="dxa"/>
            <w:vAlign w:val="center"/>
            <w:hideMark/>
          </w:tcPr>
          <w:p w14:paraId="1FAAEBB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7B20AFA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2.025 (1.217–3.370)</w:t>
            </w:r>
          </w:p>
        </w:tc>
        <w:tc>
          <w:tcPr>
            <w:tcW w:w="805" w:type="dxa"/>
            <w:vAlign w:val="center"/>
            <w:hideMark/>
          </w:tcPr>
          <w:p w14:paraId="2FFE948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0.007</w:t>
            </w:r>
          </w:p>
        </w:tc>
      </w:tr>
      <w:tr w:rsidR="007C7B1F" w:rsidRPr="00725BC2" w14:paraId="166729F1" w14:textId="77777777" w:rsidTr="008F5A05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631F1D3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663" w:type="dxa"/>
            <w:vAlign w:val="center"/>
            <w:hideMark/>
          </w:tcPr>
          <w:p w14:paraId="3BB01B9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0.963 (0.947–0.979)</w:t>
            </w:r>
          </w:p>
        </w:tc>
        <w:tc>
          <w:tcPr>
            <w:tcW w:w="1104" w:type="dxa"/>
            <w:vAlign w:val="center"/>
            <w:hideMark/>
          </w:tcPr>
          <w:p w14:paraId="6E1F8FE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4BE06A2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0.983 (0.966–0.999)</w:t>
            </w:r>
          </w:p>
        </w:tc>
        <w:tc>
          <w:tcPr>
            <w:tcW w:w="805" w:type="dxa"/>
            <w:vAlign w:val="center"/>
            <w:hideMark/>
          </w:tcPr>
          <w:p w14:paraId="7B55674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0.040</w:t>
            </w:r>
          </w:p>
        </w:tc>
      </w:tr>
      <w:tr w:rsidR="007C7B1F" w:rsidRPr="00725BC2" w14:paraId="34A89CDD" w14:textId="77777777" w:rsidTr="008F5A05">
        <w:trPr>
          <w:tblCellSpacing w:w="15" w:type="dxa"/>
        </w:trPr>
        <w:tc>
          <w:tcPr>
            <w:tcW w:w="1515" w:type="dxa"/>
            <w:vAlign w:val="center"/>
            <w:hideMark/>
          </w:tcPr>
          <w:p w14:paraId="0EC0C9D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CRP (mg/L)</w:t>
            </w:r>
          </w:p>
        </w:tc>
        <w:tc>
          <w:tcPr>
            <w:tcW w:w="2663" w:type="dxa"/>
            <w:vAlign w:val="center"/>
            <w:hideMark/>
          </w:tcPr>
          <w:p w14:paraId="150ADA1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1.096 (1.049–1.145)</w:t>
            </w:r>
          </w:p>
        </w:tc>
        <w:tc>
          <w:tcPr>
            <w:tcW w:w="1104" w:type="dxa"/>
            <w:vAlign w:val="center"/>
            <w:hideMark/>
          </w:tcPr>
          <w:p w14:paraId="5C5CD68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  <w:tc>
          <w:tcPr>
            <w:tcW w:w="2805" w:type="dxa"/>
            <w:vAlign w:val="center"/>
            <w:hideMark/>
          </w:tcPr>
          <w:p w14:paraId="709DF744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1.055 (1.002–1.110)</w:t>
            </w:r>
          </w:p>
        </w:tc>
        <w:tc>
          <w:tcPr>
            <w:tcW w:w="805" w:type="dxa"/>
            <w:vAlign w:val="center"/>
            <w:hideMark/>
          </w:tcPr>
          <w:p w14:paraId="7723D4D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0.042</w:t>
            </w:r>
          </w:p>
        </w:tc>
      </w:tr>
    </w:tbl>
    <w:p w14:paraId="439687A7" w14:textId="77777777" w:rsidR="007C7B1F" w:rsidRPr="00152ABA" w:rsidRDefault="007C7B1F" w:rsidP="007C7B1F">
      <w:pPr>
        <w:pBdr>
          <w:top w:val="single" w:sz="4" w:space="1" w:color="auto"/>
        </w:pBd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mRS, modified Rankin Scale; NIHSS, National Institutes of Health Stroke Scale; HALP, hemoglobin × albumin × lymphocyte / platelet; MCA, middle cerebral artery; CRP, C-reactive protein.</w:t>
      </w:r>
    </w:p>
    <w:p w14:paraId="00DEE272" w14:textId="77777777" w:rsidR="007C7B1F" w:rsidRDefault="007C7B1F" w:rsidP="007C7B1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tr-TR"/>
          <w14:ligatures w14:val="none"/>
        </w:rPr>
      </w:pPr>
    </w:p>
    <w:p w14:paraId="01A1DB8D" w14:textId="77777777" w:rsidR="007C7B1F" w:rsidRPr="00725BC2" w:rsidRDefault="007C7B1F" w:rsidP="007C7B1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eastAsia="tr-TR"/>
          <w14:ligatures w14:val="none"/>
        </w:rPr>
      </w:pPr>
    </w:p>
    <w:p w14:paraId="3970632D" w14:textId="77777777" w:rsidR="007C7B1F" w:rsidRPr="00725BC2" w:rsidRDefault="007C7B1F" w:rsidP="007C7B1F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5.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ROC Analysis of HALP Score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4"/>
        <w:gridCol w:w="2409"/>
        <w:gridCol w:w="3119"/>
        <w:gridCol w:w="850"/>
      </w:tblGrid>
      <w:tr w:rsidR="007C7B1F" w:rsidRPr="00725BC2" w14:paraId="1610FE5F" w14:textId="77777777" w:rsidTr="008F5A05">
        <w:trPr>
          <w:tblHeader/>
          <w:tblCellSpacing w:w="15" w:type="dxa"/>
        </w:trPr>
        <w:tc>
          <w:tcPr>
            <w:tcW w:w="2649" w:type="dxa"/>
            <w:vAlign w:val="center"/>
            <w:hideMark/>
          </w:tcPr>
          <w:p w14:paraId="2799881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Parameter</w:t>
            </w:r>
          </w:p>
        </w:tc>
        <w:tc>
          <w:tcPr>
            <w:tcW w:w="2379" w:type="dxa"/>
            <w:vAlign w:val="center"/>
            <w:hideMark/>
          </w:tcPr>
          <w:p w14:paraId="48073B5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AUC</w:t>
            </w:r>
          </w:p>
        </w:tc>
        <w:tc>
          <w:tcPr>
            <w:tcW w:w="3089" w:type="dxa"/>
            <w:vAlign w:val="center"/>
            <w:hideMark/>
          </w:tcPr>
          <w:p w14:paraId="587D4A88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95% CI</w:t>
            </w:r>
          </w:p>
        </w:tc>
        <w:tc>
          <w:tcPr>
            <w:tcW w:w="805" w:type="dxa"/>
            <w:vAlign w:val="center"/>
            <w:hideMark/>
          </w:tcPr>
          <w:p w14:paraId="59A124E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7C7B1F" w:rsidRPr="00725BC2" w14:paraId="4451A327" w14:textId="77777777" w:rsidTr="008F5A05">
        <w:trPr>
          <w:trHeight w:val="319"/>
          <w:tblCellSpacing w:w="15" w:type="dxa"/>
        </w:trPr>
        <w:tc>
          <w:tcPr>
            <w:tcW w:w="2649" w:type="dxa"/>
            <w:vAlign w:val="center"/>
            <w:hideMark/>
          </w:tcPr>
          <w:p w14:paraId="24FB373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379" w:type="dxa"/>
            <w:vAlign w:val="center"/>
            <w:hideMark/>
          </w:tcPr>
          <w:p w14:paraId="5480FA8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0.735</w:t>
            </w:r>
          </w:p>
        </w:tc>
        <w:tc>
          <w:tcPr>
            <w:tcW w:w="3089" w:type="dxa"/>
            <w:vAlign w:val="center"/>
            <w:hideMark/>
          </w:tcPr>
          <w:p w14:paraId="731757C4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0.665–0.804</w:t>
            </w:r>
          </w:p>
        </w:tc>
        <w:tc>
          <w:tcPr>
            <w:tcW w:w="805" w:type="dxa"/>
            <w:vAlign w:val="center"/>
            <w:hideMark/>
          </w:tcPr>
          <w:p w14:paraId="618EF4C9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7C7B1F" w:rsidRPr="00725BC2" w14:paraId="4731B0D1" w14:textId="77777777" w:rsidTr="008F5A05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0AECEAB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Parameter</w:t>
            </w:r>
          </w:p>
        </w:tc>
        <w:tc>
          <w:tcPr>
            <w:tcW w:w="2379" w:type="dxa"/>
            <w:vAlign w:val="center"/>
            <w:hideMark/>
          </w:tcPr>
          <w:p w14:paraId="3DF5E06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AUC</w:t>
            </w:r>
          </w:p>
        </w:tc>
        <w:tc>
          <w:tcPr>
            <w:tcW w:w="3089" w:type="dxa"/>
            <w:vAlign w:val="center"/>
            <w:hideMark/>
          </w:tcPr>
          <w:p w14:paraId="1CAF7CEF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95% CI</w:t>
            </w:r>
          </w:p>
        </w:tc>
        <w:tc>
          <w:tcPr>
            <w:tcW w:w="805" w:type="dxa"/>
            <w:vAlign w:val="center"/>
            <w:hideMark/>
          </w:tcPr>
          <w:p w14:paraId="13588D4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7C7B1F" w:rsidRPr="00725BC2" w14:paraId="1D7D8989" w14:textId="77777777" w:rsidTr="008F5A05">
        <w:trPr>
          <w:tblCellSpacing w:w="15" w:type="dxa"/>
        </w:trPr>
        <w:tc>
          <w:tcPr>
            <w:tcW w:w="2649" w:type="dxa"/>
            <w:vAlign w:val="center"/>
            <w:hideMark/>
          </w:tcPr>
          <w:p w14:paraId="585926B4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HALP score</w:t>
            </w:r>
          </w:p>
        </w:tc>
        <w:tc>
          <w:tcPr>
            <w:tcW w:w="2379" w:type="dxa"/>
            <w:vAlign w:val="center"/>
            <w:hideMark/>
          </w:tcPr>
          <w:p w14:paraId="6F2EACF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0.735</w:t>
            </w:r>
          </w:p>
        </w:tc>
        <w:tc>
          <w:tcPr>
            <w:tcW w:w="3089" w:type="dxa"/>
            <w:vAlign w:val="center"/>
            <w:hideMark/>
          </w:tcPr>
          <w:p w14:paraId="6CAF71C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0.665–0.804</w:t>
            </w:r>
          </w:p>
        </w:tc>
        <w:tc>
          <w:tcPr>
            <w:tcW w:w="805" w:type="dxa"/>
            <w:vAlign w:val="center"/>
            <w:hideMark/>
          </w:tcPr>
          <w:p w14:paraId="21ADA41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</w:tbl>
    <w:p w14:paraId="74120B8E" w14:textId="77777777" w:rsidR="007C7B1F" w:rsidRPr="00152ABA" w:rsidRDefault="007C7B1F" w:rsidP="007C7B1F">
      <w:pPr>
        <w:pBdr>
          <w:top w:val="single" w:sz="4" w:space="1" w:color="auto"/>
        </w:pBdr>
        <w:spacing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>Abbreviations: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 xml:space="preserve"> AUC, area under the curve; CI, confidence interval; PPV, positive predictive value; NPV, negative predictive value; HALP, hemoglobin × albumin × lymphocyte / platelet.</w:t>
      </w:r>
    </w:p>
    <w:p w14:paraId="73524F07" w14:textId="77777777" w:rsidR="007C7B1F" w:rsidRDefault="007C7B1F" w:rsidP="007C7B1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37AEB6E8" w14:textId="77777777" w:rsidR="007C7B1F" w:rsidRPr="00725BC2" w:rsidRDefault="007C7B1F" w:rsidP="007C7B1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44ABA365" w14:textId="77777777" w:rsidR="007C7B1F" w:rsidRPr="00725BC2" w:rsidRDefault="007C7B1F" w:rsidP="007C7B1F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  <w:r w:rsidRPr="00725BC2"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  <w:t xml:space="preserve">Table 6. </w:t>
      </w:r>
      <w:r w:rsidRPr="00725BC2">
        <w:rPr>
          <w:rFonts w:ascii="Times New Roman" w:eastAsia="Times New Roman" w:hAnsi="Times New Roman" w:cs="Times New Roman"/>
          <w:kern w:val="0"/>
          <w:lang w:eastAsia="tr-TR"/>
          <w14:ligatures w14:val="none"/>
        </w:rPr>
        <w:t>Subgroup Analysis of HALP Score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4"/>
        <w:gridCol w:w="3827"/>
        <w:gridCol w:w="1701"/>
      </w:tblGrid>
      <w:tr w:rsidR="007C7B1F" w:rsidRPr="00725BC2" w14:paraId="3943BD3D" w14:textId="77777777" w:rsidTr="008F5A05">
        <w:trPr>
          <w:tblHeader/>
          <w:tblCellSpacing w:w="15" w:type="dxa"/>
        </w:trPr>
        <w:tc>
          <w:tcPr>
            <w:tcW w:w="3499" w:type="dxa"/>
            <w:vAlign w:val="center"/>
            <w:hideMark/>
          </w:tcPr>
          <w:p w14:paraId="07A82D9D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Subgroup</w:t>
            </w:r>
          </w:p>
        </w:tc>
        <w:tc>
          <w:tcPr>
            <w:tcW w:w="3797" w:type="dxa"/>
            <w:vAlign w:val="center"/>
            <w:hideMark/>
          </w:tcPr>
          <w:p w14:paraId="59EAA44B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OR (95% CI)</w:t>
            </w:r>
          </w:p>
        </w:tc>
        <w:tc>
          <w:tcPr>
            <w:tcW w:w="1656" w:type="dxa"/>
            <w:vAlign w:val="center"/>
            <w:hideMark/>
          </w:tcPr>
          <w:p w14:paraId="19ADBD4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p</w:t>
            </w:r>
          </w:p>
        </w:tc>
      </w:tr>
      <w:tr w:rsidR="007C7B1F" w:rsidRPr="00725BC2" w14:paraId="44CFE282" w14:textId="77777777" w:rsidTr="008F5A05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76BFA293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Overall</w:t>
            </w:r>
          </w:p>
        </w:tc>
        <w:tc>
          <w:tcPr>
            <w:tcW w:w="3797" w:type="dxa"/>
            <w:vAlign w:val="center"/>
            <w:hideMark/>
          </w:tcPr>
          <w:p w14:paraId="30CCE44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(0.996–0.999)</w:t>
            </w:r>
          </w:p>
        </w:tc>
        <w:tc>
          <w:tcPr>
            <w:tcW w:w="1656" w:type="dxa"/>
            <w:vAlign w:val="center"/>
            <w:hideMark/>
          </w:tcPr>
          <w:p w14:paraId="3F5F446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7C7B1F" w:rsidRPr="00725BC2" w14:paraId="37FB48DA" w14:textId="77777777" w:rsidTr="008F5A05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76316CD1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Female</w:t>
            </w:r>
          </w:p>
        </w:tc>
        <w:tc>
          <w:tcPr>
            <w:tcW w:w="3797" w:type="dxa"/>
            <w:vAlign w:val="center"/>
            <w:hideMark/>
          </w:tcPr>
          <w:p w14:paraId="612874BA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0.997 (0.995–1.000)</w:t>
            </w:r>
          </w:p>
        </w:tc>
        <w:tc>
          <w:tcPr>
            <w:tcW w:w="1656" w:type="dxa"/>
            <w:vAlign w:val="center"/>
            <w:hideMark/>
          </w:tcPr>
          <w:p w14:paraId="6812E58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0.009</w:t>
            </w:r>
          </w:p>
        </w:tc>
      </w:tr>
      <w:tr w:rsidR="007C7B1F" w:rsidRPr="00725BC2" w14:paraId="42EE451B" w14:textId="77777777" w:rsidTr="008F5A05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3E269582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Male</w:t>
            </w:r>
          </w:p>
        </w:tc>
        <w:tc>
          <w:tcPr>
            <w:tcW w:w="3797" w:type="dxa"/>
            <w:vAlign w:val="center"/>
            <w:hideMark/>
          </w:tcPr>
          <w:p w14:paraId="69426C8C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(0.996–1.000)</w:t>
            </w:r>
          </w:p>
        </w:tc>
        <w:tc>
          <w:tcPr>
            <w:tcW w:w="1656" w:type="dxa"/>
            <w:vAlign w:val="center"/>
            <w:hideMark/>
          </w:tcPr>
          <w:p w14:paraId="344B2C4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&lt;0.001</w:t>
            </w:r>
          </w:p>
        </w:tc>
      </w:tr>
      <w:tr w:rsidR="007C7B1F" w:rsidRPr="00725BC2" w14:paraId="46C80C4A" w14:textId="77777777" w:rsidTr="008F5A05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49DE082E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b/>
                <w:bCs/>
                <w:kern w:val="0"/>
                <w:lang w:eastAsia="tr-TR"/>
                <w14:ligatures w14:val="none"/>
              </w:rPr>
              <w:t>Age ≥ 70 years</w:t>
            </w:r>
          </w:p>
        </w:tc>
        <w:tc>
          <w:tcPr>
            <w:tcW w:w="3797" w:type="dxa"/>
            <w:vAlign w:val="center"/>
            <w:hideMark/>
          </w:tcPr>
          <w:p w14:paraId="65ECB1B6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0.998 (0.996–1.000)</w:t>
            </w:r>
          </w:p>
        </w:tc>
        <w:tc>
          <w:tcPr>
            <w:tcW w:w="1656" w:type="dxa"/>
            <w:vAlign w:val="center"/>
            <w:hideMark/>
          </w:tcPr>
          <w:p w14:paraId="446A8DA0" w14:textId="77777777" w:rsidR="007C7B1F" w:rsidRPr="00725BC2" w:rsidRDefault="007C7B1F" w:rsidP="008F5A05">
            <w:pPr>
              <w:pBdr>
                <w:top w:val="single" w:sz="4" w:space="1" w:color="auto"/>
              </w:pBdr>
              <w:spacing w:before="100" w:beforeAutospacing="1" w:after="100" w:afterAutospacing="1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</w:pPr>
            <w:r w:rsidRPr="00725BC2">
              <w:rPr>
                <w:rFonts w:ascii="Times New Roman" w:eastAsia="Times New Roman" w:hAnsi="Times New Roman" w:cs="Times New Roman"/>
                <w:kern w:val="0"/>
                <w:lang w:eastAsia="tr-TR"/>
                <w14:ligatures w14:val="none"/>
              </w:rPr>
              <w:t>0.005</w:t>
            </w:r>
          </w:p>
        </w:tc>
      </w:tr>
    </w:tbl>
    <w:p w14:paraId="038C5292" w14:textId="77777777" w:rsidR="007C7B1F" w:rsidRPr="00152ABA" w:rsidRDefault="007C7B1F" w:rsidP="007C7B1F">
      <w:pPr>
        <w:pBdr>
          <w:top w:val="single" w:sz="4" w:space="1" w:color="auto"/>
        </w:pBdr>
        <w:spacing w:after="0" w:line="240" w:lineRule="auto"/>
        <w:outlineLvl w:val="1"/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</w:pPr>
      <w:r w:rsidRPr="00152ABA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tr-TR"/>
          <w14:ligatures w14:val="none"/>
        </w:rPr>
        <w:t xml:space="preserve">Abbreviations: </w:t>
      </w:r>
      <w:r w:rsidRPr="00152ABA">
        <w:rPr>
          <w:rFonts w:ascii="Times New Roman" w:eastAsia="Times New Roman" w:hAnsi="Times New Roman" w:cs="Times New Roman"/>
          <w:kern w:val="0"/>
          <w:sz w:val="18"/>
          <w:szCs w:val="18"/>
          <w:lang w:eastAsia="tr-TR"/>
          <w14:ligatures w14:val="none"/>
        </w:rPr>
        <w:t>HALP, hemoglobin × albumin × lymphocyte / platelet; OR, odds ratio; CI, confidence interval.</w:t>
      </w:r>
    </w:p>
    <w:p w14:paraId="39485CCB" w14:textId="77777777" w:rsidR="007C7B1F" w:rsidRPr="00725BC2" w:rsidRDefault="007C7B1F" w:rsidP="007C7B1F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tr-TR"/>
          <w14:ligatures w14:val="none"/>
        </w:rPr>
      </w:pPr>
    </w:p>
    <w:p w14:paraId="3A55C00C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7B1F"/>
    <w:rsid w:val="002978F5"/>
    <w:rsid w:val="003852CF"/>
    <w:rsid w:val="004E780C"/>
    <w:rsid w:val="007C7B1F"/>
    <w:rsid w:val="009A2E65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5419A"/>
  <w15:chartTrackingRefBased/>
  <w15:docId w15:val="{0A79CA6A-F2BE-4161-A0BA-2FE7280E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B1F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7B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7B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7B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7B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7B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7B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7B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7B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7B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7B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7B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7B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7B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7B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7B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7B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7B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7B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7B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C7B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7B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C7B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7B1F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C7B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7B1F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7C7B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7B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7B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7B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581</Words>
  <Characters>3713</Characters>
  <Application>Microsoft Office Word</Application>
  <DocSecurity>0</DocSecurity>
  <Lines>100</Lines>
  <Paragraphs>57</Paragraphs>
  <ScaleCrop>false</ScaleCrop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2026-02-19T15:55:00Z</dcterms:created>
  <dcterms:modified xsi:type="dcterms:W3CDTF">2026-02-19T15:55:00Z</dcterms:modified>
</cp:coreProperties>
</file>