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A1B95" w14:textId="77777777" w:rsidR="00CD5706" w:rsidRPr="001F7BDF" w:rsidRDefault="00CD5706" w:rsidP="00CD5706">
      <w:pPr>
        <w:pStyle w:val="Heading1"/>
        <w:spacing w:after="120"/>
        <w:rPr>
          <w:rFonts w:eastAsia="Times New Roman"/>
          <w:szCs w:val="28"/>
        </w:rPr>
      </w:pPr>
      <w:r w:rsidRPr="001F7BDF">
        <w:rPr>
          <w:rFonts w:eastAsia="Times New Roman"/>
          <w:szCs w:val="28"/>
        </w:rPr>
        <w:t>Supplementary information</w:t>
      </w:r>
    </w:p>
    <w:p w14:paraId="2D511279" w14:textId="77777777" w:rsidR="00CD5706" w:rsidRDefault="00CD5706" w:rsidP="00CD5706">
      <w:pPr>
        <w:spacing w:after="0" w:line="360" w:lineRule="auto"/>
        <w:rPr>
          <w:rFonts w:cs="Times New Roman"/>
          <w:lang w:eastAsia="de-DE"/>
        </w:rPr>
      </w:pPr>
    </w:p>
    <w:p w14:paraId="1A3E82A7" w14:textId="77777777" w:rsidR="00CD5706" w:rsidRPr="00550603" w:rsidRDefault="00CD5706" w:rsidP="00CD5706">
      <w:pPr>
        <w:pStyle w:val="Caption"/>
        <w:keepNext/>
        <w:rPr>
          <w:color w:val="auto"/>
          <w:sz w:val="22"/>
          <w:szCs w:val="22"/>
        </w:rPr>
      </w:pPr>
      <w:r w:rsidRPr="00550603">
        <w:rPr>
          <w:color w:val="auto"/>
          <w:sz w:val="22"/>
          <w:szCs w:val="22"/>
        </w:rPr>
        <w:t xml:space="preserve">Formula </w:t>
      </w:r>
      <w:r w:rsidRPr="00550603">
        <w:rPr>
          <w:color w:val="auto"/>
          <w:sz w:val="22"/>
          <w:szCs w:val="22"/>
        </w:rPr>
        <w:fldChar w:fldCharType="begin"/>
      </w:r>
      <w:r w:rsidRPr="00550603">
        <w:rPr>
          <w:color w:val="auto"/>
          <w:sz w:val="22"/>
          <w:szCs w:val="22"/>
        </w:rPr>
        <w:instrText xml:space="preserve"> SEQ Formula \* ARABIC </w:instrText>
      </w:r>
      <w:r w:rsidRPr="00550603">
        <w:rPr>
          <w:color w:val="auto"/>
          <w:sz w:val="22"/>
          <w:szCs w:val="22"/>
        </w:rPr>
        <w:fldChar w:fldCharType="separate"/>
      </w:r>
      <w:r>
        <w:rPr>
          <w:noProof/>
          <w:color w:val="auto"/>
          <w:sz w:val="22"/>
          <w:szCs w:val="22"/>
        </w:rPr>
        <w:t>1</w:t>
      </w:r>
      <w:r w:rsidRPr="00550603">
        <w:rPr>
          <w:color w:val="auto"/>
          <w:sz w:val="22"/>
          <w:szCs w:val="22"/>
        </w:rPr>
        <w:fldChar w:fldCharType="end"/>
      </w:r>
      <w:r>
        <w:rPr>
          <w:color w:val="auto"/>
          <w:sz w:val="22"/>
          <w:szCs w:val="22"/>
        </w:rPr>
        <w:t>a.</w:t>
      </w:r>
      <w:r w:rsidRPr="00550603">
        <w:rPr>
          <w:color w:val="auto"/>
          <w:sz w:val="22"/>
          <w:szCs w:val="22"/>
        </w:rPr>
        <w:t xml:space="preserve"> </w:t>
      </w:r>
      <w:r>
        <w:rPr>
          <w:color w:val="auto"/>
          <w:sz w:val="22"/>
          <w:szCs w:val="22"/>
        </w:rPr>
        <w:t xml:space="preserve">Normalization of vesicular albumin to suspension volume and volume of urine </w:t>
      </w:r>
    </w:p>
    <w:p w14:paraId="6B26FA36" w14:textId="77777777" w:rsidR="00CD5706" w:rsidRPr="00DC4273" w:rsidRDefault="00CD5706" w:rsidP="00CD5706">
      <w:pPr>
        <w:spacing w:after="0" w:line="360" w:lineRule="auto"/>
        <w:rPr>
          <w:rFonts w:eastAsiaTheme="minorEastAsia" w:cs="Times New Roman"/>
          <w:lang w:eastAsia="de-DE"/>
        </w:rPr>
      </w:pPr>
      <m:oMathPara>
        <m:oMath>
          <m:r>
            <w:rPr>
              <w:rFonts w:ascii="Cambria Math" w:hAnsi="Cambria Math" w:cs="Arial"/>
              <w:lang w:eastAsia="de-DE"/>
            </w:rPr>
            <m:t xml:space="preserve"> </m:t>
          </m:r>
          <m:f>
            <m:fPr>
              <m:ctrlPr>
                <w:rPr>
                  <w:rFonts w:ascii="Cambria Math" w:hAnsi="Cambria Math" w:cs="Arial"/>
                  <w:lang w:eastAsia="de-DE"/>
                </w:rPr>
              </m:ctrlPr>
            </m:fPr>
            <m:num>
              <m:r>
                <w:rPr>
                  <w:rFonts w:ascii="Cambria Math" w:hAnsi="Cambria Math" w:cs="Arial"/>
                  <w:lang w:eastAsia="de-DE"/>
                </w:rPr>
                <m:t>vesicular albumin concentration</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pg</m:t>
                      </m:r>
                    </m:num>
                    <m:den>
                      <m:r>
                        <w:rPr>
                          <w:rFonts w:ascii="Cambria Math" w:hAnsi="Cambria Math" w:cs="Arial"/>
                          <w:lang w:eastAsia="de-DE"/>
                        </w:rPr>
                        <m:t>mL</m:t>
                      </m:r>
                    </m:den>
                  </m:f>
                </m:e>
              </m:d>
              <m:r>
                <w:rPr>
                  <w:rFonts w:ascii="Cambria Math" w:hAnsi="Cambria Math" w:cs="Arial"/>
                  <w:lang w:eastAsia="de-DE"/>
                </w:rPr>
                <m:t>x EV suspension volume (mL)</m:t>
              </m:r>
            </m:num>
            <m:den>
              <m:r>
                <w:rPr>
                  <w:rFonts w:ascii="Cambria Math" w:hAnsi="Cambria Math" w:cs="Arial"/>
                  <w:lang w:eastAsia="de-DE"/>
                </w:rPr>
                <m:t>Volume of urine used (mL)</m:t>
              </m:r>
            </m:den>
          </m:f>
        </m:oMath>
      </m:oMathPara>
    </w:p>
    <w:p w14:paraId="5159D6A3" w14:textId="77777777" w:rsidR="00CD5706" w:rsidRDefault="00CD5706" w:rsidP="00CD5706">
      <w:pPr>
        <w:spacing w:after="0" w:line="360" w:lineRule="auto"/>
        <w:rPr>
          <w:rFonts w:eastAsiaTheme="minorEastAsia" w:cs="Times New Roman"/>
          <w:lang w:eastAsia="de-DE"/>
        </w:rPr>
      </w:pPr>
    </w:p>
    <w:p w14:paraId="7E8C1024" w14:textId="77777777" w:rsidR="00CD5706" w:rsidRPr="00550603" w:rsidRDefault="00CD5706" w:rsidP="00CD5706">
      <w:pPr>
        <w:pStyle w:val="Caption"/>
        <w:keepNext/>
        <w:rPr>
          <w:color w:val="auto"/>
          <w:sz w:val="22"/>
          <w:szCs w:val="22"/>
        </w:rPr>
      </w:pPr>
      <w:r w:rsidRPr="00550603">
        <w:rPr>
          <w:color w:val="auto"/>
          <w:sz w:val="22"/>
          <w:szCs w:val="22"/>
        </w:rPr>
        <w:t xml:space="preserve">Formula </w:t>
      </w:r>
      <w:r>
        <w:rPr>
          <w:color w:val="auto"/>
          <w:sz w:val="22"/>
          <w:szCs w:val="22"/>
        </w:rPr>
        <w:t>1b.</w:t>
      </w:r>
      <w:r w:rsidRPr="00550603">
        <w:rPr>
          <w:color w:val="auto"/>
          <w:sz w:val="22"/>
          <w:szCs w:val="22"/>
        </w:rPr>
        <w:t xml:space="preserve"> </w:t>
      </w:r>
      <w:r>
        <w:rPr>
          <w:color w:val="auto"/>
          <w:sz w:val="22"/>
          <w:szCs w:val="22"/>
        </w:rPr>
        <w:t xml:space="preserve">Normalization of vesicular podocalyxin to suspension volume and volume of urine </w:t>
      </w:r>
    </w:p>
    <w:p w14:paraId="5E54289E" w14:textId="77777777" w:rsidR="00CD5706" w:rsidRPr="00DC4273" w:rsidRDefault="00CD5706" w:rsidP="00CD5706">
      <w:pPr>
        <w:spacing w:after="0" w:line="360" w:lineRule="auto"/>
        <w:rPr>
          <w:rFonts w:eastAsiaTheme="minorEastAsia" w:cs="Times New Roman"/>
          <w:lang w:eastAsia="de-DE"/>
        </w:rPr>
      </w:pPr>
      <m:oMathPara>
        <m:oMath>
          <m:f>
            <m:fPr>
              <m:ctrlPr>
                <w:rPr>
                  <w:rFonts w:ascii="Cambria Math" w:hAnsi="Cambria Math" w:cs="Arial"/>
                  <w:lang w:eastAsia="de-DE"/>
                </w:rPr>
              </m:ctrlPr>
            </m:fPr>
            <m:num>
              <m:r>
                <w:rPr>
                  <w:rFonts w:ascii="Cambria Math" w:hAnsi="Cambria Math" w:cs="Arial"/>
                  <w:lang w:eastAsia="de-DE"/>
                </w:rPr>
                <m:t xml:space="preserve"> vesicular podocalyxin concentration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pg</m:t>
                      </m:r>
                    </m:num>
                    <m:den>
                      <m:r>
                        <w:rPr>
                          <w:rFonts w:ascii="Cambria Math" w:hAnsi="Cambria Math" w:cs="Arial"/>
                          <w:lang w:eastAsia="de-DE"/>
                        </w:rPr>
                        <m:t>mL</m:t>
                      </m:r>
                    </m:den>
                  </m:f>
                </m:e>
              </m:d>
              <m:r>
                <w:rPr>
                  <w:rFonts w:ascii="Cambria Math" w:hAnsi="Cambria Math" w:cs="Arial"/>
                  <w:lang w:eastAsia="de-DE"/>
                </w:rPr>
                <m:t>x EV suspension volume (mL)</m:t>
              </m:r>
            </m:num>
            <m:den>
              <m:r>
                <w:rPr>
                  <w:rFonts w:ascii="Cambria Math" w:hAnsi="Cambria Math" w:cs="Arial"/>
                  <w:lang w:eastAsia="de-DE"/>
                </w:rPr>
                <m:t>Volume of urine used (mL)</m:t>
              </m:r>
            </m:den>
          </m:f>
        </m:oMath>
      </m:oMathPara>
    </w:p>
    <w:p w14:paraId="5DA712D5" w14:textId="77777777" w:rsidR="00CD5706" w:rsidRDefault="00CD5706" w:rsidP="00CD5706">
      <w:pPr>
        <w:spacing w:after="0" w:line="360" w:lineRule="auto"/>
        <w:rPr>
          <w:rFonts w:eastAsiaTheme="minorEastAsia" w:cs="Times New Roman"/>
          <w:lang w:eastAsia="de-DE"/>
        </w:rPr>
      </w:pPr>
    </w:p>
    <w:p w14:paraId="6D8A629F" w14:textId="77777777" w:rsidR="00CD5706" w:rsidRDefault="00CD5706" w:rsidP="00CD5706">
      <w:pPr>
        <w:spacing w:after="0" w:line="360" w:lineRule="auto"/>
        <w:rPr>
          <w:rFonts w:eastAsiaTheme="minorEastAsia" w:cs="Times New Roman"/>
          <w:lang w:eastAsia="de-DE"/>
        </w:rPr>
      </w:pPr>
    </w:p>
    <w:p w14:paraId="70F66784" w14:textId="77777777" w:rsidR="00CD5706" w:rsidRPr="00550603" w:rsidRDefault="00CD5706" w:rsidP="00CD5706">
      <w:pPr>
        <w:pStyle w:val="Caption"/>
        <w:keepNext/>
        <w:rPr>
          <w:color w:val="auto"/>
          <w:sz w:val="22"/>
          <w:szCs w:val="22"/>
        </w:rPr>
      </w:pPr>
      <w:r w:rsidRPr="00550603">
        <w:rPr>
          <w:color w:val="auto"/>
          <w:sz w:val="22"/>
          <w:szCs w:val="22"/>
        </w:rPr>
        <w:t xml:space="preserve">Formula </w:t>
      </w:r>
      <w:r>
        <w:rPr>
          <w:color w:val="auto"/>
          <w:sz w:val="22"/>
          <w:szCs w:val="22"/>
        </w:rPr>
        <w:t>2a.</w:t>
      </w:r>
      <w:r w:rsidRPr="00550603">
        <w:rPr>
          <w:color w:val="auto"/>
          <w:sz w:val="22"/>
          <w:szCs w:val="22"/>
        </w:rPr>
        <w:t xml:space="preserve"> </w:t>
      </w:r>
      <w:r>
        <w:rPr>
          <w:color w:val="auto"/>
          <w:sz w:val="22"/>
          <w:szCs w:val="22"/>
        </w:rPr>
        <w:t>Normalization of vesicular albumin concentration on urinary creatinine concentration</w:t>
      </w:r>
    </w:p>
    <w:p w14:paraId="37EE399A" w14:textId="77777777" w:rsidR="00CD5706" w:rsidRPr="00550603" w:rsidRDefault="00CD5706" w:rsidP="00CD5706">
      <w:pPr>
        <w:spacing w:after="0" w:line="360" w:lineRule="auto"/>
        <w:rPr>
          <w:rFonts w:cs="Arial"/>
          <w:lang w:eastAsia="de-DE"/>
        </w:rPr>
      </w:pPr>
      <m:oMathPara>
        <m:oMath>
          <m:r>
            <w:rPr>
              <w:rFonts w:ascii="Cambria Math" w:hAnsi="Cambria Math" w:cs="Arial"/>
              <w:lang w:eastAsia="de-DE"/>
            </w:rPr>
            <m:t xml:space="preserve">vACR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ng</m:t>
                  </m:r>
                </m:num>
                <m:den>
                  <m:r>
                    <w:rPr>
                      <w:rFonts w:ascii="Cambria Math" w:hAnsi="Cambria Math" w:cs="Arial"/>
                      <w:lang w:eastAsia="de-DE"/>
                    </w:rPr>
                    <m:t>g</m:t>
                  </m:r>
                </m:den>
              </m:f>
            </m:e>
          </m:d>
          <m:r>
            <m:rPr>
              <m:sty m:val="p"/>
            </m:rPr>
            <w:rPr>
              <w:rFonts w:ascii="Cambria Math" w:hAnsi="Cambria Math" w:cs="Arial"/>
              <w:lang w:eastAsia="de-DE"/>
            </w:rPr>
            <m:t>=</m:t>
          </m:r>
          <m:f>
            <m:fPr>
              <m:ctrlPr>
                <w:rPr>
                  <w:rFonts w:ascii="Cambria Math" w:hAnsi="Cambria Math" w:cs="Arial"/>
                  <w:lang w:eastAsia="de-DE"/>
                </w:rPr>
              </m:ctrlPr>
            </m:fPr>
            <m:num>
              <m:r>
                <w:rPr>
                  <w:rFonts w:ascii="Cambria Math" w:hAnsi="Cambria Math" w:cs="Arial"/>
                  <w:lang w:eastAsia="de-DE"/>
                </w:rPr>
                <m:t xml:space="preserve">normalized vesicular albumin concentration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ng</m:t>
                      </m:r>
                    </m:num>
                    <m:den>
                      <m:r>
                        <w:rPr>
                          <w:rFonts w:ascii="Cambria Math" w:hAnsi="Cambria Math" w:cs="Arial"/>
                          <w:lang w:eastAsia="de-DE"/>
                        </w:rPr>
                        <m:t>L</m:t>
                      </m:r>
                    </m:den>
                  </m:f>
                </m:e>
              </m:d>
            </m:num>
            <m:den>
              <m:r>
                <w:rPr>
                  <w:rFonts w:ascii="Cambria Math" w:hAnsi="Cambria Math" w:cs="Arial"/>
                  <w:lang w:eastAsia="de-DE"/>
                </w:rPr>
                <m:t xml:space="preserve">urinary creatinine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mg</m:t>
                      </m:r>
                    </m:num>
                    <m:den>
                      <m:r>
                        <w:rPr>
                          <w:rFonts w:ascii="Cambria Math" w:hAnsi="Cambria Math" w:cs="Arial"/>
                          <w:lang w:eastAsia="de-DE"/>
                        </w:rPr>
                        <m:t>dL</m:t>
                      </m:r>
                    </m:den>
                  </m:f>
                </m:e>
              </m:d>
            </m:den>
          </m:f>
          <m:r>
            <w:rPr>
              <w:rFonts w:ascii="Cambria Math" w:hAnsi="Cambria Math" w:cs="Arial"/>
              <w:lang w:eastAsia="de-DE"/>
            </w:rPr>
            <m:t>*100</m:t>
          </m:r>
        </m:oMath>
      </m:oMathPara>
    </w:p>
    <w:p w14:paraId="49248C28" w14:textId="77777777" w:rsidR="00CD5706" w:rsidRDefault="00CD5706" w:rsidP="00CD5706">
      <w:pPr>
        <w:spacing w:after="0" w:line="360" w:lineRule="auto"/>
        <w:rPr>
          <w:rFonts w:cs="Times New Roman"/>
          <w:lang w:eastAsia="de-DE"/>
        </w:rPr>
      </w:pPr>
    </w:p>
    <w:p w14:paraId="1A21B1C0" w14:textId="77777777" w:rsidR="00CD5706" w:rsidRPr="00550603" w:rsidRDefault="00CD5706" w:rsidP="00CD5706">
      <w:pPr>
        <w:pStyle w:val="Caption"/>
        <w:keepNext/>
        <w:rPr>
          <w:color w:val="auto"/>
          <w:sz w:val="22"/>
          <w:szCs w:val="22"/>
        </w:rPr>
      </w:pPr>
      <w:bookmarkStart w:id="0" w:name="_Hlk206071862"/>
      <w:r w:rsidRPr="00550603">
        <w:rPr>
          <w:color w:val="auto"/>
          <w:sz w:val="22"/>
          <w:szCs w:val="22"/>
        </w:rPr>
        <w:t xml:space="preserve">Formula </w:t>
      </w:r>
      <w:r>
        <w:rPr>
          <w:color w:val="auto"/>
          <w:sz w:val="22"/>
          <w:szCs w:val="22"/>
        </w:rPr>
        <w:t>2b.</w:t>
      </w:r>
      <w:r w:rsidRPr="00550603">
        <w:rPr>
          <w:color w:val="auto"/>
          <w:sz w:val="22"/>
          <w:szCs w:val="22"/>
        </w:rPr>
        <w:t xml:space="preserve"> </w:t>
      </w:r>
      <w:r>
        <w:rPr>
          <w:color w:val="auto"/>
          <w:sz w:val="22"/>
          <w:szCs w:val="22"/>
        </w:rPr>
        <w:t>Normalization of vesicular podocalyxin concentration on urinary creatinine concentration</w:t>
      </w:r>
    </w:p>
    <w:p w14:paraId="19ACD6B6" w14:textId="77777777" w:rsidR="00CD5706" w:rsidRPr="00550603" w:rsidRDefault="00CD5706" w:rsidP="00CD5706">
      <w:pPr>
        <w:spacing w:after="0" w:line="360" w:lineRule="auto"/>
        <w:rPr>
          <w:rFonts w:cs="Arial"/>
          <w:lang w:eastAsia="de-DE"/>
        </w:rPr>
      </w:pPr>
      <m:oMathPara>
        <m:oMath>
          <m:r>
            <w:rPr>
              <w:rFonts w:ascii="Cambria Math" w:hAnsi="Cambria Math" w:cs="Arial"/>
              <w:lang w:eastAsia="de-DE"/>
            </w:rPr>
            <m:t xml:space="preserve">vPCR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ng</m:t>
                  </m:r>
                </m:num>
                <m:den>
                  <m:r>
                    <w:rPr>
                      <w:rFonts w:ascii="Cambria Math" w:hAnsi="Cambria Math" w:cs="Arial"/>
                      <w:lang w:eastAsia="de-DE"/>
                    </w:rPr>
                    <m:t>g</m:t>
                  </m:r>
                </m:den>
              </m:f>
            </m:e>
          </m:d>
          <m:r>
            <m:rPr>
              <m:sty m:val="p"/>
            </m:rPr>
            <w:rPr>
              <w:rFonts w:ascii="Cambria Math" w:hAnsi="Cambria Math" w:cs="Arial"/>
              <w:lang w:eastAsia="de-DE"/>
            </w:rPr>
            <m:t>=</m:t>
          </m:r>
          <m:f>
            <m:fPr>
              <m:ctrlPr>
                <w:rPr>
                  <w:rFonts w:ascii="Cambria Math" w:hAnsi="Cambria Math" w:cs="Arial"/>
                  <w:lang w:eastAsia="de-DE"/>
                </w:rPr>
              </m:ctrlPr>
            </m:fPr>
            <m:num>
              <m:r>
                <w:rPr>
                  <w:rFonts w:ascii="Cambria Math" w:hAnsi="Cambria Math" w:cs="Arial"/>
                  <w:lang w:eastAsia="de-DE"/>
                </w:rPr>
                <m:t xml:space="preserve">normalized vesicular podocalyxin concentration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ng</m:t>
                      </m:r>
                    </m:num>
                    <m:den>
                      <m:r>
                        <w:rPr>
                          <w:rFonts w:ascii="Cambria Math" w:hAnsi="Cambria Math" w:cs="Arial"/>
                          <w:lang w:eastAsia="de-DE"/>
                        </w:rPr>
                        <m:t>L</m:t>
                      </m:r>
                    </m:den>
                  </m:f>
                </m:e>
              </m:d>
            </m:num>
            <m:den>
              <m:r>
                <w:rPr>
                  <w:rFonts w:ascii="Cambria Math" w:hAnsi="Cambria Math" w:cs="Arial"/>
                  <w:lang w:eastAsia="de-DE"/>
                </w:rPr>
                <m:t xml:space="preserve">urinary creatinine </m:t>
              </m:r>
              <m:d>
                <m:dPr>
                  <m:ctrlPr>
                    <w:rPr>
                      <w:rFonts w:ascii="Cambria Math" w:hAnsi="Cambria Math" w:cs="Arial"/>
                      <w:i/>
                      <w:lang w:eastAsia="de-DE"/>
                    </w:rPr>
                  </m:ctrlPr>
                </m:dPr>
                <m:e>
                  <m:f>
                    <m:fPr>
                      <m:ctrlPr>
                        <w:rPr>
                          <w:rFonts w:ascii="Cambria Math" w:hAnsi="Cambria Math" w:cs="Arial"/>
                          <w:i/>
                          <w:lang w:eastAsia="de-DE"/>
                        </w:rPr>
                      </m:ctrlPr>
                    </m:fPr>
                    <m:num>
                      <m:r>
                        <w:rPr>
                          <w:rFonts w:ascii="Cambria Math" w:hAnsi="Cambria Math" w:cs="Arial"/>
                          <w:lang w:eastAsia="de-DE"/>
                        </w:rPr>
                        <m:t>mg</m:t>
                      </m:r>
                    </m:num>
                    <m:den>
                      <m:r>
                        <w:rPr>
                          <w:rFonts w:ascii="Cambria Math" w:hAnsi="Cambria Math" w:cs="Arial"/>
                          <w:lang w:eastAsia="de-DE"/>
                        </w:rPr>
                        <m:t>dL</m:t>
                      </m:r>
                    </m:den>
                  </m:f>
                </m:e>
              </m:d>
            </m:den>
          </m:f>
          <m:r>
            <w:rPr>
              <w:rFonts w:ascii="Cambria Math" w:hAnsi="Cambria Math" w:cs="Arial"/>
              <w:lang w:eastAsia="de-DE"/>
            </w:rPr>
            <m:t>*</m:t>
          </m:r>
          <w:bookmarkEnd w:id="0"/>
          <m:r>
            <w:rPr>
              <w:rFonts w:ascii="Cambria Math" w:hAnsi="Cambria Math" w:cs="Arial"/>
              <w:lang w:eastAsia="de-DE"/>
            </w:rPr>
            <m:t>100</m:t>
          </m:r>
        </m:oMath>
      </m:oMathPara>
    </w:p>
    <w:p w14:paraId="16B5D44B" w14:textId="77777777" w:rsidR="00CD5706" w:rsidRDefault="00CD5706" w:rsidP="00CD5706">
      <w:pPr>
        <w:spacing w:after="0" w:line="360" w:lineRule="auto"/>
        <w:rPr>
          <w:rFonts w:cs="Times New Roman"/>
          <w:lang w:eastAsia="de-DE"/>
        </w:rPr>
      </w:pPr>
    </w:p>
    <w:p w14:paraId="589E025C" w14:textId="77777777" w:rsidR="00CD5706" w:rsidRPr="00550603" w:rsidRDefault="00CD5706" w:rsidP="00CD5706">
      <w:pPr>
        <w:pStyle w:val="Caption"/>
        <w:keepNext/>
        <w:rPr>
          <w:color w:val="auto"/>
          <w:sz w:val="22"/>
          <w:szCs w:val="22"/>
        </w:rPr>
      </w:pPr>
      <w:r w:rsidRPr="00550603">
        <w:rPr>
          <w:color w:val="auto"/>
          <w:sz w:val="22"/>
          <w:szCs w:val="22"/>
        </w:rPr>
        <w:t xml:space="preserve">Formula </w:t>
      </w:r>
      <w:r>
        <w:rPr>
          <w:color w:val="auto"/>
          <w:sz w:val="22"/>
          <w:szCs w:val="22"/>
        </w:rPr>
        <w:t>3a.</w:t>
      </w:r>
      <w:r w:rsidRPr="00550603">
        <w:rPr>
          <w:color w:val="auto"/>
          <w:sz w:val="22"/>
          <w:szCs w:val="22"/>
        </w:rPr>
        <w:t xml:space="preserve"> </w:t>
      </w:r>
      <w:r>
        <w:rPr>
          <w:color w:val="auto"/>
          <w:sz w:val="22"/>
          <w:szCs w:val="22"/>
        </w:rPr>
        <w:t>Calculation of intra-assay coefficient of variation (CV)</w:t>
      </w:r>
    </w:p>
    <w:p w14:paraId="40CD5758" w14:textId="77777777" w:rsidR="00CD5706" w:rsidRDefault="00CD5706" w:rsidP="00CD5706">
      <w:pPr>
        <w:spacing w:after="0" w:line="360" w:lineRule="auto"/>
        <w:rPr>
          <w:rFonts w:cs="Times New Roman"/>
          <w:lang w:eastAsia="de-DE"/>
        </w:rPr>
      </w:pPr>
      <m:oMathPara>
        <m:oMath>
          <m:r>
            <w:rPr>
              <w:rFonts w:ascii="Cambria Math" w:hAnsi="Cambria Math" w:cs="Arial"/>
              <w:lang w:eastAsia="de-DE"/>
            </w:rPr>
            <m:t>CV</m:t>
          </m:r>
          <m:r>
            <m:rPr>
              <m:sty m:val="p"/>
            </m:rPr>
            <w:rPr>
              <w:rFonts w:ascii="Cambria Math" w:hAnsi="Cambria Math" w:cs="Arial"/>
              <w:lang w:eastAsia="de-DE"/>
            </w:rPr>
            <m:t>=</m:t>
          </m:r>
          <m:f>
            <m:fPr>
              <m:ctrlPr>
                <w:rPr>
                  <w:rFonts w:ascii="Cambria Math" w:hAnsi="Cambria Math" w:cs="Arial"/>
                  <w:lang w:eastAsia="de-DE"/>
                </w:rPr>
              </m:ctrlPr>
            </m:fPr>
            <m:num>
              <m:r>
                <w:rPr>
                  <w:rFonts w:ascii="Cambria Math" w:hAnsi="Cambria Math" w:cs="Arial"/>
                  <w:lang w:eastAsia="de-DE"/>
                </w:rPr>
                <m:t>Standard deviation</m:t>
              </m:r>
            </m:num>
            <m:den>
              <m:r>
                <w:rPr>
                  <w:rFonts w:ascii="Cambria Math" w:hAnsi="Cambria Math" w:cs="Arial"/>
                  <w:lang w:eastAsia="de-DE"/>
                </w:rPr>
                <m:t>mean</m:t>
              </m:r>
            </m:den>
          </m:f>
        </m:oMath>
      </m:oMathPara>
    </w:p>
    <w:p w14:paraId="209C8F3B" w14:textId="77777777" w:rsidR="00CD5706" w:rsidRPr="00550603" w:rsidRDefault="00CD5706" w:rsidP="00CD5706">
      <w:pPr>
        <w:pStyle w:val="Caption"/>
        <w:keepNext/>
        <w:rPr>
          <w:color w:val="auto"/>
          <w:sz w:val="22"/>
          <w:szCs w:val="22"/>
        </w:rPr>
      </w:pPr>
      <w:r w:rsidRPr="00550603">
        <w:rPr>
          <w:color w:val="auto"/>
          <w:sz w:val="22"/>
          <w:szCs w:val="22"/>
        </w:rPr>
        <w:t xml:space="preserve">Formula </w:t>
      </w:r>
      <w:r>
        <w:rPr>
          <w:color w:val="auto"/>
          <w:sz w:val="22"/>
          <w:szCs w:val="22"/>
        </w:rPr>
        <w:t>3b.</w:t>
      </w:r>
      <w:r w:rsidRPr="00550603">
        <w:rPr>
          <w:color w:val="auto"/>
          <w:sz w:val="22"/>
          <w:szCs w:val="22"/>
        </w:rPr>
        <w:t xml:space="preserve"> </w:t>
      </w:r>
      <w:r>
        <w:rPr>
          <w:color w:val="auto"/>
          <w:sz w:val="22"/>
          <w:szCs w:val="22"/>
        </w:rPr>
        <w:t>Calculation of inter-assay coefficient of variation (CV)</w:t>
      </w:r>
    </w:p>
    <w:p w14:paraId="312F901E" w14:textId="77777777" w:rsidR="00CD5706" w:rsidRDefault="00CD5706" w:rsidP="00CD5706">
      <w:pPr>
        <w:spacing w:after="0" w:line="360" w:lineRule="auto"/>
        <w:rPr>
          <w:rFonts w:cs="Times New Roman"/>
          <w:lang w:eastAsia="de-DE"/>
        </w:rPr>
      </w:pPr>
      <m:oMathPara>
        <m:oMath>
          <m:r>
            <w:rPr>
              <w:rFonts w:ascii="Cambria Math" w:hAnsi="Cambria Math" w:cs="Arial"/>
              <w:lang w:eastAsia="de-DE"/>
            </w:rPr>
            <m:t>CV</m:t>
          </m:r>
          <m:r>
            <m:rPr>
              <m:sty m:val="p"/>
            </m:rPr>
            <w:rPr>
              <w:rFonts w:ascii="Cambria Math" w:hAnsi="Cambria Math" w:cs="Arial"/>
              <w:lang w:eastAsia="de-DE"/>
            </w:rPr>
            <m:t>=</m:t>
          </m:r>
          <m:f>
            <m:fPr>
              <m:ctrlPr>
                <w:rPr>
                  <w:rFonts w:ascii="Cambria Math" w:hAnsi="Cambria Math" w:cs="Arial"/>
                  <w:lang w:eastAsia="de-DE"/>
                </w:rPr>
              </m:ctrlPr>
            </m:fPr>
            <m:num>
              <m:r>
                <w:rPr>
                  <w:rFonts w:ascii="Cambria Math" w:hAnsi="Cambria Math" w:cs="Arial"/>
                  <w:lang w:eastAsia="de-DE"/>
                </w:rPr>
                <m:t>Standard deviation of plate means/values</m:t>
              </m:r>
            </m:num>
            <m:den>
              <m:r>
                <w:rPr>
                  <w:rFonts w:ascii="Cambria Math" w:hAnsi="Cambria Math" w:cs="Arial"/>
                  <w:lang w:eastAsia="de-DE"/>
                </w:rPr>
                <m:t>mean of plate means/values</m:t>
              </m:r>
            </m:den>
          </m:f>
        </m:oMath>
      </m:oMathPara>
    </w:p>
    <w:p w14:paraId="08B8A5E5" w14:textId="77777777" w:rsidR="00CD5706" w:rsidRDefault="00CD5706" w:rsidP="00CD5706">
      <w:pPr>
        <w:jc w:val="left"/>
        <w:rPr>
          <w:lang w:eastAsia="de-DE"/>
        </w:rPr>
      </w:pPr>
      <w:r>
        <w:rPr>
          <w:lang w:eastAsia="de-DE"/>
        </w:rPr>
        <w:br w:type="page"/>
      </w:r>
    </w:p>
    <w:p w14:paraId="2EC0F13F" w14:textId="77777777" w:rsidR="00CD5706" w:rsidRPr="003009D5" w:rsidRDefault="00CD5706" w:rsidP="00CD5706">
      <w:pPr>
        <w:spacing w:after="0" w:line="360" w:lineRule="auto"/>
        <w:rPr>
          <w:rFonts w:eastAsiaTheme="majorEastAsia" w:cs="Arial"/>
          <w:lang w:eastAsia="de-DE"/>
        </w:rPr>
      </w:pPr>
      <w:r w:rsidRPr="003009D5">
        <w:rPr>
          <w:rFonts w:eastAsiaTheme="majorEastAsia" w:cs="Arial"/>
          <w:lang w:eastAsia="de-DE"/>
        </w:rPr>
        <w:lastRenderedPageBreak/>
        <w:t>Vesicular albumin and podocalyxin concentrations were determined on two different days a week apart in triplicate (n = 26)</w:t>
      </w:r>
      <w:r>
        <w:rPr>
          <w:rFonts w:eastAsiaTheme="majorEastAsia" w:cs="Arial"/>
          <w:lang w:eastAsia="de-DE"/>
        </w:rPr>
        <w:t>.</w:t>
      </w:r>
      <w:r w:rsidRPr="003009D5">
        <w:rPr>
          <w:rFonts w:eastAsiaTheme="majorEastAsia" w:cs="Arial"/>
          <w:lang w:eastAsia="de-DE"/>
        </w:rPr>
        <w:t xml:space="preserve"> Intra- and </w:t>
      </w:r>
      <w:r>
        <w:rPr>
          <w:rFonts w:eastAsiaTheme="majorEastAsia" w:cs="Arial"/>
          <w:lang w:eastAsia="de-DE"/>
        </w:rPr>
        <w:t>i</w:t>
      </w:r>
      <w:r w:rsidRPr="003009D5">
        <w:rPr>
          <w:rFonts w:eastAsiaTheme="majorEastAsia" w:cs="Arial"/>
          <w:lang w:eastAsia="de-DE"/>
        </w:rPr>
        <w:t>nter</w:t>
      </w:r>
      <w:r>
        <w:rPr>
          <w:rFonts w:eastAsiaTheme="majorEastAsia" w:cs="Arial"/>
          <w:lang w:eastAsia="de-DE"/>
        </w:rPr>
        <w:t>-</w:t>
      </w:r>
      <w:r w:rsidRPr="003009D5">
        <w:rPr>
          <w:rFonts w:eastAsiaTheme="majorEastAsia" w:cs="Arial"/>
          <w:lang w:eastAsia="de-DE"/>
        </w:rPr>
        <w:t>assay CVs were calculated and the mean</w:t>
      </w:r>
      <w:r>
        <w:rPr>
          <w:rFonts w:eastAsiaTheme="majorEastAsia" w:cs="Arial"/>
          <w:lang w:eastAsia="de-DE"/>
        </w:rPr>
        <w:t>, as well as the minimum and maximum of the individual CVs is reported in</w:t>
      </w:r>
      <w:r w:rsidRPr="003009D5">
        <w:rPr>
          <w:rFonts w:eastAsiaTheme="majorEastAsia" w:cs="Arial"/>
          <w:lang w:eastAsia="de-DE"/>
        </w:rPr>
        <w:t xml:space="preserve"> </w:t>
      </w:r>
      <w:r>
        <w:rPr>
          <w:rFonts w:eastAsiaTheme="majorEastAsia" w:cs="Arial"/>
          <w:lang w:eastAsia="de-DE"/>
        </w:rPr>
        <w:t xml:space="preserve">Supplementary </w:t>
      </w:r>
      <w:r w:rsidRPr="003009D5">
        <w:rPr>
          <w:rFonts w:eastAsiaTheme="majorEastAsia" w:cs="Arial"/>
          <w:lang w:eastAsia="de-DE"/>
        </w:rPr>
        <w:t>Table</w:t>
      </w:r>
      <w:r>
        <w:rPr>
          <w:rFonts w:eastAsiaTheme="majorEastAsia" w:cs="Arial"/>
          <w:lang w:eastAsia="de-DE"/>
        </w:rPr>
        <w:t xml:space="preserve"> 1</w:t>
      </w:r>
      <w:r w:rsidRPr="003009D5">
        <w:rPr>
          <w:rFonts w:eastAsiaTheme="majorEastAsia" w:cs="Arial"/>
          <w:lang w:eastAsia="de-DE"/>
        </w:rPr>
        <w:t xml:space="preserve">. </w:t>
      </w:r>
      <w:r>
        <w:rPr>
          <w:rFonts w:eastAsiaTheme="majorEastAsia" w:cs="Arial"/>
          <w:lang w:eastAsia="de-DE"/>
        </w:rPr>
        <w:t>After the initial single determination of vesicular albumin and podocalyxin concentrations lysed samples were stored for up to 17 months at -</w:t>
      </w:r>
      <w:r w:rsidRPr="003C0C21">
        <w:rPr>
          <w:rFonts w:eastAsiaTheme="majorEastAsia" w:cs="Arial"/>
          <w:lang w:eastAsia="de-DE"/>
        </w:rPr>
        <w:t>80°C</w:t>
      </w:r>
      <w:r>
        <w:rPr>
          <w:rFonts w:eastAsiaTheme="majorEastAsia" w:cs="Arial"/>
          <w:lang w:eastAsia="de-DE"/>
        </w:rPr>
        <w:t xml:space="preserve"> before concentrations of the two markers were determined again as part of the triplicate measurements. Inter-assay CV was also calculated between the two triplicate measurements and the initial vesicular albumin and podocalyxin measurement. </w:t>
      </w:r>
    </w:p>
    <w:p w14:paraId="3AF3DA6C" w14:textId="77777777" w:rsidR="00CD5706" w:rsidRDefault="00CD5706" w:rsidP="00CD5706">
      <w:pPr>
        <w:spacing w:after="0" w:line="360" w:lineRule="auto"/>
        <w:rPr>
          <w:rFonts w:eastAsiaTheme="majorEastAsia" w:cs="Arial"/>
          <w:highlight w:val="yellow"/>
          <w:lang w:eastAsia="de-DE"/>
        </w:rPr>
      </w:pPr>
    </w:p>
    <w:p w14:paraId="380F4796" w14:textId="77777777" w:rsidR="00CD5706" w:rsidRPr="00272BF1" w:rsidRDefault="00CD5706" w:rsidP="00CD5706">
      <w:pPr>
        <w:pStyle w:val="Caption"/>
        <w:spacing w:line="276" w:lineRule="auto"/>
        <w:rPr>
          <w:i w:val="0"/>
          <w:iCs w:val="0"/>
          <w:color w:val="auto"/>
          <w:sz w:val="20"/>
          <w:szCs w:val="20"/>
          <w:lang w:val="en-US"/>
        </w:rPr>
      </w:pPr>
      <w:r>
        <w:rPr>
          <w:b/>
          <w:bCs/>
          <w:i w:val="0"/>
          <w:iCs w:val="0"/>
          <w:color w:val="auto"/>
          <w:sz w:val="20"/>
          <w:szCs w:val="20"/>
        </w:rPr>
        <w:t>Supplementary Table 1</w:t>
      </w:r>
      <w:r w:rsidRPr="0047548F">
        <w:rPr>
          <w:b/>
          <w:bCs/>
          <w:i w:val="0"/>
          <w:iCs w:val="0"/>
          <w:color w:val="auto"/>
          <w:sz w:val="20"/>
          <w:szCs w:val="20"/>
        </w:rPr>
        <w:t>.</w:t>
      </w:r>
      <w:r w:rsidRPr="0047548F">
        <w:rPr>
          <w:i w:val="0"/>
          <w:iCs w:val="0"/>
          <w:color w:val="auto"/>
          <w:sz w:val="20"/>
          <w:szCs w:val="20"/>
        </w:rPr>
        <w:t xml:space="preserve"> </w:t>
      </w:r>
      <w:r>
        <w:rPr>
          <w:i w:val="0"/>
          <w:iCs w:val="0"/>
          <w:color w:val="auto"/>
          <w:sz w:val="20"/>
          <w:szCs w:val="20"/>
        </w:rPr>
        <w:t>Intra- and inter-assay CVs of triplicate measurements of vesicular albumin and podocalyxin.</w:t>
      </w:r>
    </w:p>
    <w:tbl>
      <w:tblPr>
        <w:tblStyle w:val="TableGrid"/>
        <w:tblW w:w="0" w:type="auto"/>
        <w:tblLook w:val="04A0" w:firstRow="1" w:lastRow="0" w:firstColumn="1" w:lastColumn="0" w:noHBand="0" w:noVBand="1"/>
      </w:tblPr>
      <w:tblGrid>
        <w:gridCol w:w="2830"/>
        <w:gridCol w:w="2694"/>
        <w:gridCol w:w="2835"/>
      </w:tblGrid>
      <w:tr w:rsidR="00CD5706" w:rsidRPr="003D61DC" w14:paraId="12FE00CA" w14:textId="77777777" w:rsidTr="000131C2">
        <w:tc>
          <w:tcPr>
            <w:tcW w:w="2830" w:type="dxa"/>
          </w:tcPr>
          <w:p w14:paraId="3D3A23FA" w14:textId="77777777" w:rsidR="00CD5706" w:rsidRPr="00272BF1" w:rsidRDefault="00CD5706" w:rsidP="000131C2">
            <w:pPr>
              <w:spacing w:line="360" w:lineRule="auto"/>
              <w:rPr>
                <w:rFonts w:eastAsiaTheme="majorEastAsia" w:cs="Arial"/>
                <w:lang w:eastAsia="de-DE"/>
              </w:rPr>
            </w:pPr>
          </w:p>
        </w:tc>
        <w:tc>
          <w:tcPr>
            <w:tcW w:w="2694" w:type="dxa"/>
          </w:tcPr>
          <w:p w14:paraId="7A830987"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Vesicular albumin</w:t>
            </w:r>
          </w:p>
          <w:p w14:paraId="10118CD6"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(n = 2</w:t>
            </w:r>
            <w:r>
              <w:rPr>
                <w:rFonts w:eastAsiaTheme="majorEastAsia" w:cs="Arial"/>
                <w:lang w:eastAsia="de-DE"/>
              </w:rPr>
              <w:t>6</w:t>
            </w:r>
            <w:r w:rsidRPr="00272BF1">
              <w:rPr>
                <w:rFonts w:eastAsiaTheme="majorEastAsia" w:cs="Arial"/>
                <w:lang w:eastAsia="de-DE"/>
              </w:rPr>
              <w:t>)</w:t>
            </w:r>
          </w:p>
        </w:tc>
        <w:tc>
          <w:tcPr>
            <w:tcW w:w="2835" w:type="dxa"/>
          </w:tcPr>
          <w:p w14:paraId="0C54ACE9"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Vesicular podocalyxin</w:t>
            </w:r>
          </w:p>
          <w:p w14:paraId="277A1ED8"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(n = 2</w:t>
            </w:r>
            <w:r>
              <w:rPr>
                <w:rFonts w:eastAsiaTheme="majorEastAsia" w:cs="Arial"/>
                <w:lang w:eastAsia="de-DE"/>
              </w:rPr>
              <w:t>6</w:t>
            </w:r>
            <w:r w:rsidRPr="00272BF1">
              <w:rPr>
                <w:rFonts w:eastAsiaTheme="majorEastAsia" w:cs="Arial"/>
                <w:lang w:eastAsia="de-DE"/>
              </w:rPr>
              <w:t>)</w:t>
            </w:r>
          </w:p>
        </w:tc>
      </w:tr>
      <w:tr w:rsidR="00CD5706" w:rsidRPr="003D61DC" w14:paraId="445F711B" w14:textId="77777777" w:rsidTr="000131C2">
        <w:tc>
          <w:tcPr>
            <w:tcW w:w="2830" w:type="dxa"/>
          </w:tcPr>
          <w:p w14:paraId="35710154"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Intra-assay CV</w:t>
            </w:r>
          </w:p>
        </w:tc>
        <w:tc>
          <w:tcPr>
            <w:tcW w:w="2694" w:type="dxa"/>
          </w:tcPr>
          <w:p w14:paraId="4B4CB2FB" w14:textId="77777777" w:rsidR="00CD5706" w:rsidRDefault="00CD5706" w:rsidP="000131C2">
            <w:pPr>
              <w:spacing w:line="360" w:lineRule="auto"/>
              <w:rPr>
                <w:rFonts w:eastAsiaTheme="majorEastAsia" w:cs="Arial"/>
                <w:lang w:eastAsia="de-DE"/>
              </w:rPr>
            </w:pPr>
            <w:r>
              <w:rPr>
                <w:rFonts w:eastAsiaTheme="majorEastAsia" w:cs="Arial"/>
                <w:lang w:eastAsia="de-DE"/>
              </w:rPr>
              <w:t>5.29% (0.06 – 16.86%)</w:t>
            </w:r>
          </w:p>
          <w:p w14:paraId="587B1B41"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9.76% (0.64 – 49.88%)</w:t>
            </w:r>
          </w:p>
        </w:tc>
        <w:tc>
          <w:tcPr>
            <w:tcW w:w="2835" w:type="dxa"/>
          </w:tcPr>
          <w:p w14:paraId="05D15ED0" w14:textId="77777777" w:rsidR="00CD5706" w:rsidRDefault="00CD5706" w:rsidP="000131C2">
            <w:pPr>
              <w:spacing w:line="360" w:lineRule="auto"/>
              <w:rPr>
                <w:rFonts w:eastAsiaTheme="majorEastAsia" w:cs="Arial"/>
                <w:lang w:eastAsia="de-DE"/>
              </w:rPr>
            </w:pPr>
            <w:r>
              <w:rPr>
                <w:rFonts w:eastAsiaTheme="majorEastAsia" w:cs="Arial"/>
                <w:lang w:eastAsia="de-DE"/>
              </w:rPr>
              <w:t>5.53% (0.95 – 16.14%)</w:t>
            </w:r>
          </w:p>
          <w:p w14:paraId="4C2F0F01"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4.78% (1.60 – 13.85%)</w:t>
            </w:r>
          </w:p>
        </w:tc>
      </w:tr>
      <w:tr w:rsidR="00CD5706" w:rsidRPr="003D61DC" w14:paraId="0083B9D3" w14:textId="77777777" w:rsidTr="000131C2">
        <w:tc>
          <w:tcPr>
            <w:tcW w:w="2830" w:type="dxa"/>
          </w:tcPr>
          <w:p w14:paraId="1C82E730"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Inter-assay CV (</w:t>
            </w:r>
            <w:r>
              <w:rPr>
                <w:rFonts w:eastAsiaTheme="majorEastAsia" w:cs="Arial"/>
                <w:lang w:eastAsia="de-DE"/>
              </w:rPr>
              <w:t>within</w:t>
            </w:r>
            <w:r w:rsidRPr="00272BF1">
              <w:rPr>
                <w:rFonts w:eastAsiaTheme="majorEastAsia" w:cs="Arial"/>
                <w:lang w:eastAsia="de-DE"/>
              </w:rPr>
              <w:t xml:space="preserve"> one week)</w:t>
            </w:r>
          </w:p>
        </w:tc>
        <w:tc>
          <w:tcPr>
            <w:tcW w:w="2694" w:type="dxa"/>
          </w:tcPr>
          <w:p w14:paraId="64EBCFC3"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16.76% (0.51 – 137.62%)</w:t>
            </w:r>
          </w:p>
        </w:tc>
        <w:tc>
          <w:tcPr>
            <w:tcW w:w="2835" w:type="dxa"/>
          </w:tcPr>
          <w:p w14:paraId="458E55F0"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5.98% (0.57 – 23.29%)</w:t>
            </w:r>
          </w:p>
        </w:tc>
      </w:tr>
      <w:tr w:rsidR="00CD5706" w14:paraId="27E8C201" w14:textId="77777777" w:rsidTr="000131C2">
        <w:tc>
          <w:tcPr>
            <w:tcW w:w="2830" w:type="dxa"/>
          </w:tcPr>
          <w:p w14:paraId="587C7AC4" w14:textId="77777777" w:rsidR="00CD5706" w:rsidRPr="00272BF1" w:rsidRDefault="00CD5706" w:rsidP="000131C2">
            <w:pPr>
              <w:spacing w:line="360" w:lineRule="auto"/>
              <w:rPr>
                <w:rFonts w:eastAsiaTheme="majorEastAsia" w:cs="Arial"/>
                <w:lang w:eastAsia="de-DE"/>
              </w:rPr>
            </w:pPr>
            <w:r w:rsidRPr="00272BF1">
              <w:rPr>
                <w:rFonts w:eastAsiaTheme="majorEastAsia" w:cs="Arial"/>
                <w:lang w:eastAsia="de-DE"/>
              </w:rPr>
              <w:t>Inter-assay CV (</w:t>
            </w:r>
            <w:r>
              <w:rPr>
                <w:rFonts w:eastAsiaTheme="majorEastAsia" w:cs="Arial"/>
                <w:lang w:eastAsia="de-DE"/>
              </w:rPr>
              <w:t>after</w:t>
            </w:r>
            <w:r w:rsidRPr="00272BF1">
              <w:rPr>
                <w:rFonts w:eastAsiaTheme="majorEastAsia" w:cs="Arial"/>
                <w:lang w:eastAsia="de-DE"/>
              </w:rPr>
              <w:t xml:space="preserve"> 15 – 17 months)</w:t>
            </w:r>
          </w:p>
        </w:tc>
        <w:tc>
          <w:tcPr>
            <w:tcW w:w="2694" w:type="dxa"/>
          </w:tcPr>
          <w:p w14:paraId="3A7E8400"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27.28% (8.57 – 166.77%)</w:t>
            </w:r>
          </w:p>
        </w:tc>
        <w:tc>
          <w:tcPr>
            <w:tcW w:w="2835" w:type="dxa"/>
          </w:tcPr>
          <w:p w14:paraId="229ACE4A" w14:textId="77777777" w:rsidR="00CD5706" w:rsidRPr="00272BF1" w:rsidRDefault="00CD5706" w:rsidP="000131C2">
            <w:pPr>
              <w:spacing w:line="360" w:lineRule="auto"/>
              <w:rPr>
                <w:rFonts w:eastAsiaTheme="majorEastAsia" w:cs="Arial"/>
                <w:lang w:eastAsia="de-DE"/>
              </w:rPr>
            </w:pPr>
            <w:r>
              <w:rPr>
                <w:rFonts w:eastAsiaTheme="majorEastAsia" w:cs="Arial"/>
                <w:lang w:eastAsia="de-DE"/>
              </w:rPr>
              <w:t>13.12% (2.96 – 37.13%)</w:t>
            </w:r>
          </w:p>
        </w:tc>
      </w:tr>
    </w:tbl>
    <w:p w14:paraId="27676107" w14:textId="77777777" w:rsidR="00CD5706" w:rsidRPr="0063576B" w:rsidRDefault="00CD5706" w:rsidP="00CD5706">
      <w:pPr>
        <w:pStyle w:val="Caption"/>
        <w:spacing w:line="276" w:lineRule="auto"/>
        <w:rPr>
          <w:i w:val="0"/>
          <w:iCs w:val="0"/>
          <w:color w:val="auto"/>
          <w:sz w:val="20"/>
          <w:szCs w:val="20"/>
          <w:lang w:val="en-US"/>
        </w:rPr>
      </w:pPr>
      <w:r w:rsidRPr="0063576B">
        <w:rPr>
          <w:i w:val="0"/>
          <w:iCs w:val="0"/>
          <w:color w:val="auto"/>
          <w:sz w:val="20"/>
          <w:szCs w:val="20"/>
        </w:rPr>
        <w:t>Mean (Min – Max)</w:t>
      </w:r>
      <w:r>
        <w:rPr>
          <w:i w:val="0"/>
          <w:iCs w:val="0"/>
          <w:color w:val="auto"/>
          <w:sz w:val="20"/>
          <w:szCs w:val="20"/>
        </w:rPr>
        <w:t xml:space="preserve"> of individual CVs</w:t>
      </w:r>
      <w:r w:rsidRPr="0063576B">
        <w:rPr>
          <w:i w:val="0"/>
          <w:iCs w:val="0"/>
          <w:color w:val="auto"/>
          <w:sz w:val="20"/>
          <w:szCs w:val="20"/>
        </w:rPr>
        <w:t>.</w:t>
      </w:r>
    </w:p>
    <w:p w14:paraId="44021A04" w14:textId="77777777" w:rsidR="00CD5706" w:rsidRPr="0063576B" w:rsidRDefault="00CD5706" w:rsidP="00CD5706">
      <w:pPr>
        <w:spacing w:after="0" w:line="360" w:lineRule="auto"/>
        <w:rPr>
          <w:rFonts w:eastAsiaTheme="majorEastAsia" w:cs="Arial"/>
          <w:lang w:val="en-US" w:eastAsia="de-DE"/>
        </w:rPr>
      </w:pPr>
    </w:p>
    <w:p w14:paraId="1FACE871" w14:textId="77777777" w:rsidR="00CD5706" w:rsidRDefault="00CD5706" w:rsidP="00CD5706">
      <w:pPr>
        <w:jc w:val="left"/>
        <w:rPr>
          <w:lang w:eastAsia="de-DE"/>
        </w:rPr>
      </w:pPr>
      <w:r>
        <w:rPr>
          <w:lang w:eastAsia="de-DE"/>
        </w:rPr>
        <w:br w:type="page"/>
      </w:r>
    </w:p>
    <w:p w14:paraId="475DFA7C" w14:textId="77777777" w:rsidR="00CD5706" w:rsidRPr="00B90A35" w:rsidRDefault="00CD5706" w:rsidP="00CD5706">
      <w:pPr>
        <w:spacing w:after="0" w:line="360" w:lineRule="auto"/>
        <w:rPr>
          <w:rFonts w:eastAsiaTheme="majorEastAsia" w:cs="Arial"/>
          <w:b/>
          <w:bCs/>
          <w:lang w:eastAsia="de-DE"/>
        </w:rPr>
      </w:pPr>
      <w:r w:rsidRPr="00B90A35">
        <w:rPr>
          <w:rFonts w:eastAsiaTheme="majorEastAsia" w:cs="Arial"/>
          <w:b/>
          <w:bCs/>
          <w:lang w:eastAsia="de-DE"/>
        </w:rPr>
        <w:lastRenderedPageBreak/>
        <w:t xml:space="preserve">Isolation of urinary vesicles and quantification of vesicular albumin </w:t>
      </w:r>
      <w:r>
        <w:rPr>
          <w:rFonts w:eastAsiaTheme="majorEastAsia" w:cs="Arial"/>
          <w:b/>
          <w:bCs/>
          <w:lang w:eastAsia="de-DE"/>
        </w:rPr>
        <w:t xml:space="preserve">and </w:t>
      </w:r>
      <w:r w:rsidRPr="00B90A35">
        <w:rPr>
          <w:rFonts w:eastAsiaTheme="majorEastAsia" w:cs="Arial"/>
          <w:b/>
          <w:bCs/>
          <w:lang w:eastAsia="de-DE"/>
        </w:rPr>
        <w:t>podocalyxin</w:t>
      </w:r>
    </w:p>
    <w:p w14:paraId="7B5F532A" w14:textId="77777777" w:rsidR="00CD5706" w:rsidRDefault="00CD5706" w:rsidP="00CD5706">
      <w:pPr>
        <w:spacing w:after="0" w:line="360" w:lineRule="auto"/>
        <w:rPr>
          <w:rFonts w:eastAsiaTheme="majorEastAsia" w:cs="Arial"/>
          <w:lang w:eastAsia="de-DE"/>
        </w:rPr>
      </w:pPr>
      <w:r>
        <w:rPr>
          <w:rFonts w:eastAsiaTheme="majorEastAsia" w:cs="Arial"/>
          <w:lang w:eastAsia="de-DE"/>
        </w:rPr>
        <w:t xml:space="preserve">In the pilot study from one sample, 1403 vesicles were counted from which 269 were podocalyxin-positive. Based on this first estimation 19.1% of urinary vesicles seem to be derived from podocytes. Furthermore, these results lead to the assumption that podocalyxin is part of the vesicle membrane, as the antibody binds without prior permeabilization of the vesicle membrane (Supplementary Figure 1). </w:t>
      </w:r>
    </w:p>
    <w:p w14:paraId="13067696" w14:textId="77777777" w:rsidR="00CD5706" w:rsidRDefault="00CD5706" w:rsidP="00CD5706">
      <w:pPr>
        <w:spacing w:after="0" w:line="360" w:lineRule="auto"/>
        <w:rPr>
          <w:rFonts w:eastAsiaTheme="majorEastAsia" w:cs="Arial"/>
          <w:lang w:eastAsia="de-DE"/>
        </w:rPr>
      </w:pPr>
    </w:p>
    <w:p w14:paraId="7A000393" w14:textId="77777777" w:rsidR="00CD5706" w:rsidRDefault="00CD5706" w:rsidP="00CD5706">
      <w:pPr>
        <w:keepNext/>
        <w:spacing w:after="0" w:line="360" w:lineRule="auto"/>
      </w:pPr>
      <w:r w:rsidRPr="005E516E">
        <w:rPr>
          <w:noProof/>
        </w:rPr>
        <w:drawing>
          <wp:inline distT="0" distB="0" distL="0" distR="0" wp14:anchorId="489C3F69" wp14:editId="2D3984D3">
            <wp:extent cx="5760720" cy="4196715"/>
            <wp:effectExtent l="0" t="0" r="0" b="0"/>
            <wp:docPr id="2" name="Grafik 1" descr="Ein Bild, das Dunkelheit, Screenshot, Raum, Universum enthält.  KI-generierte Inhalte können fehlerhaft sein.">
              <a:extLst xmlns:a="http://schemas.openxmlformats.org/drawingml/2006/main">
                <a:ext uri="{FF2B5EF4-FFF2-40B4-BE49-F238E27FC236}">
                  <a16:creationId xmlns:a16="http://schemas.microsoft.com/office/drawing/2014/main" id="{27256F2D-7F59-15A5-BCA7-A3D9CD269C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Dunkelheit, Screenshot, Raum, Universum enthält.  KI-generierte Inhalte können fehlerhaft sein.">
                      <a:extLst>
                        <a:ext uri="{FF2B5EF4-FFF2-40B4-BE49-F238E27FC236}">
                          <a16:creationId xmlns:a16="http://schemas.microsoft.com/office/drawing/2014/main" id="{27256F2D-7F59-15A5-BCA7-A3D9CD269CCE}"/>
                        </a:ext>
                      </a:extLst>
                    </pic:cNvPr>
                    <pic:cNvPicPr>
                      <a:picLocks noChangeAspect="1"/>
                    </pic:cNvPicPr>
                  </pic:nvPicPr>
                  <pic:blipFill>
                    <a:blip r:embed="rId4"/>
                    <a:stretch>
                      <a:fillRect/>
                    </a:stretch>
                  </pic:blipFill>
                  <pic:spPr>
                    <a:xfrm>
                      <a:off x="0" y="0"/>
                      <a:ext cx="5760720" cy="4196715"/>
                    </a:xfrm>
                    <a:prstGeom prst="rect">
                      <a:avLst/>
                    </a:prstGeom>
                  </pic:spPr>
                </pic:pic>
              </a:graphicData>
            </a:graphic>
          </wp:inline>
        </w:drawing>
      </w:r>
    </w:p>
    <w:p w14:paraId="6D96093F" w14:textId="77777777" w:rsidR="00CD5706" w:rsidRDefault="00CD5706" w:rsidP="00CD5706">
      <w:pPr>
        <w:pStyle w:val="Caption"/>
        <w:spacing w:line="276" w:lineRule="auto"/>
        <w:rPr>
          <w:i w:val="0"/>
          <w:iCs w:val="0"/>
          <w:color w:val="auto"/>
          <w:sz w:val="20"/>
          <w:szCs w:val="20"/>
          <w:lang w:val="en-US"/>
        </w:rPr>
      </w:pPr>
      <w:r>
        <w:rPr>
          <w:b/>
          <w:bCs/>
          <w:i w:val="0"/>
          <w:iCs w:val="0"/>
          <w:color w:val="auto"/>
          <w:sz w:val="20"/>
          <w:szCs w:val="20"/>
        </w:rPr>
        <w:t xml:space="preserve">Supplementary </w:t>
      </w:r>
      <w:r w:rsidRPr="0047548F">
        <w:rPr>
          <w:b/>
          <w:bCs/>
          <w:i w:val="0"/>
          <w:iCs w:val="0"/>
          <w:color w:val="auto"/>
          <w:sz w:val="20"/>
          <w:szCs w:val="20"/>
        </w:rPr>
        <w:t>Figure</w:t>
      </w:r>
      <w:r>
        <w:rPr>
          <w:b/>
          <w:bCs/>
          <w:i w:val="0"/>
          <w:iCs w:val="0"/>
          <w:color w:val="auto"/>
          <w:sz w:val="20"/>
          <w:szCs w:val="20"/>
        </w:rPr>
        <w:t xml:space="preserve"> 1</w:t>
      </w:r>
      <w:r w:rsidRPr="0047548F">
        <w:rPr>
          <w:b/>
          <w:bCs/>
          <w:i w:val="0"/>
          <w:iCs w:val="0"/>
          <w:color w:val="auto"/>
          <w:sz w:val="20"/>
          <w:szCs w:val="20"/>
        </w:rPr>
        <w:t>.</w:t>
      </w:r>
      <w:r w:rsidRPr="0047548F">
        <w:rPr>
          <w:i w:val="0"/>
          <w:iCs w:val="0"/>
          <w:color w:val="auto"/>
          <w:sz w:val="20"/>
          <w:szCs w:val="20"/>
        </w:rPr>
        <w:t xml:space="preserve"> Co-staining of the lipid bilayer of u</w:t>
      </w:r>
      <w:r>
        <w:rPr>
          <w:i w:val="0"/>
          <w:iCs w:val="0"/>
          <w:color w:val="auto"/>
          <w:sz w:val="20"/>
          <w:szCs w:val="20"/>
        </w:rPr>
        <w:t xml:space="preserve">rinary extracellular vesicles </w:t>
      </w:r>
      <w:r w:rsidRPr="0047548F">
        <w:rPr>
          <w:i w:val="0"/>
          <w:iCs w:val="0"/>
          <w:color w:val="auto"/>
          <w:sz w:val="20"/>
          <w:szCs w:val="20"/>
        </w:rPr>
        <w:t xml:space="preserve">with </w:t>
      </w:r>
      <w:r w:rsidRPr="0047548F">
        <w:rPr>
          <w:i w:val="0"/>
          <w:iCs w:val="0"/>
          <w:color w:val="auto"/>
          <w:sz w:val="20"/>
          <w:szCs w:val="20"/>
          <w:lang w:val="en-US"/>
        </w:rPr>
        <w:t>MemGlow</w:t>
      </w:r>
      <w:r w:rsidRPr="0047548F">
        <w:rPr>
          <w:i w:val="0"/>
          <w:iCs w:val="0"/>
          <w:color w:val="auto"/>
          <w:sz w:val="20"/>
          <w:szCs w:val="20"/>
          <w:vertAlign w:val="superscript"/>
          <w:lang w:val="en-US"/>
        </w:rPr>
        <w:t>TM</w:t>
      </w:r>
      <w:r w:rsidRPr="0047548F">
        <w:rPr>
          <w:i w:val="0"/>
          <w:iCs w:val="0"/>
          <w:color w:val="auto"/>
          <w:sz w:val="20"/>
          <w:szCs w:val="20"/>
          <w:lang w:val="en-US"/>
        </w:rPr>
        <w:t xml:space="preserve"> 560 (purple) and the podocyte-specific marker podocalyxin with the antibody PODXL488 (cyan).</w:t>
      </w:r>
    </w:p>
    <w:p w14:paraId="2FEDB6FD" w14:textId="77777777" w:rsidR="00CD5706" w:rsidRDefault="00CD5706" w:rsidP="00CD5706">
      <w:pPr>
        <w:jc w:val="left"/>
        <w:rPr>
          <w:lang w:eastAsia="de-DE"/>
        </w:rPr>
      </w:pPr>
      <w:r>
        <w:rPr>
          <w:lang w:eastAsia="de-DE"/>
        </w:rPr>
        <w:br w:type="page"/>
      </w:r>
    </w:p>
    <w:p w14:paraId="4D91E08D" w14:textId="77777777" w:rsidR="00CD5706" w:rsidRDefault="00CD5706" w:rsidP="00CD5706">
      <w:pPr>
        <w:jc w:val="left"/>
        <w:rPr>
          <w:lang w:eastAsia="de-DE"/>
        </w:rPr>
      </w:pPr>
    </w:p>
    <w:p w14:paraId="7060567D" w14:textId="77777777" w:rsidR="00CD5706" w:rsidRDefault="00CD5706" w:rsidP="00CD5706">
      <w:pPr>
        <w:jc w:val="left"/>
        <w:rPr>
          <w:lang w:eastAsia="de-DE"/>
        </w:rPr>
      </w:pPr>
      <w:r>
        <w:rPr>
          <w:noProof/>
        </w:rPr>
        <w:drawing>
          <wp:inline distT="0" distB="0" distL="0" distR="0" wp14:anchorId="12A958CA" wp14:editId="05BFF176">
            <wp:extent cx="5760720" cy="3750945"/>
            <wp:effectExtent l="0" t="0" r="0" b="1905"/>
            <wp:docPr id="691804677" name="Grafik 1" descr="Ein Bild, das Text, Diagramm, Screenshot, Reihe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04677" name="Grafik 1" descr="Ein Bild, das Text, Diagramm, Screenshot, Reihe enthält.  KI-generierte Inhalte können fehlerhaft sein."/>
                    <pic:cNvPicPr/>
                  </pic:nvPicPr>
                  <pic:blipFill>
                    <a:blip r:embed="rId5"/>
                    <a:stretch>
                      <a:fillRect/>
                    </a:stretch>
                  </pic:blipFill>
                  <pic:spPr>
                    <a:xfrm>
                      <a:off x="0" y="0"/>
                      <a:ext cx="5760720" cy="3750945"/>
                    </a:xfrm>
                    <a:prstGeom prst="rect">
                      <a:avLst/>
                    </a:prstGeom>
                  </pic:spPr>
                </pic:pic>
              </a:graphicData>
            </a:graphic>
          </wp:inline>
        </w:drawing>
      </w:r>
    </w:p>
    <w:p w14:paraId="3AE2EE60" w14:textId="77777777" w:rsidR="00CD5706" w:rsidRPr="00CC569C" w:rsidRDefault="00CD5706" w:rsidP="00CD5706">
      <w:pPr>
        <w:jc w:val="left"/>
        <w:rPr>
          <w:lang w:eastAsia="de-DE"/>
        </w:rPr>
      </w:pPr>
    </w:p>
    <w:p w14:paraId="2EDFA12F" w14:textId="77777777" w:rsidR="00CD5706" w:rsidRPr="00CC569C" w:rsidRDefault="00CD5706" w:rsidP="00CD5706">
      <w:pPr>
        <w:jc w:val="left"/>
        <w:rPr>
          <w:lang w:eastAsia="de-DE"/>
        </w:rPr>
      </w:pPr>
    </w:p>
    <w:p w14:paraId="5437466A" w14:textId="77777777" w:rsidR="00CD5706" w:rsidRDefault="00CD5706" w:rsidP="00CD5706">
      <w:pPr>
        <w:pStyle w:val="Caption"/>
        <w:spacing w:line="276" w:lineRule="auto"/>
        <w:rPr>
          <w:i w:val="0"/>
          <w:iCs w:val="0"/>
          <w:color w:val="auto"/>
          <w:sz w:val="20"/>
          <w:szCs w:val="20"/>
          <w:lang w:val="en-US"/>
        </w:rPr>
      </w:pPr>
      <w:r>
        <w:rPr>
          <w:b/>
          <w:bCs/>
          <w:i w:val="0"/>
          <w:iCs w:val="0"/>
          <w:color w:val="auto"/>
          <w:sz w:val="20"/>
          <w:szCs w:val="20"/>
        </w:rPr>
        <w:t xml:space="preserve">Supplementary </w:t>
      </w:r>
      <w:r w:rsidRPr="0047548F">
        <w:rPr>
          <w:b/>
          <w:bCs/>
          <w:i w:val="0"/>
          <w:iCs w:val="0"/>
          <w:color w:val="auto"/>
          <w:sz w:val="20"/>
          <w:szCs w:val="20"/>
        </w:rPr>
        <w:t>Figure</w:t>
      </w:r>
      <w:r>
        <w:rPr>
          <w:b/>
          <w:bCs/>
          <w:i w:val="0"/>
          <w:iCs w:val="0"/>
          <w:color w:val="auto"/>
          <w:sz w:val="20"/>
          <w:szCs w:val="20"/>
        </w:rPr>
        <w:t xml:space="preserve"> 2</w:t>
      </w:r>
      <w:r w:rsidRPr="0047548F">
        <w:rPr>
          <w:b/>
          <w:bCs/>
          <w:i w:val="0"/>
          <w:iCs w:val="0"/>
          <w:color w:val="auto"/>
          <w:sz w:val="20"/>
          <w:szCs w:val="20"/>
        </w:rPr>
        <w:t>.</w:t>
      </w:r>
      <w:r w:rsidRPr="0047548F">
        <w:rPr>
          <w:i w:val="0"/>
          <w:iCs w:val="0"/>
          <w:color w:val="auto"/>
          <w:sz w:val="20"/>
          <w:szCs w:val="20"/>
        </w:rPr>
        <w:t xml:space="preserve"> </w:t>
      </w:r>
      <w:r>
        <w:rPr>
          <w:i w:val="0"/>
          <w:iCs w:val="0"/>
          <w:color w:val="auto"/>
          <w:sz w:val="20"/>
          <w:szCs w:val="20"/>
        </w:rPr>
        <w:t>Box plots visualising vACR (left) and vPCR (right) distributions (log-scale on y axis) at baseline over age groups (A, B) and by sex (C, D). vPCR significantly differed by age and vACR by sex.</w:t>
      </w:r>
    </w:p>
    <w:p w14:paraId="67952F24" w14:textId="77777777" w:rsidR="00CD5706" w:rsidRDefault="00CD5706" w:rsidP="00CD5706">
      <w:pPr>
        <w:jc w:val="left"/>
        <w:rPr>
          <w:lang w:eastAsia="de-DE"/>
        </w:rPr>
      </w:pPr>
      <w:r>
        <w:rPr>
          <w:lang w:eastAsia="de-DE"/>
        </w:rPr>
        <w:br w:type="page"/>
      </w:r>
    </w:p>
    <w:p w14:paraId="613E61BA" w14:textId="77777777" w:rsidR="00CD5706" w:rsidRDefault="00CD5706" w:rsidP="00CD5706">
      <w:pPr>
        <w:jc w:val="left"/>
        <w:rPr>
          <w:lang w:eastAsia="de-DE"/>
        </w:rPr>
      </w:pPr>
      <w:r>
        <w:rPr>
          <w:noProof/>
        </w:rPr>
        <w:lastRenderedPageBreak/>
        <w:drawing>
          <wp:inline distT="0" distB="0" distL="0" distR="0" wp14:anchorId="2F9EF88F" wp14:editId="00B264BD">
            <wp:extent cx="5040000" cy="3567219"/>
            <wp:effectExtent l="0" t="0" r="8255" b="0"/>
            <wp:docPr id="992989263" name="Grafik 1" descr="Ein Bild, das Diagramm, Zeichnung, Entwurf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89263" name="Grafik 1" descr="Ein Bild, das Diagramm, Zeichnung, Entwurf enthält.  KI-generierte Inhalte können fehlerhaft sein."/>
                    <pic:cNvPicPr/>
                  </pic:nvPicPr>
                  <pic:blipFill>
                    <a:blip r:embed="rId6"/>
                    <a:stretch>
                      <a:fillRect/>
                    </a:stretch>
                  </pic:blipFill>
                  <pic:spPr>
                    <a:xfrm>
                      <a:off x="0" y="0"/>
                      <a:ext cx="5040000" cy="3567219"/>
                    </a:xfrm>
                    <a:prstGeom prst="rect">
                      <a:avLst/>
                    </a:prstGeom>
                  </pic:spPr>
                </pic:pic>
              </a:graphicData>
            </a:graphic>
          </wp:inline>
        </w:drawing>
      </w:r>
    </w:p>
    <w:p w14:paraId="3137FAC2" w14:textId="77777777" w:rsidR="00CD5706" w:rsidRDefault="00CD5706" w:rsidP="00CD5706">
      <w:pPr>
        <w:rPr>
          <w:lang w:eastAsia="de-DE"/>
        </w:rPr>
      </w:pPr>
      <w:r>
        <w:rPr>
          <w:noProof/>
        </w:rPr>
        <w:drawing>
          <wp:inline distT="0" distB="0" distL="0" distR="0" wp14:anchorId="56CF5185" wp14:editId="6A773142">
            <wp:extent cx="5040000" cy="3888333"/>
            <wp:effectExtent l="0" t="0" r="8255" b="0"/>
            <wp:docPr id="550205155" name="Grafik 1" descr="Ein Bild, das Diagramm, Zeichnung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205155" name="Grafik 1" descr="Ein Bild, das Diagramm, Zeichnung enthält.  KI-generierte Inhalte können fehlerhaft sein."/>
                    <pic:cNvPicPr/>
                  </pic:nvPicPr>
                  <pic:blipFill>
                    <a:blip r:embed="rId7"/>
                    <a:stretch>
                      <a:fillRect/>
                    </a:stretch>
                  </pic:blipFill>
                  <pic:spPr>
                    <a:xfrm>
                      <a:off x="0" y="0"/>
                      <a:ext cx="5040000" cy="3888333"/>
                    </a:xfrm>
                    <a:prstGeom prst="rect">
                      <a:avLst/>
                    </a:prstGeom>
                  </pic:spPr>
                </pic:pic>
              </a:graphicData>
            </a:graphic>
          </wp:inline>
        </w:drawing>
      </w:r>
    </w:p>
    <w:p w14:paraId="4B9BA451" w14:textId="77777777" w:rsidR="00CD5706" w:rsidRDefault="00CD5706" w:rsidP="00CD5706">
      <w:pPr>
        <w:pStyle w:val="Caption"/>
        <w:spacing w:line="276" w:lineRule="auto"/>
        <w:rPr>
          <w:i w:val="0"/>
          <w:iCs w:val="0"/>
          <w:color w:val="auto"/>
          <w:sz w:val="20"/>
          <w:szCs w:val="20"/>
          <w:lang w:val="en-US"/>
        </w:rPr>
      </w:pPr>
      <w:r>
        <w:rPr>
          <w:b/>
          <w:bCs/>
          <w:i w:val="0"/>
          <w:iCs w:val="0"/>
          <w:color w:val="auto"/>
          <w:sz w:val="20"/>
          <w:szCs w:val="20"/>
        </w:rPr>
        <w:t xml:space="preserve">Supplementary </w:t>
      </w:r>
      <w:r w:rsidRPr="0047548F">
        <w:rPr>
          <w:b/>
          <w:bCs/>
          <w:i w:val="0"/>
          <w:iCs w:val="0"/>
          <w:color w:val="auto"/>
          <w:sz w:val="20"/>
          <w:szCs w:val="20"/>
        </w:rPr>
        <w:t>Figure</w:t>
      </w:r>
      <w:r>
        <w:rPr>
          <w:b/>
          <w:bCs/>
          <w:i w:val="0"/>
          <w:iCs w:val="0"/>
          <w:color w:val="auto"/>
          <w:sz w:val="20"/>
          <w:szCs w:val="20"/>
        </w:rPr>
        <w:t xml:space="preserve"> 3</w:t>
      </w:r>
      <w:r w:rsidRPr="0047548F">
        <w:rPr>
          <w:b/>
          <w:bCs/>
          <w:i w:val="0"/>
          <w:iCs w:val="0"/>
          <w:color w:val="auto"/>
          <w:sz w:val="20"/>
          <w:szCs w:val="20"/>
        </w:rPr>
        <w:t>.</w:t>
      </w:r>
      <w:r w:rsidRPr="0047548F">
        <w:rPr>
          <w:i w:val="0"/>
          <w:iCs w:val="0"/>
          <w:color w:val="auto"/>
          <w:sz w:val="20"/>
          <w:szCs w:val="20"/>
        </w:rPr>
        <w:t xml:space="preserve"> </w:t>
      </w:r>
      <w:r>
        <w:rPr>
          <w:i w:val="0"/>
          <w:iCs w:val="0"/>
          <w:color w:val="auto"/>
          <w:sz w:val="20"/>
          <w:szCs w:val="20"/>
        </w:rPr>
        <w:t>Spaghetti plots for change in vACR (top) and vPCR (bottom) between baseline and three years follow-up over baseline age</w:t>
      </w:r>
      <w:r w:rsidRPr="0047548F">
        <w:rPr>
          <w:i w:val="0"/>
          <w:iCs w:val="0"/>
          <w:color w:val="auto"/>
          <w:sz w:val="20"/>
          <w:szCs w:val="20"/>
          <w:lang w:val="en-US"/>
        </w:rPr>
        <w:t>.</w:t>
      </w:r>
    </w:p>
    <w:p w14:paraId="2CFB87FA" w14:textId="77777777" w:rsidR="00CD5706" w:rsidRDefault="00CD5706" w:rsidP="00CD5706">
      <w:pPr>
        <w:jc w:val="left"/>
        <w:rPr>
          <w:lang w:eastAsia="de-DE"/>
        </w:rPr>
      </w:pPr>
    </w:p>
    <w:p w14:paraId="339B7381" w14:textId="77777777" w:rsidR="00E023F9" w:rsidRDefault="00E023F9"/>
    <w:sectPr w:rsidR="00E023F9" w:rsidSect="00CD5706">
      <w:headerReference w:type="default" r:id="rId8"/>
      <w:pgSz w:w="11906" w:h="16838"/>
      <w:pgMar w:top="1417" w:right="1417" w:bottom="1276"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4236991"/>
      <w:docPartObj>
        <w:docPartGallery w:val="Page Numbers (Top of Page)"/>
        <w:docPartUnique/>
      </w:docPartObj>
    </w:sdtPr>
    <w:sdtContent>
      <w:p w14:paraId="79A9A364" w14:textId="77777777" w:rsidR="00CD5706" w:rsidRDefault="00CD5706">
        <w:pPr>
          <w:pStyle w:val="Header"/>
          <w:jc w:val="right"/>
        </w:pPr>
        <w:r>
          <w:fldChar w:fldCharType="begin"/>
        </w:r>
        <w:r>
          <w:instrText>PAGE   \* MERGEFORMAT</w:instrText>
        </w:r>
        <w:r>
          <w:fldChar w:fldCharType="separate"/>
        </w:r>
        <w:r>
          <w:rPr>
            <w:noProof/>
          </w:rPr>
          <w:t>11</w:t>
        </w:r>
        <w:r>
          <w:fldChar w:fldCharType="end"/>
        </w:r>
      </w:p>
    </w:sdtContent>
  </w:sdt>
  <w:p w14:paraId="7BEE1B2D" w14:textId="77777777" w:rsidR="00CD5706" w:rsidRDefault="00CD57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706"/>
    <w:rsid w:val="000C4033"/>
    <w:rsid w:val="004B42CB"/>
    <w:rsid w:val="00A90931"/>
    <w:rsid w:val="00B85331"/>
    <w:rsid w:val="00CD5706"/>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6BAFE"/>
  <w15:chartTrackingRefBased/>
  <w15:docId w15:val="{FB8B2EFA-6BFB-44F4-BD16-46ACB1A00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06"/>
    <w:pPr>
      <w:spacing w:line="259" w:lineRule="auto"/>
      <w:jc w:val="both"/>
    </w:pPr>
    <w:rPr>
      <w:rFonts w:ascii="Arial" w:hAnsi="Arial"/>
      <w:kern w:val="0"/>
      <w:sz w:val="22"/>
      <w:szCs w:val="22"/>
      <w:lang w:val="en-GB"/>
      <w14:ligatures w14:val="none"/>
    </w:rPr>
  </w:style>
  <w:style w:type="paragraph" w:styleId="Heading1">
    <w:name w:val="heading 1"/>
    <w:basedOn w:val="Normal"/>
    <w:next w:val="Normal"/>
    <w:link w:val="Heading1Char"/>
    <w:qFormat/>
    <w:rsid w:val="00CD5706"/>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CD5706"/>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D5706"/>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D5706"/>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CD5706"/>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CD5706"/>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CD5706"/>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CD5706"/>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CD5706"/>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D57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57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57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57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57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57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57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57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5706"/>
    <w:rPr>
      <w:rFonts w:eastAsiaTheme="majorEastAsia" w:cstheme="majorBidi"/>
      <w:color w:val="272727" w:themeColor="text1" w:themeTint="D8"/>
    </w:rPr>
  </w:style>
  <w:style w:type="paragraph" w:styleId="Title">
    <w:name w:val="Title"/>
    <w:basedOn w:val="Normal"/>
    <w:next w:val="Normal"/>
    <w:link w:val="TitleChar"/>
    <w:uiPriority w:val="10"/>
    <w:qFormat/>
    <w:rsid w:val="00CD5706"/>
    <w:pPr>
      <w:spacing w:after="80" w:line="240" w:lineRule="auto"/>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D57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5706"/>
    <w:pPr>
      <w:numPr>
        <w:ilvl w:val="1"/>
      </w:numPr>
      <w:spacing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D57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5706"/>
    <w:pPr>
      <w:spacing w:before="160" w:line="278" w:lineRule="auto"/>
      <w:jc w:val="center"/>
    </w:pPr>
    <w:rPr>
      <w:rFonts w:asciiTheme="minorHAnsi" w:hAnsi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CD5706"/>
    <w:rPr>
      <w:i/>
      <w:iCs/>
      <w:color w:val="404040" w:themeColor="text1" w:themeTint="BF"/>
    </w:rPr>
  </w:style>
  <w:style w:type="paragraph" w:styleId="ListParagraph">
    <w:name w:val="List Paragraph"/>
    <w:basedOn w:val="Normal"/>
    <w:uiPriority w:val="34"/>
    <w:qFormat/>
    <w:rsid w:val="00CD5706"/>
    <w:pPr>
      <w:spacing w:line="278" w:lineRule="auto"/>
      <w:ind w:left="720"/>
      <w:contextualSpacing/>
      <w:jc w:val="left"/>
    </w:pPr>
    <w:rPr>
      <w:rFonts w:asciiTheme="minorHAnsi" w:hAnsiTheme="minorHAnsi"/>
      <w:kern w:val="2"/>
      <w:sz w:val="24"/>
      <w:szCs w:val="24"/>
      <w:lang w:val="en-IN"/>
      <w14:ligatures w14:val="standardContextual"/>
    </w:rPr>
  </w:style>
  <w:style w:type="character" w:styleId="IntenseEmphasis">
    <w:name w:val="Intense Emphasis"/>
    <w:basedOn w:val="DefaultParagraphFont"/>
    <w:uiPriority w:val="21"/>
    <w:qFormat/>
    <w:rsid w:val="00CD5706"/>
    <w:rPr>
      <w:i/>
      <w:iCs/>
      <w:color w:val="0F4761" w:themeColor="accent1" w:themeShade="BF"/>
    </w:rPr>
  </w:style>
  <w:style w:type="paragraph" w:styleId="IntenseQuote">
    <w:name w:val="Intense Quote"/>
    <w:basedOn w:val="Normal"/>
    <w:next w:val="Normal"/>
    <w:link w:val="IntenseQuoteChar"/>
    <w:uiPriority w:val="30"/>
    <w:qFormat/>
    <w:rsid w:val="00CD570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CD5706"/>
    <w:rPr>
      <w:i/>
      <w:iCs/>
      <w:color w:val="0F4761" w:themeColor="accent1" w:themeShade="BF"/>
    </w:rPr>
  </w:style>
  <w:style w:type="character" w:styleId="IntenseReference">
    <w:name w:val="Intense Reference"/>
    <w:basedOn w:val="DefaultParagraphFont"/>
    <w:uiPriority w:val="32"/>
    <w:qFormat/>
    <w:rsid w:val="00CD5706"/>
    <w:rPr>
      <w:b/>
      <w:bCs/>
      <w:smallCaps/>
      <w:color w:val="0F4761" w:themeColor="accent1" w:themeShade="BF"/>
      <w:spacing w:val="5"/>
    </w:rPr>
  </w:style>
  <w:style w:type="paragraph" w:styleId="Header">
    <w:name w:val="header"/>
    <w:basedOn w:val="Normal"/>
    <w:link w:val="HeaderChar"/>
    <w:uiPriority w:val="99"/>
    <w:unhideWhenUsed/>
    <w:rsid w:val="00CD570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D5706"/>
    <w:rPr>
      <w:rFonts w:ascii="Arial" w:hAnsi="Arial"/>
      <w:kern w:val="0"/>
      <w:sz w:val="22"/>
      <w:szCs w:val="22"/>
      <w:lang w:val="en-GB"/>
      <w14:ligatures w14:val="none"/>
    </w:rPr>
  </w:style>
  <w:style w:type="paragraph" w:styleId="Caption">
    <w:name w:val="caption"/>
    <w:basedOn w:val="Normal"/>
    <w:next w:val="Normal"/>
    <w:uiPriority w:val="35"/>
    <w:unhideWhenUsed/>
    <w:qFormat/>
    <w:rsid w:val="00CD5706"/>
    <w:pPr>
      <w:spacing w:after="200" w:line="240" w:lineRule="auto"/>
    </w:pPr>
    <w:rPr>
      <w:i/>
      <w:iCs/>
      <w:color w:val="0E2841" w:themeColor="text2"/>
      <w:sz w:val="18"/>
      <w:szCs w:val="18"/>
    </w:rPr>
  </w:style>
  <w:style w:type="table" w:styleId="TableGrid">
    <w:name w:val="Table Grid"/>
    <w:basedOn w:val="TableNormal"/>
    <w:uiPriority w:val="39"/>
    <w:rsid w:val="00CD5706"/>
    <w:pPr>
      <w:spacing w:after="0" w:line="240" w:lineRule="auto"/>
    </w:pPr>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D5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528</Words>
  <Characters>3148</Characters>
  <Application>Microsoft Office Word</Application>
  <DocSecurity>0</DocSecurity>
  <Lines>74</Lines>
  <Paragraphs>37</Paragraphs>
  <ScaleCrop>false</ScaleCrop>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2026-02-09T14:55:00Z</dcterms:created>
  <dcterms:modified xsi:type="dcterms:W3CDTF">2026-02-09T14:55:00Z</dcterms:modified>
</cp:coreProperties>
</file>