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3AD0B" w14:textId="77777777" w:rsidR="00157591" w:rsidRPr="00140C2E" w:rsidRDefault="00157591" w:rsidP="0015759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0C2E">
        <w:rPr>
          <w:rFonts w:ascii="Times New Roman" w:eastAsia="Times New Roman" w:hAnsi="Times New Roman" w:cs="Times New Roman"/>
          <w:b/>
          <w:sz w:val="24"/>
          <w:szCs w:val="24"/>
        </w:rPr>
        <w:t xml:space="preserve">Table 1 </w:t>
      </w:r>
      <w:r w:rsidRPr="00140C2E">
        <w:rPr>
          <w:rFonts w:ascii="Times New Roman" w:eastAsia="Times New Roman" w:hAnsi="Times New Roman" w:cs="Times New Roman"/>
          <w:sz w:val="24"/>
          <w:szCs w:val="24"/>
        </w:rPr>
        <w:t>Characteristics of included studies evaluating neurodevelopmental outcomes after intrauterine antipsychotic exposure.</w:t>
      </w:r>
    </w:p>
    <w:tbl>
      <w:tblPr>
        <w:tblW w:w="14511" w:type="dxa"/>
        <w:tblBorders>
          <w:top w:val="single" w:sz="4" w:space="0" w:color="000000"/>
          <w:left w:val="nil"/>
          <w:bottom w:val="nil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82"/>
        <w:gridCol w:w="1180"/>
        <w:gridCol w:w="1128"/>
        <w:gridCol w:w="894"/>
        <w:gridCol w:w="1176"/>
        <w:gridCol w:w="1350"/>
        <w:gridCol w:w="810"/>
        <w:gridCol w:w="990"/>
        <w:gridCol w:w="900"/>
        <w:gridCol w:w="990"/>
        <w:gridCol w:w="1401"/>
        <w:gridCol w:w="2649"/>
        <w:gridCol w:w="561"/>
      </w:tblGrid>
      <w:tr w:rsidR="00157591" w:rsidRPr="00CB3459" w14:paraId="089C815B" w14:textId="77777777" w:rsidTr="00972CAC">
        <w:trPr>
          <w:trHeight w:val="426"/>
        </w:trPr>
        <w:tc>
          <w:tcPr>
            <w:tcW w:w="482" w:type="dxa"/>
            <w:vMerge w:val="restart"/>
          </w:tcPr>
          <w:p w14:paraId="1FC2709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No.</w:t>
            </w:r>
          </w:p>
        </w:tc>
        <w:tc>
          <w:tcPr>
            <w:tcW w:w="1180" w:type="dxa"/>
            <w:vMerge w:val="restart"/>
          </w:tcPr>
          <w:p w14:paraId="0166126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Author, Year, Study Location</w:t>
            </w:r>
          </w:p>
        </w:tc>
        <w:tc>
          <w:tcPr>
            <w:tcW w:w="1128" w:type="dxa"/>
            <w:vMerge w:val="restart"/>
          </w:tcPr>
          <w:p w14:paraId="43DD6A3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Study Design</w:t>
            </w:r>
          </w:p>
        </w:tc>
        <w:tc>
          <w:tcPr>
            <w:tcW w:w="894" w:type="dxa"/>
            <w:vMerge w:val="restart"/>
          </w:tcPr>
          <w:p w14:paraId="2041780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Follow-up duration</w:t>
            </w:r>
          </w:p>
        </w:tc>
        <w:tc>
          <w:tcPr>
            <w:tcW w:w="1176" w:type="dxa"/>
            <w:vMerge w:val="restart"/>
          </w:tcPr>
          <w:p w14:paraId="0AA7AAD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Data Source</w:t>
            </w:r>
          </w:p>
        </w:tc>
        <w:tc>
          <w:tcPr>
            <w:tcW w:w="1350" w:type="dxa"/>
            <w:vMerge w:val="restart"/>
          </w:tcPr>
          <w:p w14:paraId="5D5200A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Antipsychotic (dosage)</w:t>
            </w:r>
          </w:p>
        </w:tc>
        <w:tc>
          <w:tcPr>
            <w:tcW w:w="1800" w:type="dxa"/>
            <w:gridSpan w:val="2"/>
          </w:tcPr>
          <w:p w14:paraId="2DF0CF6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Sample Size, n</w:t>
            </w: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br/>
            </w:r>
          </w:p>
        </w:tc>
        <w:tc>
          <w:tcPr>
            <w:tcW w:w="900" w:type="dxa"/>
            <w:vMerge w:val="restart"/>
          </w:tcPr>
          <w:p w14:paraId="0A50909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 xml:space="preserve">Maternal age, mean </w:t>
            </w:r>
          </w:p>
        </w:tc>
        <w:tc>
          <w:tcPr>
            <w:tcW w:w="990" w:type="dxa"/>
            <w:vMerge w:val="restart"/>
          </w:tcPr>
          <w:p w14:paraId="4FC8786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Psychiatric Indication</w:t>
            </w:r>
          </w:p>
        </w:tc>
        <w:tc>
          <w:tcPr>
            <w:tcW w:w="1401" w:type="dxa"/>
            <w:vMerge w:val="restart"/>
          </w:tcPr>
          <w:p w14:paraId="58BEF48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Outcome Measure</w:t>
            </w:r>
          </w:p>
        </w:tc>
        <w:tc>
          <w:tcPr>
            <w:tcW w:w="2649" w:type="dxa"/>
            <w:vMerge w:val="restart"/>
          </w:tcPr>
          <w:p w14:paraId="30B8EB3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Result</w:t>
            </w:r>
          </w:p>
        </w:tc>
        <w:tc>
          <w:tcPr>
            <w:tcW w:w="561" w:type="dxa"/>
            <w:vMerge w:val="restart"/>
          </w:tcPr>
          <w:p w14:paraId="4123771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QAS</w:t>
            </w:r>
          </w:p>
        </w:tc>
      </w:tr>
      <w:tr w:rsidR="00157591" w:rsidRPr="00CB3459" w14:paraId="142A2FDF" w14:textId="77777777" w:rsidTr="00972CAC">
        <w:trPr>
          <w:trHeight w:val="218"/>
        </w:trPr>
        <w:tc>
          <w:tcPr>
            <w:tcW w:w="482" w:type="dxa"/>
            <w:vMerge/>
          </w:tcPr>
          <w:p w14:paraId="771B24EC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80" w:type="dxa"/>
            <w:vMerge/>
          </w:tcPr>
          <w:p w14:paraId="676459A8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28" w:type="dxa"/>
            <w:vMerge/>
          </w:tcPr>
          <w:p w14:paraId="0FD07FD7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94" w:type="dxa"/>
            <w:vMerge/>
          </w:tcPr>
          <w:p w14:paraId="4CC50D9B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6" w:type="dxa"/>
            <w:vMerge/>
          </w:tcPr>
          <w:p w14:paraId="3EA7DD7B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350" w:type="dxa"/>
            <w:vMerge/>
          </w:tcPr>
          <w:p w14:paraId="48E8A049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</w:tcPr>
          <w:p w14:paraId="1F59D9E0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Exposed</w:t>
            </w:r>
          </w:p>
        </w:tc>
        <w:tc>
          <w:tcPr>
            <w:tcW w:w="990" w:type="dxa"/>
          </w:tcPr>
          <w:p w14:paraId="5508398B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Unexposed</w:t>
            </w:r>
          </w:p>
        </w:tc>
        <w:tc>
          <w:tcPr>
            <w:tcW w:w="900" w:type="dxa"/>
            <w:vMerge/>
          </w:tcPr>
          <w:p w14:paraId="37947B2A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990" w:type="dxa"/>
            <w:vMerge/>
          </w:tcPr>
          <w:p w14:paraId="5645C2CA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401" w:type="dxa"/>
            <w:vMerge/>
          </w:tcPr>
          <w:p w14:paraId="4D4E92A1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649" w:type="dxa"/>
            <w:vMerge/>
          </w:tcPr>
          <w:p w14:paraId="5A5BFCC2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1" w:type="dxa"/>
            <w:vMerge/>
          </w:tcPr>
          <w:p w14:paraId="15FC8941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</w:tr>
      <w:tr w:rsidR="00157591" w:rsidRPr="00CB3459" w14:paraId="7FB92AE4" w14:textId="77777777" w:rsidTr="00972CAC">
        <w:trPr>
          <w:trHeight w:val="1133"/>
        </w:trPr>
        <w:tc>
          <w:tcPr>
            <w:tcW w:w="482" w:type="dxa"/>
            <w:vMerge w:val="restart"/>
            <w:vAlign w:val="center"/>
          </w:tcPr>
          <w:p w14:paraId="317B4CC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1.</w:t>
            </w:r>
          </w:p>
        </w:tc>
        <w:tc>
          <w:tcPr>
            <w:tcW w:w="1180" w:type="dxa"/>
            <w:vMerge w:val="restart"/>
            <w:vAlign w:val="center"/>
          </w:tcPr>
          <w:p w14:paraId="623CAB0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Platt et al. (1989), USA</w:t>
            </w:r>
          </w:p>
        </w:tc>
        <w:tc>
          <w:tcPr>
            <w:tcW w:w="1128" w:type="dxa"/>
            <w:vMerge w:val="restart"/>
            <w:vAlign w:val="center"/>
          </w:tcPr>
          <w:p w14:paraId="4C79413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Prospective cohort</w:t>
            </w:r>
          </w:p>
        </w:tc>
        <w:tc>
          <w:tcPr>
            <w:tcW w:w="894" w:type="dxa"/>
            <w:vMerge w:val="restart"/>
            <w:vAlign w:val="center"/>
          </w:tcPr>
          <w:p w14:paraId="62C7E4D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7 years</w:t>
            </w:r>
          </w:p>
        </w:tc>
        <w:tc>
          <w:tcPr>
            <w:tcW w:w="1176" w:type="dxa"/>
            <w:vMerge w:val="restart"/>
            <w:vAlign w:val="center"/>
          </w:tcPr>
          <w:p w14:paraId="29A33B1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Collaborative Perinatal Project (CPP)</w:t>
            </w:r>
          </w:p>
        </w:tc>
        <w:tc>
          <w:tcPr>
            <w:tcW w:w="1350" w:type="dxa"/>
            <w:vAlign w:val="center"/>
          </w:tcPr>
          <w:p w14:paraId="761DB3AB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Antipsychotic Neuroleptic (NR)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</w:p>
        </w:tc>
        <w:tc>
          <w:tcPr>
            <w:tcW w:w="810" w:type="dxa"/>
            <w:vAlign w:val="center"/>
          </w:tcPr>
          <w:p w14:paraId="6C82A5A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192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</w:p>
        </w:tc>
        <w:tc>
          <w:tcPr>
            <w:tcW w:w="990" w:type="dxa"/>
            <w:vMerge w:val="restart"/>
            <w:vAlign w:val="center"/>
          </w:tcPr>
          <w:p w14:paraId="6B1AAFB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215</w:t>
            </w:r>
          </w:p>
        </w:tc>
        <w:tc>
          <w:tcPr>
            <w:tcW w:w="900" w:type="dxa"/>
            <w:vMerge w:val="restart"/>
            <w:vAlign w:val="center"/>
          </w:tcPr>
          <w:p w14:paraId="79D4FA64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NR</w:t>
            </w:r>
          </w:p>
        </w:tc>
        <w:tc>
          <w:tcPr>
            <w:tcW w:w="990" w:type="dxa"/>
            <w:vMerge w:val="restart"/>
            <w:vAlign w:val="center"/>
          </w:tcPr>
          <w:p w14:paraId="7A96BD9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Psychotic neurotic disorder</w:t>
            </w:r>
          </w:p>
        </w:tc>
        <w:tc>
          <w:tcPr>
            <w:tcW w:w="1401" w:type="dxa"/>
            <w:vMerge w:val="restart"/>
            <w:vAlign w:val="center"/>
          </w:tcPr>
          <w:p w14:paraId="03F4666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Motor Development and Performance</w:t>
            </w:r>
          </w:p>
        </w:tc>
        <w:tc>
          <w:tcPr>
            <w:tcW w:w="2649" w:type="dxa"/>
            <w:vAlign w:val="center"/>
          </w:tcPr>
          <w:p w14:paraId="5208824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B7C003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Birth: Increase in abnormal activity</w:t>
            </w:r>
          </w:p>
          <w:p w14:paraId="4F203C6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8 months: Increased failures on Bayley gross motor assessment (p&lt;0.07)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</w:p>
        </w:tc>
        <w:tc>
          <w:tcPr>
            <w:tcW w:w="561" w:type="dxa"/>
            <w:vMerge w:val="restart"/>
            <w:vAlign w:val="center"/>
          </w:tcPr>
          <w:p w14:paraId="22BB1FA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</w:tr>
      <w:tr w:rsidR="00157591" w:rsidRPr="00CB3459" w14:paraId="4081CC02" w14:textId="77777777" w:rsidTr="00972CAC">
        <w:trPr>
          <w:trHeight w:val="804"/>
        </w:trPr>
        <w:tc>
          <w:tcPr>
            <w:tcW w:w="482" w:type="dxa"/>
            <w:vMerge/>
            <w:vAlign w:val="center"/>
          </w:tcPr>
          <w:p w14:paraId="7DAF7100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Merge/>
            <w:vAlign w:val="center"/>
          </w:tcPr>
          <w:p w14:paraId="4E8EF6B9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8" w:type="dxa"/>
            <w:vMerge/>
            <w:vAlign w:val="center"/>
          </w:tcPr>
          <w:p w14:paraId="5D9BFC6F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94" w:type="dxa"/>
            <w:vMerge/>
            <w:vAlign w:val="center"/>
          </w:tcPr>
          <w:p w14:paraId="44301760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6" w:type="dxa"/>
            <w:vMerge/>
            <w:vAlign w:val="center"/>
          </w:tcPr>
          <w:p w14:paraId="03FD8AAE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350" w:type="dxa"/>
            <w:vAlign w:val="center"/>
          </w:tcPr>
          <w:p w14:paraId="30BDEFA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Prochlorperazine (NR)</w:t>
            </w:r>
          </w:p>
        </w:tc>
        <w:tc>
          <w:tcPr>
            <w:tcW w:w="810" w:type="dxa"/>
            <w:vAlign w:val="center"/>
          </w:tcPr>
          <w:p w14:paraId="019FCD96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456</w:t>
            </w:r>
          </w:p>
        </w:tc>
        <w:tc>
          <w:tcPr>
            <w:tcW w:w="990" w:type="dxa"/>
            <w:vMerge/>
            <w:vAlign w:val="center"/>
          </w:tcPr>
          <w:p w14:paraId="6A9EA6E4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900" w:type="dxa"/>
            <w:vMerge/>
            <w:vAlign w:val="center"/>
          </w:tcPr>
          <w:p w14:paraId="637569E5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990" w:type="dxa"/>
            <w:vMerge/>
            <w:vAlign w:val="center"/>
          </w:tcPr>
          <w:p w14:paraId="2A6C5F2B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1" w:type="dxa"/>
            <w:vMerge/>
            <w:vAlign w:val="center"/>
          </w:tcPr>
          <w:p w14:paraId="1A8BBA75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649" w:type="dxa"/>
            <w:vAlign w:val="center"/>
          </w:tcPr>
          <w:p w14:paraId="7D7CD91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9A054B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Birth: Decreased risk of abnormal motor activity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8 months: More likely to fail items on Bayley fine and borderline trend towards more failures on Bayley gross motor assessment (p&lt;0.07)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4 years: Increased risk of unusual motor movements and postural adjustments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7 years: Decreased risk of stereotypies</w:t>
            </w:r>
          </w:p>
          <w:p w14:paraId="56DECDEA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561" w:type="dxa"/>
            <w:vMerge/>
            <w:vAlign w:val="center"/>
          </w:tcPr>
          <w:p w14:paraId="3C8E7741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157591" w:rsidRPr="00CB3459" w14:paraId="76423DEB" w14:textId="77777777" w:rsidTr="00972CAC">
        <w:trPr>
          <w:trHeight w:val="853"/>
        </w:trPr>
        <w:tc>
          <w:tcPr>
            <w:tcW w:w="482" w:type="dxa"/>
            <w:vAlign w:val="center"/>
          </w:tcPr>
          <w:p w14:paraId="4E7C48E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2.</w:t>
            </w:r>
          </w:p>
        </w:tc>
        <w:tc>
          <w:tcPr>
            <w:tcW w:w="1180" w:type="dxa"/>
            <w:vAlign w:val="center"/>
          </w:tcPr>
          <w:p w14:paraId="1106DB5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Johnson et al. (2012), USA</w:t>
            </w:r>
          </w:p>
        </w:tc>
        <w:tc>
          <w:tcPr>
            <w:tcW w:w="1128" w:type="dxa"/>
            <w:vAlign w:val="center"/>
          </w:tcPr>
          <w:p w14:paraId="4F1A066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Prospective cohort</w:t>
            </w:r>
          </w:p>
          <w:p w14:paraId="347571AB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94" w:type="dxa"/>
            <w:vAlign w:val="center"/>
          </w:tcPr>
          <w:p w14:paraId="1896807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6 months</w:t>
            </w:r>
          </w:p>
        </w:tc>
        <w:tc>
          <w:tcPr>
            <w:tcW w:w="1176" w:type="dxa"/>
            <w:vAlign w:val="center"/>
          </w:tcPr>
          <w:p w14:paraId="60CA484A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4B44258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Participants recruited from Emory Women’s Mental Health Program (WMHP) and community</w:t>
            </w:r>
          </w:p>
          <w:p w14:paraId="1060CCC4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350" w:type="dxa"/>
            <w:vAlign w:val="center"/>
          </w:tcPr>
          <w:p w14:paraId="6C9C466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lastRenderedPageBreak/>
              <w:t>First and Second-Generation Antipsychotics (NR)</w:t>
            </w:r>
          </w:p>
        </w:tc>
        <w:tc>
          <w:tcPr>
            <w:tcW w:w="810" w:type="dxa"/>
            <w:vAlign w:val="center"/>
          </w:tcPr>
          <w:p w14:paraId="4246D1E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990" w:type="dxa"/>
            <w:vAlign w:val="center"/>
          </w:tcPr>
          <w:p w14:paraId="31EEC8E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85</w:t>
            </w:r>
          </w:p>
        </w:tc>
        <w:tc>
          <w:tcPr>
            <w:tcW w:w="900" w:type="dxa"/>
            <w:vAlign w:val="center"/>
          </w:tcPr>
          <w:p w14:paraId="309E4526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34.1</w:t>
            </w:r>
          </w:p>
        </w:tc>
        <w:tc>
          <w:tcPr>
            <w:tcW w:w="990" w:type="dxa"/>
            <w:vAlign w:val="center"/>
          </w:tcPr>
          <w:p w14:paraId="42CF869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Mood disorder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anxiety disorder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Psychotic disorder</w:t>
            </w:r>
          </w:p>
        </w:tc>
        <w:tc>
          <w:tcPr>
            <w:tcW w:w="1401" w:type="dxa"/>
            <w:vAlign w:val="center"/>
          </w:tcPr>
          <w:p w14:paraId="2E6C1DA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Infant Neurological International Battery [INFANIB] composite score</w:t>
            </w:r>
          </w:p>
        </w:tc>
        <w:tc>
          <w:tcPr>
            <w:tcW w:w="2649" w:type="dxa"/>
            <w:vAlign w:val="center"/>
          </w:tcPr>
          <w:p w14:paraId="04B9BF9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Lower INFANIB score (p&lt;0.01)</w:t>
            </w:r>
          </w:p>
        </w:tc>
        <w:tc>
          <w:tcPr>
            <w:tcW w:w="561" w:type="dxa"/>
            <w:vAlign w:val="center"/>
          </w:tcPr>
          <w:p w14:paraId="64F7173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</w:tr>
      <w:tr w:rsidR="00157591" w:rsidRPr="00CB3459" w14:paraId="75ECF89A" w14:textId="77777777" w:rsidTr="00972CAC">
        <w:trPr>
          <w:trHeight w:val="853"/>
        </w:trPr>
        <w:tc>
          <w:tcPr>
            <w:tcW w:w="482" w:type="dxa"/>
            <w:vAlign w:val="center"/>
          </w:tcPr>
          <w:p w14:paraId="664E4F4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3.</w:t>
            </w:r>
          </w:p>
        </w:tc>
        <w:tc>
          <w:tcPr>
            <w:tcW w:w="1180" w:type="dxa"/>
            <w:vAlign w:val="center"/>
          </w:tcPr>
          <w:p w14:paraId="6543B6F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Peng et al. (2013), China</w:t>
            </w:r>
          </w:p>
        </w:tc>
        <w:tc>
          <w:tcPr>
            <w:tcW w:w="1128" w:type="dxa"/>
            <w:vAlign w:val="center"/>
          </w:tcPr>
          <w:p w14:paraId="71CE5A8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Prospective cohort</w:t>
            </w:r>
          </w:p>
          <w:p w14:paraId="147497A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94" w:type="dxa"/>
            <w:vAlign w:val="center"/>
          </w:tcPr>
          <w:p w14:paraId="57E9F58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1 year</w:t>
            </w:r>
          </w:p>
        </w:tc>
        <w:tc>
          <w:tcPr>
            <w:tcW w:w="1176" w:type="dxa"/>
            <w:vAlign w:val="center"/>
          </w:tcPr>
          <w:p w14:paraId="457DD194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Participants recruited from Second Xiangya Hospital</w:t>
            </w:r>
          </w:p>
        </w:tc>
        <w:tc>
          <w:tcPr>
            <w:tcW w:w="1350" w:type="dxa"/>
            <w:vAlign w:val="center"/>
          </w:tcPr>
          <w:p w14:paraId="06DDECD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Clozapine (75-450mg)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Risperidone (1-4mg)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Sulpiride (300-600mg)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Olanzapine (5-10mg)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Quetiapine (400-600mg)</w:t>
            </w:r>
          </w:p>
        </w:tc>
        <w:tc>
          <w:tcPr>
            <w:tcW w:w="810" w:type="dxa"/>
            <w:vAlign w:val="center"/>
          </w:tcPr>
          <w:p w14:paraId="0AD2BD6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990" w:type="dxa"/>
            <w:vAlign w:val="center"/>
          </w:tcPr>
          <w:p w14:paraId="51BA04F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900" w:type="dxa"/>
            <w:vAlign w:val="center"/>
          </w:tcPr>
          <w:p w14:paraId="685C858A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30.5</w:t>
            </w:r>
          </w:p>
        </w:tc>
        <w:tc>
          <w:tcPr>
            <w:tcW w:w="990" w:type="dxa"/>
            <w:vAlign w:val="center"/>
          </w:tcPr>
          <w:p w14:paraId="407BDFD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Schizophrenia</w:t>
            </w:r>
          </w:p>
        </w:tc>
        <w:tc>
          <w:tcPr>
            <w:tcW w:w="1401" w:type="dxa"/>
            <w:vAlign w:val="center"/>
          </w:tcPr>
          <w:p w14:paraId="6B480E3B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Bayley</w:t>
            </w:r>
          </w:p>
          <w:p w14:paraId="4656CB5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Scales of Infant and Toddler Development, third edition</w:t>
            </w:r>
          </w:p>
          <w:p w14:paraId="0AC2D33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(Bayley-III) for neurobehavioral development </w:t>
            </w:r>
          </w:p>
        </w:tc>
        <w:tc>
          <w:tcPr>
            <w:tcW w:w="2649" w:type="dxa"/>
            <w:vAlign w:val="center"/>
          </w:tcPr>
          <w:p w14:paraId="6F2CE6C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89F24C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 months: Lower mean composite score of Bayley-III cognitive, motor, social-emotional and adaptive behavior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</w:p>
          <w:p w14:paraId="7C53E70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6 months: Lower mean social-emotional and adaptive behavior scores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</w:p>
          <w:p w14:paraId="39D3ACF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12 months: No difference</w:t>
            </w:r>
          </w:p>
          <w:p w14:paraId="08A0935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561" w:type="dxa"/>
            <w:vAlign w:val="center"/>
          </w:tcPr>
          <w:p w14:paraId="13426A1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</w:tr>
      <w:tr w:rsidR="00157591" w:rsidRPr="00CB3459" w14:paraId="58F8A11E" w14:textId="77777777" w:rsidTr="00972CAC">
        <w:trPr>
          <w:trHeight w:val="853"/>
        </w:trPr>
        <w:tc>
          <w:tcPr>
            <w:tcW w:w="482" w:type="dxa"/>
            <w:vAlign w:val="center"/>
          </w:tcPr>
          <w:p w14:paraId="1F0A1CA4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4.</w:t>
            </w:r>
          </w:p>
        </w:tc>
        <w:tc>
          <w:tcPr>
            <w:tcW w:w="1180" w:type="dxa"/>
            <w:vAlign w:val="center"/>
          </w:tcPr>
          <w:p w14:paraId="61F97A3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Hurault-Delarue et al. (2016), France</w:t>
            </w:r>
          </w:p>
        </w:tc>
        <w:tc>
          <w:tcPr>
            <w:tcW w:w="1128" w:type="dxa"/>
            <w:vAlign w:val="center"/>
          </w:tcPr>
          <w:p w14:paraId="3AD3A55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Retrospective cohort</w:t>
            </w:r>
          </w:p>
        </w:tc>
        <w:tc>
          <w:tcPr>
            <w:tcW w:w="894" w:type="dxa"/>
            <w:vAlign w:val="center"/>
          </w:tcPr>
          <w:p w14:paraId="647AEE5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Up to 2 years</w:t>
            </w:r>
          </w:p>
        </w:tc>
        <w:tc>
          <w:tcPr>
            <w:tcW w:w="1176" w:type="dxa"/>
            <w:vAlign w:val="center"/>
          </w:tcPr>
          <w:p w14:paraId="5B177E56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EFEMERIS database</w:t>
            </w:r>
          </w:p>
        </w:tc>
        <w:tc>
          <w:tcPr>
            <w:tcW w:w="1350" w:type="dxa"/>
            <w:vAlign w:val="center"/>
          </w:tcPr>
          <w:p w14:paraId="2F56A28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Neuroleptics (NR)</w:t>
            </w:r>
          </w:p>
        </w:tc>
        <w:tc>
          <w:tcPr>
            <w:tcW w:w="810" w:type="dxa"/>
            <w:vAlign w:val="center"/>
          </w:tcPr>
          <w:p w14:paraId="29A6D7F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70</w:t>
            </w:r>
          </w:p>
        </w:tc>
        <w:tc>
          <w:tcPr>
            <w:tcW w:w="990" w:type="dxa"/>
            <w:vAlign w:val="center"/>
          </w:tcPr>
          <w:p w14:paraId="00B8B37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32,303</w:t>
            </w:r>
          </w:p>
        </w:tc>
        <w:tc>
          <w:tcPr>
            <w:tcW w:w="900" w:type="dxa"/>
            <w:vAlign w:val="center"/>
          </w:tcPr>
          <w:p w14:paraId="48C8C82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32.0</w:t>
            </w:r>
          </w:p>
        </w:tc>
        <w:tc>
          <w:tcPr>
            <w:tcW w:w="990" w:type="dxa"/>
            <w:vAlign w:val="center"/>
          </w:tcPr>
          <w:p w14:paraId="59B41CD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NR</w:t>
            </w:r>
          </w:p>
        </w:tc>
        <w:tc>
          <w:tcPr>
            <w:tcW w:w="1401" w:type="dxa"/>
            <w:vAlign w:val="center"/>
          </w:tcPr>
          <w:p w14:paraId="6DC28B9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Psychomotor development certificates completed at 9 and 24 months by pediatrician </w:t>
            </w:r>
          </w:p>
        </w:tc>
        <w:tc>
          <w:tcPr>
            <w:tcW w:w="2649" w:type="dxa"/>
            <w:vAlign w:val="center"/>
          </w:tcPr>
          <w:p w14:paraId="5B72F26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9 months: Increased risk of abnormal motor development</w:t>
            </w:r>
          </w:p>
          <w:p w14:paraId="63C96640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40649E7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24 months: No significant difference</w:t>
            </w:r>
          </w:p>
        </w:tc>
        <w:tc>
          <w:tcPr>
            <w:tcW w:w="561" w:type="dxa"/>
            <w:vAlign w:val="center"/>
          </w:tcPr>
          <w:p w14:paraId="6F20D0D6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</w:tr>
      <w:tr w:rsidR="00157591" w:rsidRPr="00CB3459" w14:paraId="26DDCFC8" w14:textId="77777777" w:rsidTr="00972CAC">
        <w:trPr>
          <w:trHeight w:val="853"/>
        </w:trPr>
        <w:tc>
          <w:tcPr>
            <w:tcW w:w="482" w:type="dxa"/>
            <w:vAlign w:val="center"/>
          </w:tcPr>
          <w:p w14:paraId="5549F40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5.</w:t>
            </w:r>
          </w:p>
        </w:tc>
        <w:tc>
          <w:tcPr>
            <w:tcW w:w="1180" w:type="dxa"/>
            <w:vAlign w:val="center"/>
          </w:tcPr>
          <w:p w14:paraId="1122D116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Petersen et al. (2016), United Kingdom</w:t>
            </w:r>
          </w:p>
        </w:tc>
        <w:tc>
          <w:tcPr>
            <w:tcW w:w="1128" w:type="dxa"/>
            <w:vAlign w:val="center"/>
          </w:tcPr>
          <w:p w14:paraId="7FBC031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Retrospective cohort</w:t>
            </w:r>
          </w:p>
        </w:tc>
        <w:tc>
          <w:tcPr>
            <w:tcW w:w="894" w:type="dxa"/>
            <w:vAlign w:val="center"/>
          </w:tcPr>
          <w:p w14:paraId="6ACFA23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Up to 5 years</w:t>
            </w:r>
          </w:p>
        </w:tc>
        <w:tc>
          <w:tcPr>
            <w:tcW w:w="1176" w:type="dxa"/>
            <w:vAlign w:val="center"/>
          </w:tcPr>
          <w:p w14:paraId="3A8EBA1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085374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The Health Improvement Network (THIN) and the Clinical Practice Research Datalink</w:t>
            </w:r>
          </w:p>
          <w:p w14:paraId="61A595F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(CPRD)</w:t>
            </w:r>
          </w:p>
          <w:p w14:paraId="287757B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350" w:type="dxa"/>
            <w:vAlign w:val="center"/>
          </w:tcPr>
          <w:p w14:paraId="056D9ED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Typical and Atypical antipsychotics </w:t>
            </w:r>
          </w:p>
        </w:tc>
        <w:tc>
          <w:tcPr>
            <w:tcW w:w="810" w:type="dxa"/>
            <w:vAlign w:val="center"/>
          </w:tcPr>
          <w:p w14:paraId="5972716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290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</w:p>
        </w:tc>
        <w:tc>
          <w:tcPr>
            <w:tcW w:w="990" w:type="dxa"/>
            <w:vAlign w:val="center"/>
          </w:tcPr>
          <w:p w14:paraId="167515B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210,966</w:t>
            </w:r>
          </w:p>
        </w:tc>
        <w:tc>
          <w:tcPr>
            <w:tcW w:w="900" w:type="dxa"/>
            <w:vAlign w:val="center"/>
          </w:tcPr>
          <w:p w14:paraId="24D00300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32.0</w:t>
            </w:r>
          </w:p>
        </w:tc>
        <w:tc>
          <w:tcPr>
            <w:tcW w:w="990" w:type="dxa"/>
            <w:vAlign w:val="center"/>
          </w:tcPr>
          <w:p w14:paraId="5B0FDCD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Severe mental illness</w:t>
            </w:r>
          </w:p>
        </w:tc>
        <w:tc>
          <w:tcPr>
            <w:tcW w:w="1401" w:type="dxa"/>
            <w:vAlign w:val="center"/>
          </w:tcPr>
          <w:p w14:paraId="0A97BC50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Neurodevelopmental and behavioral disorder</w:t>
            </w:r>
          </w:p>
        </w:tc>
        <w:tc>
          <w:tcPr>
            <w:tcW w:w="2649" w:type="dxa"/>
            <w:vAlign w:val="center"/>
          </w:tcPr>
          <w:p w14:paraId="7A1FEFD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No significant difference when adjusted</w:t>
            </w:r>
          </w:p>
        </w:tc>
        <w:tc>
          <w:tcPr>
            <w:tcW w:w="561" w:type="dxa"/>
            <w:vAlign w:val="center"/>
          </w:tcPr>
          <w:p w14:paraId="364241A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</w:tr>
      <w:tr w:rsidR="00157591" w:rsidRPr="00CB3459" w14:paraId="652279CC" w14:textId="77777777" w:rsidTr="00972CAC">
        <w:trPr>
          <w:trHeight w:val="853"/>
        </w:trPr>
        <w:tc>
          <w:tcPr>
            <w:tcW w:w="482" w:type="dxa"/>
            <w:vAlign w:val="center"/>
          </w:tcPr>
          <w:p w14:paraId="2678E7E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6.</w:t>
            </w:r>
          </w:p>
        </w:tc>
        <w:tc>
          <w:tcPr>
            <w:tcW w:w="1180" w:type="dxa"/>
            <w:vAlign w:val="center"/>
          </w:tcPr>
          <w:p w14:paraId="07653DE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Wang et al.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(2021), China</w:t>
            </w:r>
          </w:p>
        </w:tc>
        <w:tc>
          <w:tcPr>
            <w:tcW w:w="1128" w:type="dxa"/>
            <w:vAlign w:val="center"/>
          </w:tcPr>
          <w:p w14:paraId="52043DC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Retrospective cohort </w:t>
            </w:r>
          </w:p>
        </w:tc>
        <w:tc>
          <w:tcPr>
            <w:tcW w:w="894" w:type="dxa"/>
            <w:vAlign w:val="center"/>
          </w:tcPr>
          <w:p w14:paraId="07C2CEF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Up to 19 years</w:t>
            </w:r>
          </w:p>
        </w:tc>
        <w:tc>
          <w:tcPr>
            <w:tcW w:w="1176" w:type="dxa"/>
            <w:vAlign w:val="center"/>
          </w:tcPr>
          <w:p w14:paraId="578B95A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0F8138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Hong Kong Clinical Data Analysis and Reporting System</w:t>
            </w:r>
          </w:p>
          <w:p w14:paraId="681244A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350" w:type="dxa"/>
            <w:vAlign w:val="center"/>
          </w:tcPr>
          <w:p w14:paraId="1FE0013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Antipsychotics (NR)</w:t>
            </w:r>
          </w:p>
        </w:tc>
        <w:tc>
          <w:tcPr>
            <w:tcW w:w="810" w:type="dxa"/>
            <w:vAlign w:val="center"/>
          </w:tcPr>
          <w:p w14:paraId="6F9ACF2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ASD: 706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ADHD: 547</w:t>
            </w:r>
          </w:p>
        </w:tc>
        <w:tc>
          <w:tcPr>
            <w:tcW w:w="990" w:type="dxa"/>
            <w:vAlign w:val="center"/>
          </w:tcPr>
          <w:p w14:paraId="2109EBE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ASD: 410,545</w:t>
            </w:r>
          </w:p>
          <w:p w14:paraId="14ABC394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ADHD: 333,202</w:t>
            </w:r>
          </w:p>
        </w:tc>
        <w:tc>
          <w:tcPr>
            <w:tcW w:w="900" w:type="dxa"/>
            <w:vAlign w:val="center"/>
          </w:tcPr>
          <w:p w14:paraId="1C7AC34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ASD: 31.93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 xml:space="preserve">ADHD: 31.81  </w:t>
            </w:r>
          </w:p>
        </w:tc>
        <w:tc>
          <w:tcPr>
            <w:tcW w:w="990" w:type="dxa"/>
            <w:vAlign w:val="center"/>
          </w:tcPr>
          <w:p w14:paraId="2CA18130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Psychiatric disorder</w:t>
            </w:r>
          </w:p>
        </w:tc>
        <w:tc>
          <w:tcPr>
            <w:tcW w:w="1401" w:type="dxa"/>
            <w:vAlign w:val="center"/>
          </w:tcPr>
          <w:p w14:paraId="4AE5C97B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Diagnosed clinically in accordance with DSM-5</w:t>
            </w:r>
          </w:p>
        </w:tc>
        <w:tc>
          <w:tcPr>
            <w:tcW w:w="2649" w:type="dxa"/>
            <w:vAlign w:val="center"/>
          </w:tcPr>
          <w:p w14:paraId="6C6F529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No significant difference</w:t>
            </w:r>
          </w:p>
        </w:tc>
        <w:tc>
          <w:tcPr>
            <w:tcW w:w="561" w:type="dxa"/>
            <w:vAlign w:val="center"/>
          </w:tcPr>
          <w:p w14:paraId="05C15690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</w:tr>
      <w:tr w:rsidR="00157591" w:rsidRPr="00CB3459" w14:paraId="576E2EE6" w14:textId="77777777" w:rsidTr="00972CAC">
        <w:trPr>
          <w:trHeight w:val="853"/>
        </w:trPr>
        <w:tc>
          <w:tcPr>
            <w:tcW w:w="482" w:type="dxa"/>
            <w:vAlign w:val="center"/>
          </w:tcPr>
          <w:p w14:paraId="76A77CB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lastRenderedPageBreak/>
              <w:t>7.</w:t>
            </w:r>
          </w:p>
        </w:tc>
        <w:tc>
          <w:tcPr>
            <w:tcW w:w="1180" w:type="dxa"/>
            <w:vAlign w:val="center"/>
          </w:tcPr>
          <w:p w14:paraId="12698BF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Momen et al. (2021), Denmark</w:t>
            </w:r>
          </w:p>
        </w:tc>
        <w:tc>
          <w:tcPr>
            <w:tcW w:w="1128" w:type="dxa"/>
            <w:vAlign w:val="center"/>
          </w:tcPr>
          <w:p w14:paraId="762B882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Retrospective cohort</w:t>
            </w:r>
          </w:p>
        </w:tc>
        <w:tc>
          <w:tcPr>
            <w:tcW w:w="894" w:type="dxa"/>
            <w:vAlign w:val="center"/>
          </w:tcPr>
          <w:p w14:paraId="7F14137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Up to 19 years</w:t>
            </w:r>
          </w:p>
        </w:tc>
        <w:tc>
          <w:tcPr>
            <w:tcW w:w="1176" w:type="dxa"/>
            <w:vAlign w:val="center"/>
          </w:tcPr>
          <w:p w14:paraId="403AC1D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Danish Medical Birth Registry</w:t>
            </w:r>
          </w:p>
        </w:tc>
        <w:tc>
          <w:tcPr>
            <w:tcW w:w="1350" w:type="dxa"/>
            <w:vAlign w:val="center"/>
          </w:tcPr>
          <w:p w14:paraId="292C708A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Antipsychotics (NR)</w:t>
            </w:r>
          </w:p>
        </w:tc>
        <w:tc>
          <w:tcPr>
            <w:tcW w:w="810" w:type="dxa"/>
            <w:vAlign w:val="center"/>
          </w:tcPr>
          <w:p w14:paraId="28E6208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2,892</w:t>
            </w:r>
          </w:p>
        </w:tc>
        <w:tc>
          <w:tcPr>
            <w:tcW w:w="990" w:type="dxa"/>
            <w:vAlign w:val="center"/>
          </w:tcPr>
          <w:p w14:paraId="1F7A659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1,065,181</w:t>
            </w:r>
          </w:p>
        </w:tc>
        <w:tc>
          <w:tcPr>
            <w:tcW w:w="900" w:type="dxa"/>
            <w:vAlign w:val="center"/>
          </w:tcPr>
          <w:p w14:paraId="3598DC9A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NR</w:t>
            </w:r>
          </w:p>
        </w:tc>
        <w:tc>
          <w:tcPr>
            <w:tcW w:w="990" w:type="dxa"/>
            <w:vAlign w:val="center"/>
          </w:tcPr>
          <w:p w14:paraId="4453CBF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NR</w:t>
            </w:r>
          </w:p>
        </w:tc>
        <w:tc>
          <w:tcPr>
            <w:tcW w:w="1401" w:type="dxa"/>
            <w:vAlign w:val="center"/>
          </w:tcPr>
          <w:p w14:paraId="5DC5DD7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Diagnosed clinically</w:t>
            </w:r>
          </w:p>
        </w:tc>
        <w:tc>
          <w:tcPr>
            <w:tcW w:w="2649" w:type="dxa"/>
            <w:vAlign w:val="center"/>
          </w:tcPr>
          <w:p w14:paraId="0ACED4D0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No significant difference</w:t>
            </w:r>
          </w:p>
        </w:tc>
        <w:tc>
          <w:tcPr>
            <w:tcW w:w="561" w:type="dxa"/>
            <w:vAlign w:val="center"/>
          </w:tcPr>
          <w:p w14:paraId="3BC6DF3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</w:tr>
      <w:tr w:rsidR="00157591" w:rsidRPr="00CB3459" w14:paraId="0FD64247" w14:textId="77777777" w:rsidTr="00972CAC">
        <w:trPr>
          <w:trHeight w:val="843"/>
        </w:trPr>
        <w:tc>
          <w:tcPr>
            <w:tcW w:w="482" w:type="dxa"/>
            <w:vMerge w:val="restart"/>
            <w:vAlign w:val="center"/>
          </w:tcPr>
          <w:p w14:paraId="390A194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8.</w:t>
            </w:r>
          </w:p>
        </w:tc>
        <w:tc>
          <w:tcPr>
            <w:tcW w:w="1180" w:type="dxa"/>
            <w:vMerge w:val="restart"/>
            <w:vAlign w:val="center"/>
          </w:tcPr>
          <w:p w14:paraId="53798074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Straub et al. (2022), USA</w:t>
            </w:r>
          </w:p>
        </w:tc>
        <w:tc>
          <w:tcPr>
            <w:tcW w:w="1128" w:type="dxa"/>
            <w:vMerge w:val="restart"/>
            <w:vAlign w:val="center"/>
          </w:tcPr>
          <w:p w14:paraId="7741C80A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Retrospective cohort</w:t>
            </w:r>
          </w:p>
        </w:tc>
        <w:tc>
          <w:tcPr>
            <w:tcW w:w="894" w:type="dxa"/>
            <w:vMerge w:val="restart"/>
            <w:vAlign w:val="center"/>
          </w:tcPr>
          <w:p w14:paraId="31A4290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Up to 14 years</w:t>
            </w:r>
          </w:p>
        </w:tc>
        <w:tc>
          <w:tcPr>
            <w:tcW w:w="1176" w:type="dxa"/>
            <w:vAlign w:val="center"/>
          </w:tcPr>
          <w:p w14:paraId="01C70C6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4C34500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Public Insurance (MAX 2000-2014)</w:t>
            </w:r>
          </w:p>
        </w:tc>
        <w:tc>
          <w:tcPr>
            <w:tcW w:w="1350" w:type="dxa"/>
            <w:vMerge w:val="restart"/>
            <w:vAlign w:val="center"/>
          </w:tcPr>
          <w:p w14:paraId="0DEE9FEC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Typical and Atypical Antipsychotics (NR)</w:t>
            </w:r>
          </w:p>
        </w:tc>
        <w:tc>
          <w:tcPr>
            <w:tcW w:w="810" w:type="dxa"/>
            <w:vAlign w:val="center"/>
          </w:tcPr>
          <w:p w14:paraId="1679CB8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9,551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</w:p>
        </w:tc>
        <w:tc>
          <w:tcPr>
            <w:tcW w:w="990" w:type="dxa"/>
            <w:vAlign w:val="center"/>
          </w:tcPr>
          <w:p w14:paraId="59817C4A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2,034,883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 xml:space="preserve"> </w:t>
            </w:r>
          </w:p>
        </w:tc>
        <w:tc>
          <w:tcPr>
            <w:tcW w:w="900" w:type="dxa"/>
            <w:vAlign w:val="center"/>
          </w:tcPr>
          <w:p w14:paraId="578A0DF4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26.8</w:t>
            </w:r>
          </w:p>
        </w:tc>
        <w:tc>
          <w:tcPr>
            <w:tcW w:w="990" w:type="dxa"/>
            <w:vMerge w:val="restart"/>
            <w:vAlign w:val="center"/>
          </w:tcPr>
          <w:p w14:paraId="6646392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F0AB1FB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Mood disorder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anxiety disorder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Psychotic disorder</w:t>
            </w:r>
          </w:p>
          <w:p w14:paraId="485AC1D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Epilepsy/convulsions</w:t>
            </w:r>
          </w:p>
          <w:p w14:paraId="5CCB8F9A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Others</w:t>
            </w:r>
          </w:p>
        </w:tc>
        <w:tc>
          <w:tcPr>
            <w:tcW w:w="1401" w:type="dxa"/>
            <w:vMerge w:val="restart"/>
            <w:vAlign w:val="center"/>
          </w:tcPr>
          <w:p w14:paraId="0850E4C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Presence of neurodevelopmental disorders was defined using validated algorithms</w:t>
            </w:r>
          </w:p>
        </w:tc>
        <w:tc>
          <w:tcPr>
            <w:tcW w:w="2649" w:type="dxa"/>
            <w:vMerge w:val="restart"/>
            <w:vAlign w:val="center"/>
          </w:tcPr>
          <w:p w14:paraId="2264A9D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No significant difference after adjustment with the exception of Aripiprazole 1.36 (1.14-1.63) for any neurodevelopmental disorder</w:t>
            </w:r>
          </w:p>
        </w:tc>
        <w:tc>
          <w:tcPr>
            <w:tcW w:w="561" w:type="dxa"/>
            <w:vMerge w:val="restart"/>
            <w:vAlign w:val="center"/>
          </w:tcPr>
          <w:p w14:paraId="0AD45BE6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</w:tr>
      <w:tr w:rsidR="00157591" w:rsidRPr="00CB3459" w14:paraId="2EE19BC7" w14:textId="77777777" w:rsidTr="00972CAC">
        <w:trPr>
          <w:trHeight w:val="805"/>
        </w:trPr>
        <w:tc>
          <w:tcPr>
            <w:tcW w:w="482" w:type="dxa"/>
            <w:vMerge/>
            <w:vAlign w:val="center"/>
          </w:tcPr>
          <w:p w14:paraId="29B9485B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Merge/>
            <w:vAlign w:val="center"/>
          </w:tcPr>
          <w:p w14:paraId="44198521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8" w:type="dxa"/>
            <w:vMerge/>
            <w:vAlign w:val="center"/>
          </w:tcPr>
          <w:p w14:paraId="22151410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94" w:type="dxa"/>
            <w:vMerge/>
            <w:vAlign w:val="center"/>
          </w:tcPr>
          <w:p w14:paraId="1DAF71D2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6" w:type="dxa"/>
            <w:vAlign w:val="center"/>
          </w:tcPr>
          <w:p w14:paraId="6EAE4E1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Private Insurance (MarketScan 2000-2015)</w:t>
            </w:r>
          </w:p>
          <w:p w14:paraId="2FF7C40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350" w:type="dxa"/>
            <w:vMerge/>
            <w:vAlign w:val="center"/>
          </w:tcPr>
          <w:p w14:paraId="4F27B5AE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10" w:type="dxa"/>
            <w:vAlign w:val="center"/>
          </w:tcPr>
          <w:p w14:paraId="4171A116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1,214</w:t>
            </w:r>
          </w:p>
        </w:tc>
        <w:tc>
          <w:tcPr>
            <w:tcW w:w="990" w:type="dxa"/>
            <w:vAlign w:val="center"/>
          </w:tcPr>
          <w:p w14:paraId="3F3DB0C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1,306,408</w:t>
            </w:r>
          </w:p>
        </w:tc>
        <w:tc>
          <w:tcPr>
            <w:tcW w:w="900" w:type="dxa"/>
            <w:vAlign w:val="center"/>
          </w:tcPr>
          <w:p w14:paraId="3CB33EFF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33.1</w:t>
            </w:r>
          </w:p>
        </w:tc>
        <w:tc>
          <w:tcPr>
            <w:tcW w:w="990" w:type="dxa"/>
            <w:vMerge/>
            <w:vAlign w:val="center"/>
          </w:tcPr>
          <w:p w14:paraId="438496C7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1" w:type="dxa"/>
            <w:vMerge/>
            <w:vAlign w:val="center"/>
          </w:tcPr>
          <w:p w14:paraId="50991779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649" w:type="dxa"/>
            <w:vMerge/>
            <w:vAlign w:val="center"/>
          </w:tcPr>
          <w:p w14:paraId="1C266C3A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561" w:type="dxa"/>
            <w:vMerge/>
            <w:vAlign w:val="center"/>
          </w:tcPr>
          <w:p w14:paraId="0912BCCC" w14:textId="77777777" w:rsidR="00157591" w:rsidRPr="00CB3459" w:rsidRDefault="00157591" w:rsidP="00972C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157591" w:rsidRPr="00CB3459" w14:paraId="599ABD3B" w14:textId="77777777" w:rsidTr="00972CAC">
        <w:trPr>
          <w:trHeight w:val="1128"/>
        </w:trPr>
        <w:tc>
          <w:tcPr>
            <w:tcW w:w="482" w:type="dxa"/>
            <w:vAlign w:val="center"/>
          </w:tcPr>
          <w:p w14:paraId="2021E794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9.</w:t>
            </w:r>
          </w:p>
        </w:tc>
        <w:tc>
          <w:tcPr>
            <w:tcW w:w="1180" w:type="dxa"/>
            <w:vAlign w:val="center"/>
          </w:tcPr>
          <w:p w14:paraId="4FBDDAC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Hálfdánarson et al. (2022), Denmark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Finland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br/>
              <w:t>Iceland</w:t>
            </w:r>
          </w:p>
          <w:p w14:paraId="417EDF1B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Norway</w:t>
            </w:r>
          </w:p>
          <w:p w14:paraId="3B41EE5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Sweden</w:t>
            </w:r>
          </w:p>
        </w:tc>
        <w:tc>
          <w:tcPr>
            <w:tcW w:w="1128" w:type="dxa"/>
            <w:vAlign w:val="center"/>
          </w:tcPr>
          <w:p w14:paraId="6B617025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Retrospective cohort</w:t>
            </w:r>
          </w:p>
        </w:tc>
        <w:tc>
          <w:tcPr>
            <w:tcW w:w="894" w:type="dxa"/>
            <w:vAlign w:val="center"/>
          </w:tcPr>
          <w:p w14:paraId="141834E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Median of 10 years</w:t>
            </w:r>
          </w:p>
        </w:tc>
        <w:tc>
          <w:tcPr>
            <w:tcW w:w="1176" w:type="dxa"/>
            <w:vAlign w:val="center"/>
          </w:tcPr>
          <w:p w14:paraId="7FB24653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540D822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Medical Birth Registers of Denmark, Finland, Iceland, Norway, Sweden</w:t>
            </w:r>
          </w:p>
        </w:tc>
        <w:tc>
          <w:tcPr>
            <w:tcW w:w="1350" w:type="dxa"/>
            <w:vAlign w:val="center"/>
          </w:tcPr>
          <w:p w14:paraId="53B08577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Typical and Atypical Antipsychotics (NR)</w:t>
            </w:r>
          </w:p>
        </w:tc>
        <w:tc>
          <w:tcPr>
            <w:tcW w:w="810" w:type="dxa"/>
            <w:vAlign w:val="center"/>
          </w:tcPr>
          <w:p w14:paraId="35FCFC7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15,466</w:t>
            </w:r>
          </w:p>
        </w:tc>
        <w:tc>
          <w:tcPr>
            <w:tcW w:w="990" w:type="dxa"/>
            <w:vAlign w:val="center"/>
          </w:tcPr>
          <w:p w14:paraId="456E8A6B" w14:textId="77777777" w:rsidR="00157591" w:rsidRPr="00CB3459" w:rsidRDefault="00157591" w:rsidP="00972CAC">
            <w:pP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4,324,086</w:t>
            </w:r>
          </w:p>
        </w:tc>
        <w:tc>
          <w:tcPr>
            <w:tcW w:w="900" w:type="dxa"/>
            <w:vAlign w:val="center"/>
          </w:tcPr>
          <w:p w14:paraId="3CC10A4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NR</w:t>
            </w:r>
          </w:p>
        </w:tc>
        <w:tc>
          <w:tcPr>
            <w:tcW w:w="990" w:type="dxa"/>
            <w:vAlign w:val="center"/>
          </w:tcPr>
          <w:p w14:paraId="54B34238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Psychiatric disorder</w:t>
            </w:r>
          </w:p>
        </w:tc>
        <w:tc>
          <w:tcPr>
            <w:tcW w:w="1401" w:type="dxa"/>
            <w:vAlign w:val="center"/>
          </w:tcPr>
          <w:p w14:paraId="7C0039A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Non-mutually</w:t>
            </w:r>
          </w:p>
          <w:p w14:paraId="2FB1B229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exclusive diagnoses of ADHD and ASD</w:t>
            </w:r>
          </w:p>
        </w:tc>
        <w:tc>
          <w:tcPr>
            <w:tcW w:w="2649" w:type="dxa"/>
            <w:vAlign w:val="center"/>
          </w:tcPr>
          <w:p w14:paraId="4F0CA2BD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No significant difference after adjustment</w:t>
            </w:r>
          </w:p>
        </w:tc>
        <w:tc>
          <w:tcPr>
            <w:tcW w:w="561" w:type="dxa"/>
            <w:vAlign w:val="center"/>
          </w:tcPr>
          <w:p w14:paraId="32CC1051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</w:tr>
      <w:tr w:rsidR="00157591" w:rsidRPr="00CB3459" w14:paraId="23B3B2D6" w14:textId="77777777" w:rsidTr="00972CAC">
        <w:trPr>
          <w:trHeight w:val="1128"/>
        </w:trPr>
        <w:tc>
          <w:tcPr>
            <w:tcW w:w="482" w:type="dxa"/>
            <w:vAlign w:val="center"/>
          </w:tcPr>
          <w:p w14:paraId="205A570E" w14:textId="77777777" w:rsidR="00157591" w:rsidRPr="00CB3459" w:rsidRDefault="00157591" w:rsidP="00972CA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68" w:type="dxa"/>
            <w:gridSpan w:val="11"/>
            <w:vAlign w:val="center"/>
          </w:tcPr>
          <w:p w14:paraId="44CA66AA" w14:textId="77777777" w:rsidR="00157591" w:rsidRPr="00CB3459" w:rsidRDefault="00157591" w:rsidP="00972CAC">
            <w:pP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NR: Not reported | QAS: Quality Assessment Score | DSM-5: Diagnostic and Statistical Manual of Mental Disorders (5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th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edition) | ASD: Autism Spectrum Disorder | ADHD: Attention-deficit Hyperactive Disorder</w:t>
            </w:r>
          </w:p>
          <w:p w14:paraId="23D1528A" w14:textId="77777777" w:rsidR="00157591" w:rsidRPr="00CB3459" w:rsidRDefault="00157591" w:rsidP="00972CAC">
            <w:pP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0583640" w14:textId="77777777" w:rsidR="00157591" w:rsidRPr="00CB3459" w:rsidRDefault="00157591" w:rsidP="00972CAC">
            <w:pP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a</w:t>
            </w:r>
            <w:r w:rsidRPr="00CB3459">
              <w:rPr>
                <w:rFonts w:ascii="Times New Roman" w:eastAsia="Times New Roman" w:hAnsi="Times New Roman" w:cs="Times New Roman"/>
                <w:sz w:val="14"/>
                <w:szCs w:val="14"/>
              </w:rPr>
              <w:t>: Includes delirium, dementia, tic disorder, somatoform spectrum disorder, eating disorder, psychotherapy, and self-inflicted injury.</w:t>
            </w:r>
          </w:p>
        </w:tc>
        <w:tc>
          <w:tcPr>
            <w:tcW w:w="561" w:type="dxa"/>
            <w:vAlign w:val="center"/>
          </w:tcPr>
          <w:p w14:paraId="4325FEFB" w14:textId="77777777" w:rsidR="00157591" w:rsidRPr="00CB3459" w:rsidRDefault="00157591" w:rsidP="00972CAC">
            <w:pPr>
              <w:spacing w:line="48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</w:tbl>
    <w:p w14:paraId="0C6837B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591"/>
    <w:rsid w:val="000C4033"/>
    <w:rsid w:val="00157591"/>
    <w:rsid w:val="002B5E9B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45EBD"/>
  <w15:chartTrackingRefBased/>
  <w15:docId w15:val="{DFEB32F9-D8D0-401D-B5CC-02DE12BFD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591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759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759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759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759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759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759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759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759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759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75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75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75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75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75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75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75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75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75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7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7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759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7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759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75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7591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75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75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75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75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603</Words>
  <Characters>3682</Characters>
  <Application>Microsoft Office Word</Application>
  <DocSecurity>0</DocSecurity>
  <Lines>115</Lines>
  <Paragraphs>39</Paragraphs>
  <ScaleCrop>false</ScaleCrop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2026-01-21T08:39:00Z</dcterms:created>
  <dcterms:modified xsi:type="dcterms:W3CDTF">2026-01-21T08:39:00Z</dcterms:modified>
</cp:coreProperties>
</file>