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BA5A9">
      <w:pPr>
        <w:keepNext w:val="0"/>
        <w:keepLines w:val="0"/>
        <w:pageBreakBefore w:val="0"/>
        <w:widowControl w:val="0"/>
        <w:kinsoku/>
        <w:wordWrap/>
        <w:overflowPunct/>
        <w:topLinePunct w:val="0"/>
        <w:autoSpaceDE/>
        <w:autoSpaceDN/>
        <w:bidi w:val="0"/>
        <w:adjustRightInd/>
        <w:snapToGrid/>
        <w:spacing w:after="157" w:afterLines="50" w:line="480" w:lineRule="auto"/>
        <w:jc w:val="both"/>
        <w:textAlignment w:val="auto"/>
        <w:rPr>
          <w:rFonts w:ascii="Arial" w:hAnsi="Arial" w:eastAsia="Segoe UI" w:cs="Arial"/>
          <w:b/>
          <w:bCs/>
          <w:sz w:val="24"/>
          <w:shd w:val="clear" w:color="auto" w:fill="FFFFFF"/>
        </w:rPr>
      </w:pPr>
      <w:bookmarkStart w:id="0" w:name="OLE_LINK1"/>
      <w:r>
        <w:rPr>
          <w:rFonts w:ascii="Arial" w:hAnsi="Arial" w:cs="Arial"/>
          <w:bCs/>
          <w:i/>
          <w:iCs/>
          <w:color w:val="000000" w:themeColor="text1"/>
          <w:sz w:val="36"/>
          <w:szCs w:val="36"/>
          <w14:textFill>
            <w14:solidFill>
              <w14:schemeClr w14:val="tx1"/>
            </w14:solidFill>
          </w14:textFill>
        </w:rPr>
        <w:t>Supplementary Information</w:t>
      </w:r>
      <w:bookmarkEnd w:id="0"/>
    </w:p>
    <w:p w14:paraId="56ADE51B">
      <w:pPr>
        <w:keepNext w:val="0"/>
        <w:keepLines w:val="0"/>
        <w:pageBreakBefore w:val="0"/>
        <w:widowControl w:val="0"/>
        <w:kinsoku/>
        <w:wordWrap/>
        <w:overflowPunct/>
        <w:topLinePunct w:val="0"/>
        <w:autoSpaceDE/>
        <w:autoSpaceDN/>
        <w:bidi w:val="0"/>
        <w:adjustRightInd/>
        <w:snapToGrid/>
        <w:spacing w:after="157" w:afterLines="50" w:line="480" w:lineRule="auto"/>
        <w:jc w:val="both"/>
        <w:textAlignment w:val="auto"/>
        <w:rPr>
          <w:rFonts w:hint="eastAsia" w:ascii="Arial" w:hAnsi="Arial" w:eastAsia="宋体" w:cs="Arial"/>
          <w:b/>
          <w:bCs/>
          <w:color w:val="000000" w:themeColor="text1"/>
          <w:kern w:val="0"/>
          <w:sz w:val="28"/>
          <w:szCs w:val="28"/>
          <w:lang w:val="en-GB" w:eastAsia="en-US"/>
          <w14:textFill>
            <w14:solidFill>
              <w14:schemeClr w14:val="tx1"/>
            </w14:solidFill>
          </w14:textFill>
        </w:rPr>
      </w:pPr>
      <w:r>
        <w:rPr>
          <w:rFonts w:hint="eastAsia" w:ascii="Arial" w:hAnsi="Arial" w:eastAsia="宋体" w:cs="Arial"/>
          <w:b/>
          <w:bCs/>
          <w:color w:val="000000" w:themeColor="text1"/>
          <w:kern w:val="0"/>
          <w:sz w:val="28"/>
          <w:szCs w:val="28"/>
          <w:lang w:val="en-GB" w:eastAsia="en-US"/>
          <w14:textFill>
            <w14:solidFill>
              <w14:schemeClr w14:val="tx1"/>
            </w14:solidFill>
          </w14:textFill>
        </w:rPr>
        <w:t>Dermal hypoxia adaptation promotes psoriasis progression by activating HIF2</w:t>
      </w:r>
      <w:r>
        <w:rPr>
          <w:rFonts w:hint="default" w:ascii="Arial" w:hAnsi="Arial" w:eastAsia="宋体" w:cs="Arial"/>
          <w:b/>
          <w:bCs/>
          <w:color w:val="000000" w:themeColor="text1"/>
          <w:kern w:val="0"/>
          <w:sz w:val="28"/>
          <w:szCs w:val="28"/>
          <w:lang w:val="en-GB" w:eastAsia="en-US"/>
          <w14:textFill>
            <w14:solidFill>
              <w14:schemeClr w14:val="tx1"/>
            </w14:solidFill>
          </w14:textFill>
        </w:rPr>
        <w:t>α</w:t>
      </w:r>
      <w:r>
        <w:rPr>
          <w:rFonts w:hint="eastAsia" w:ascii="Arial" w:hAnsi="Arial" w:eastAsia="宋体" w:cs="Arial"/>
          <w:b/>
          <w:bCs/>
          <w:color w:val="000000" w:themeColor="text1"/>
          <w:kern w:val="0"/>
          <w:sz w:val="28"/>
          <w:szCs w:val="28"/>
          <w:lang w:val="en-GB" w:eastAsia="en-US"/>
          <w14:textFill>
            <w14:solidFill>
              <w14:schemeClr w14:val="tx1"/>
            </w14:solidFill>
          </w14:textFill>
        </w:rPr>
        <w:t>-NAMPT Axis</w:t>
      </w:r>
    </w:p>
    <w:p w14:paraId="69F07EF9">
      <w:pPr>
        <w:widowControl/>
        <w:spacing w:after="160" w:line="360" w:lineRule="auto"/>
        <w:rPr>
          <w:rFonts w:hint="eastAsia" w:ascii="Arial" w:hAnsi="Arial" w:eastAsia="宋体" w:cs="Arial"/>
          <w:b/>
          <w:bCs/>
          <w:color w:val="000000" w:themeColor="text1"/>
          <w:kern w:val="0"/>
          <w:sz w:val="28"/>
          <w:szCs w:val="28"/>
          <w:lang w:val="en-GB" w:eastAsia="en-US"/>
          <w14:textFill>
            <w14:solidFill>
              <w14:schemeClr w14:val="tx1"/>
            </w14:solidFill>
          </w14:textFill>
        </w:rPr>
      </w:pPr>
      <w:bookmarkStart w:id="1" w:name="OLE_LINK76"/>
      <w:bookmarkStart w:id="2" w:name="_Hlk219727808"/>
      <w:r>
        <w:rPr>
          <w:rFonts w:ascii="Arial" w:hAnsi="Arial" w:eastAsia="宋体" w:cs="Arial"/>
          <w:color w:val="000000" w:themeColor="text1"/>
          <w:sz w:val="22"/>
          <w:szCs w:val="22"/>
          <w14:textFill>
            <w14:solidFill>
              <w14:schemeClr w14:val="tx1"/>
            </w14:solidFill>
          </w14:textFill>
        </w:rPr>
        <w:t>Jingwei Jiang</w:t>
      </w:r>
      <w:r>
        <w:rPr>
          <w:rFonts w:ascii="Arial" w:hAnsi="Arial" w:eastAsia="宋体" w:cs="Arial"/>
          <w:color w:val="000000" w:themeColor="text1"/>
          <w:sz w:val="22"/>
          <w:szCs w:val="22"/>
          <w:vertAlign w:val="superscript"/>
          <w14:textFill>
            <w14:solidFill>
              <w14:schemeClr w14:val="tx1"/>
            </w14:solidFill>
          </w14:textFill>
        </w:rPr>
        <w:t>1</w:t>
      </w:r>
      <w:r>
        <w:rPr>
          <w:rFonts w:ascii="Arial" w:hAnsi="Arial" w:eastAsia="宋体" w:cs="Arial"/>
          <w:color w:val="000000" w:themeColor="text1"/>
          <w:sz w:val="22"/>
          <w:szCs w:val="22"/>
          <w14:textFill>
            <w14:solidFill>
              <w14:schemeClr w14:val="tx1"/>
            </w14:solidFill>
          </w14:textFill>
        </w:rPr>
        <w:t>, Weiwei Liu</w:t>
      </w:r>
      <w:r>
        <w:rPr>
          <w:rFonts w:ascii="Arial" w:hAnsi="Arial" w:eastAsia="宋体" w:cs="Arial"/>
          <w:color w:val="000000" w:themeColor="text1"/>
          <w:sz w:val="22"/>
          <w:szCs w:val="22"/>
          <w:vertAlign w:val="superscript"/>
          <w14:textFill>
            <w14:solidFill>
              <w14:schemeClr w14:val="tx1"/>
            </w14:solidFill>
          </w14:textFill>
        </w:rPr>
        <w:t>1</w:t>
      </w:r>
      <w:r>
        <w:rPr>
          <w:rFonts w:ascii="Arial" w:hAnsi="Arial" w:eastAsia="宋体" w:cs="Arial"/>
          <w:color w:val="000000" w:themeColor="text1"/>
          <w:sz w:val="22"/>
          <w:szCs w:val="22"/>
          <w14:textFill>
            <w14:solidFill>
              <w14:schemeClr w14:val="tx1"/>
            </w14:solidFill>
          </w14:textFill>
        </w:rPr>
        <w:t>, Dehuan Wang</w:t>
      </w:r>
      <w:r>
        <w:rPr>
          <w:rFonts w:ascii="Arial" w:hAnsi="Arial" w:eastAsia="宋体" w:cs="Arial"/>
          <w:color w:val="000000" w:themeColor="text1"/>
          <w:sz w:val="22"/>
          <w:szCs w:val="22"/>
          <w:vertAlign w:val="superscript"/>
          <w14:textFill>
            <w14:solidFill>
              <w14:schemeClr w14:val="tx1"/>
            </w14:solidFill>
          </w14:textFill>
        </w:rPr>
        <w:t>1</w:t>
      </w:r>
      <w:r>
        <w:rPr>
          <w:rFonts w:ascii="Arial" w:hAnsi="Arial" w:eastAsia="宋体" w:cs="Arial"/>
          <w:color w:val="000000" w:themeColor="text1"/>
          <w:sz w:val="22"/>
          <w:szCs w:val="22"/>
          <w14:textFill>
            <w14:solidFill>
              <w14:schemeClr w14:val="tx1"/>
            </w14:solidFill>
          </w14:textFill>
        </w:rPr>
        <w:t>,</w:t>
      </w:r>
      <w:r>
        <w:rPr>
          <w:rFonts w:hint="eastAsia" w:ascii="Arial" w:hAnsi="Arial" w:eastAsia="宋体" w:cs="Arial"/>
          <w:color w:val="000000" w:themeColor="text1"/>
          <w:sz w:val="22"/>
          <w:szCs w:val="22"/>
          <w14:textFill>
            <w14:solidFill>
              <w14:schemeClr w14:val="tx1"/>
            </w14:solidFill>
          </w14:textFill>
        </w:rPr>
        <w:t xml:space="preserve"> Yi Zou</w:t>
      </w:r>
      <w:r>
        <w:rPr>
          <w:rFonts w:ascii="Arial" w:hAnsi="Arial" w:eastAsia="宋体" w:cs="Arial"/>
          <w:color w:val="000000" w:themeColor="text1"/>
          <w:sz w:val="22"/>
          <w:szCs w:val="22"/>
          <w:vertAlign w:val="superscript"/>
          <w14:textFill>
            <w14:solidFill>
              <w14:schemeClr w14:val="tx1"/>
            </w14:solidFill>
          </w14:textFill>
        </w:rPr>
        <w:t>1,</w:t>
      </w:r>
      <w:r>
        <w:rPr>
          <w:rFonts w:hint="eastAsia" w:ascii="Arial" w:hAnsi="Arial" w:eastAsia="宋体" w:cs="Arial"/>
          <w:color w:val="000000" w:themeColor="text1"/>
          <w:sz w:val="22"/>
          <w:szCs w:val="22"/>
          <w:vertAlign w:val="superscript"/>
          <w14:textFill>
            <w14:solidFill>
              <w14:schemeClr w14:val="tx1"/>
            </w14:solidFill>
          </w14:textFill>
        </w:rPr>
        <w:t>2</w:t>
      </w:r>
      <w:r>
        <w:rPr>
          <w:rFonts w:hint="eastAsia" w:ascii="Arial" w:hAnsi="Arial" w:eastAsia="宋体" w:cs="Arial"/>
          <w:color w:val="000000" w:themeColor="text1"/>
          <w:sz w:val="22"/>
          <w:szCs w:val="22"/>
          <w14:textFill>
            <w14:solidFill>
              <w14:schemeClr w14:val="tx1"/>
            </w14:solidFill>
          </w14:textFill>
        </w:rPr>
        <w:t xml:space="preserve">, </w:t>
      </w:r>
      <w:r>
        <w:rPr>
          <w:rFonts w:ascii="Arial" w:hAnsi="Arial" w:eastAsia="宋体" w:cs="Arial"/>
          <w:color w:val="000000" w:themeColor="text1"/>
          <w:sz w:val="22"/>
          <w:szCs w:val="22"/>
          <w14:textFill>
            <w14:solidFill>
              <w14:schemeClr w14:val="tx1"/>
            </w14:solidFill>
          </w14:textFill>
        </w:rPr>
        <w:t>Yang Xiao</w:t>
      </w:r>
      <w:r>
        <w:rPr>
          <w:rFonts w:ascii="Arial" w:hAnsi="Arial" w:eastAsia="宋体" w:cs="Arial"/>
          <w:color w:val="000000" w:themeColor="text1"/>
          <w:sz w:val="22"/>
          <w:szCs w:val="22"/>
          <w:vertAlign w:val="superscript"/>
          <w14:textFill>
            <w14:solidFill>
              <w14:schemeClr w14:val="tx1"/>
            </w14:solidFill>
          </w14:textFill>
        </w:rPr>
        <w:t>1</w:t>
      </w:r>
      <w:r>
        <w:rPr>
          <w:rFonts w:ascii="Arial" w:hAnsi="Arial" w:eastAsia="宋体" w:cs="Arial"/>
          <w:color w:val="000000" w:themeColor="text1"/>
          <w:sz w:val="22"/>
          <w:szCs w:val="22"/>
          <w14:textFill>
            <w14:solidFill>
              <w14:schemeClr w14:val="tx1"/>
            </w14:solidFill>
          </w14:textFill>
        </w:rPr>
        <w:t>,</w:t>
      </w:r>
      <w:r>
        <w:rPr>
          <w:rFonts w:hint="eastAsia" w:ascii="Arial" w:hAnsi="Arial" w:eastAsia="宋体" w:cs="Arial"/>
          <w:color w:val="000000" w:themeColor="text1"/>
          <w:sz w:val="22"/>
          <w:szCs w:val="22"/>
          <w14:textFill>
            <w14:solidFill>
              <w14:schemeClr w14:val="tx1"/>
            </w14:solidFill>
          </w14:textFill>
        </w:rPr>
        <w:t xml:space="preserve"> </w:t>
      </w:r>
      <w:r>
        <w:rPr>
          <w:rFonts w:ascii="Arial" w:hAnsi="Arial" w:eastAsia="宋体" w:cs="Arial"/>
          <w:color w:val="000000" w:themeColor="text1"/>
          <w:sz w:val="22"/>
          <w:szCs w:val="22"/>
          <w14:textFill>
            <w14:solidFill>
              <w14:schemeClr w14:val="tx1"/>
            </w14:solidFill>
          </w14:textFill>
        </w:rPr>
        <w:t>Weiyi An</w:t>
      </w:r>
      <w:r>
        <w:rPr>
          <w:rFonts w:hint="eastAsia" w:ascii="Arial" w:hAnsi="Arial" w:eastAsia="宋体" w:cs="Arial"/>
          <w:color w:val="000000" w:themeColor="text1"/>
          <w:sz w:val="22"/>
          <w:szCs w:val="22"/>
          <w:vertAlign w:val="superscript"/>
          <w14:textFill>
            <w14:solidFill>
              <w14:schemeClr w14:val="tx1"/>
            </w14:solidFill>
          </w14:textFill>
        </w:rPr>
        <w:t>3</w:t>
      </w:r>
      <w:r>
        <w:rPr>
          <w:rFonts w:ascii="Arial" w:hAnsi="Arial" w:eastAsia="宋体" w:cs="Arial"/>
          <w:color w:val="000000" w:themeColor="text1"/>
          <w:sz w:val="22"/>
          <w:szCs w:val="22"/>
          <w14:textFill>
            <w14:solidFill>
              <w14:schemeClr w14:val="tx1"/>
            </w14:solidFill>
          </w14:textFill>
        </w:rPr>
        <w:t xml:space="preserve">, </w:t>
      </w:r>
      <w:r>
        <w:rPr>
          <w:rFonts w:hint="eastAsia" w:ascii="Arial" w:hAnsi="Arial" w:eastAsia="宋体" w:cs="Arial"/>
          <w:color w:val="000000" w:themeColor="text1"/>
          <w:sz w:val="22"/>
          <w:szCs w:val="22"/>
          <w14:textFill>
            <w14:solidFill>
              <w14:schemeClr w14:val="tx1"/>
            </w14:solidFill>
          </w14:textFill>
        </w:rPr>
        <w:t>Xuegang Xu</w:t>
      </w:r>
      <w:r>
        <w:rPr>
          <w:rFonts w:hint="eastAsia" w:ascii="Arial" w:hAnsi="Arial" w:eastAsia="宋体" w:cs="Arial"/>
          <w:color w:val="000000" w:themeColor="text1"/>
          <w:sz w:val="22"/>
          <w:szCs w:val="22"/>
          <w:vertAlign w:val="superscript"/>
          <w14:textFill>
            <w14:solidFill>
              <w14:schemeClr w14:val="tx1"/>
            </w14:solidFill>
          </w14:textFill>
        </w:rPr>
        <w:t>2</w:t>
      </w:r>
      <w:r>
        <w:rPr>
          <w:rFonts w:hint="eastAsia" w:ascii="Arial" w:hAnsi="Arial" w:eastAsia="宋体" w:cs="Arial"/>
          <w:color w:val="000000" w:themeColor="text1"/>
          <w:sz w:val="22"/>
          <w:szCs w:val="22"/>
          <w14:textFill>
            <w14:solidFill>
              <w14:schemeClr w14:val="tx1"/>
            </w14:solidFill>
          </w14:textFill>
        </w:rPr>
        <w:t xml:space="preserve">, </w:t>
      </w:r>
      <w:r>
        <w:rPr>
          <w:rFonts w:ascii="Arial" w:hAnsi="Arial" w:eastAsia="宋体" w:cs="Arial"/>
          <w:color w:val="000000" w:themeColor="text1"/>
          <w:sz w:val="22"/>
          <w:szCs w:val="22"/>
          <w14:textFill>
            <w14:solidFill>
              <w14:schemeClr w14:val="tx1"/>
            </w14:solidFill>
          </w14:textFill>
        </w:rPr>
        <w:t>Y</w:t>
      </w:r>
      <w:r>
        <w:rPr>
          <w:rFonts w:hint="eastAsia" w:ascii="Arial" w:hAnsi="Arial" w:eastAsia="宋体" w:cs="Arial"/>
          <w:color w:val="000000" w:themeColor="text1"/>
          <w:sz w:val="22"/>
          <w:szCs w:val="22"/>
          <w14:textFill>
            <w14:solidFill>
              <w14:schemeClr w14:val="tx1"/>
            </w14:solidFill>
          </w14:textFill>
        </w:rPr>
        <w:t>an</w:t>
      </w:r>
      <w:r>
        <w:rPr>
          <w:rFonts w:ascii="Arial" w:hAnsi="Arial" w:eastAsia="宋体" w:cs="Arial"/>
          <w:color w:val="000000" w:themeColor="text1"/>
          <w:sz w:val="22"/>
          <w:szCs w:val="22"/>
          <w14:textFill>
            <w14:solidFill>
              <w14:schemeClr w14:val="tx1"/>
            </w14:solidFill>
          </w14:textFill>
        </w:rPr>
        <w:t xml:space="preserve"> Wu</w:t>
      </w:r>
      <w:r>
        <w:rPr>
          <w:rFonts w:hint="eastAsia" w:ascii="Arial" w:hAnsi="Arial" w:eastAsia="宋体" w:cs="Arial"/>
          <w:color w:val="000000" w:themeColor="text1"/>
          <w:sz w:val="22"/>
          <w:szCs w:val="22"/>
          <w:vertAlign w:val="superscript"/>
          <w14:textFill>
            <w14:solidFill>
              <w14:schemeClr w14:val="tx1"/>
            </w14:solidFill>
          </w14:textFill>
        </w:rPr>
        <w:t>2</w:t>
      </w:r>
      <w:r>
        <w:rPr>
          <w:rFonts w:ascii="Arial" w:hAnsi="Arial" w:eastAsia="宋体" w:cs="Arial"/>
          <w:color w:val="000000" w:themeColor="text1"/>
          <w:sz w:val="22"/>
          <w:szCs w:val="22"/>
          <w14:textFill>
            <w14:solidFill>
              <w14:schemeClr w14:val="tx1"/>
            </w14:solidFill>
          </w14:textFill>
        </w:rPr>
        <w:t xml:space="preserve">, </w:t>
      </w:r>
      <w:r>
        <w:rPr>
          <w:rFonts w:hint="eastAsia" w:ascii="Arial" w:hAnsi="Arial" w:eastAsia="宋体" w:cs="Arial"/>
          <w:color w:val="000000" w:themeColor="text1"/>
          <w:sz w:val="22"/>
          <w:szCs w:val="22"/>
          <w14:textFill>
            <w14:solidFill>
              <w14:schemeClr w14:val="tx1"/>
            </w14:solidFill>
          </w14:textFill>
        </w:rPr>
        <w:t>Xiao Xiang</w:t>
      </w:r>
      <w:r>
        <w:rPr>
          <w:rFonts w:hint="eastAsia" w:ascii="Arial" w:hAnsi="Arial" w:eastAsia="宋体" w:cs="Arial"/>
          <w:color w:val="000000" w:themeColor="text1"/>
          <w:sz w:val="22"/>
          <w:szCs w:val="22"/>
          <w:vertAlign w:val="superscript"/>
          <w14:textFill>
            <w14:solidFill>
              <w14:schemeClr w14:val="tx1"/>
            </w14:solidFill>
          </w14:textFill>
        </w:rPr>
        <w:t>1</w:t>
      </w:r>
      <w:r>
        <w:rPr>
          <w:rFonts w:hint="eastAsia" w:ascii="Arial" w:hAnsi="Arial" w:eastAsia="宋体" w:cs="Arial"/>
          <w:color w:val="000000" w:themeColor="text1"/>
          <w:sz w:val="22"/>
          <w:szCs w:val="22"/>
          <w14:textFill>
            <w14:solidFill>
              <w14:schemeClr w14:val="tx1"/>
            </w14:solidFill>
          </w14:textFill>
        </w:rPr>
        <w:t>, Qiaoli Xie</w:t>
      </w:r>
      <w:r>
        <w:rPr>
          <w:rFonts w:hint="eastAsia" w:ascii="Arial" w:hAnsi="Arial" w:eastAsia="宋体" w:cs="Arial"/>
          <w:color w:val="000000" w:themeColor="text1"/>
          <w:sz w:val="22"/>
          <w:szCs w:val="22"/>
          <w:vertAlign w:val="superscript"/>
          <w14:textFill>
            <w14:solidFill>
              <w14:schemeClr w14:val="tx1"/>
            </w14:solidFill>
          </w14:textFill>
        </w:rPr>
        <w:t>1</w:t>
      </w:r>
      <w:r>
        <w:rPr>
          <w:rFonts w:hint="eastAsia" w:ascii="Arial" w:hAnsi="Arial" w:eastAsia="宋体" w:cs="Arial"/>
          <w:color w:val="000000" w:themeColor="text1"/>
          <w:sz w:val="22"/>
          <w:szCs w:val="22"/>
          <w14:textFill>
            <w14:solidFill>
              <w14:schemeClr w14:val="tx1"/>
            </w14:solidFill>
          </w14:textFill>
        </w:rPr>
        <w:t xml:space="preserve">, </w:t>
      </w:r>
      <w:r>
        <w:rPr>
          <w:rFonts w:ascii="Arial" w:hAnsi="Arial" w:eastAsia="宋体" w:cs="Arial"/>
          <w:color w:val="000000" w:themeColor="text1"/>
          <w:sz w:val="22"/>
          <w:szCs w:val="22"/>
          <w14:textFill>
            <w14:solidFill>
              <w14:schemeClr w14:val="tx1"/>
            </w14:solidFill>
          </w14:textFill>
        </w:rPr>
        <w:t>Hengguang Zhao</w:t>
      </w:r>
      <w:r>
        <w:rPr>
          <w:rFonts w:hint="eastAsia" w:ascii="Arial" w:hAnsi="Arial" w:eastAsia="宋体" w:cs="Arial"/>
          <w:color w:val="000000" w:themeColor="text1"/>
          <w:sz w:val="22"/>
          <w:szCs w:val="22"/>
          <w:vertAlign w:val="superscript"/>
          <w14:textFill>
            <w14:solidFill>
              <w14:schemeClr w14:val="tx1"/>
            </w14:solidFill>
          </w14:textFill>
        </w:rPr>
        <w:t>3</w:t>
      </w:r>
      <w:r>
        <w:rPr>
          <w:rFonts w:ascii="Arial" w:hAnsi="Arial" w:eastAsia="宋体" w:cs="Arial"/>
          <w:color w:val="000000" w:themeColor="text1"/>
          <w:sz w:val="22"/>
          <w:szCs w:val="22"/>
          <w14:textFill>
            <w14:solidFill>
              <w14:schemeClr w14:val="tx1"/>
            </w14:solidFill>
          </w14:textFill>
        </w:rPr>
        <w:t xml:space="preserve">, </w:t>
      </w:r>
      <w:r>
        <w:rPr>
          <w:rFonts w:hint="eastAsia" w:ascii="Arial" w:hAnsi="Arial" w:eastAsia="宋体" w:cs="Arial"/>
          <w:color w:val="000000" w:themeColor="text1"/>
          <w:sz w:val="22"/>
          <w:szCs w:val="22"/>
          <w14:textFill>
            <w14:solidFill>
              <w14:schemeClr w14:val="tx1"/>
            </w14:solidFill>
          </w14:textFill>
        </w:rPr>
        <w:t>Li Yang</w:t>
      </w:r>
      <w:r>
        <w:rPr>
          <w:rFonts w:hint="eastAsia" w:ascii="Arial" w:hAnsi="Arial" w:eastAsia="宋体" w:cs="Arial"/>
          <w:color w:val="000000" w:themeColor="text1"/>
          <w:sz w:val="22"/>
          <w:szCs w:val="22"/>
          <w:vertAlign w:val="superscript"/>
          <w14:textFill>
            <w14:solidFill>
              <w14:schemeClr w14:val="tx1"/>
            </w14:solidFill>
          </w14:textFill>
        </w:rPr>
        <w:t>1</w:t>
      </w:r>
      <w:r>
        <w:rPr>
          <w:rFonts w:hint="eastAsia" w:ascii="Arial" w:hAnsi="Arial" w:eastAsia="宋体" w:cs="Arial"/>
          <w:color w:val="000000" w:themeColor="text1"/>
          <w:sz w:val="22"/>
          <w:szCs w:val="22"/>
          <w14:textFill>
            <w14:solidFill>
              <w14:schemeClr w14:val="tx1"/>
            </w14:solidFill>
          </w14:textFill>
        </w:rPr>
        <w:t>, Xinghua Gao</w:t>
      </w:r>
      <w:r>
        <w:rPr>
          <w:rFonts w:hint="eastAsia" w:ascii="Arial" w:hAnsi="Arial" w:eastAsia="宋体" w:cs="Arial"/>
          <w:color w:val="000000" w:themeColor="text1"/>
          <w:sz w:val="22"/>
          <w:szCs w:val="22"/>
          <w:vertAlign w:val="superscript"/>
          <w14:textFill>
            <w14:solidFill>
              <w14:schemeClr w14:val="tx1"/>
            </w14:solidFill>
          </w14:textFill>
        </w:rPr>
        <w:t>2</w:t>
      </w:r>
      <w:r>
        <w:rPr>
          <w:rFonts w:ascii="Segoe UI Emoji" w:hAnsi="Segoe UI Emoji" w:eastAsia="宋体" w:cs="Segoe UI Emoji"/>
          <w:color w:val="000000" w:themeColor="text1"/>
          <w:sz w:val="22"/>
          <w:szCs w:val="22"/>
          <w:vertAlign w:val="superscript"/>
          <w14:textFill>
            <w14:solidFill>
              <w14:schemeClr w14:val="tx1"/>
            </w14:solidFill>
          </w14:textFill>
        </w:rPr>
        <w:t>✉</w:t>
      </w:r>
      <w:r>
        <w:rPr>
          <w:rFonts w:hint="eastAsia" w:ascii="Arial" w:hAnsi="Arial" w:eastAsia="宋体" w:cs="Arial"/>
          <w:color w:val="000000" w:themeColor="text1"/>
          <w:sz w:val="22"/>
          <w:szCs w:val="22"/>
          <w14:textFill>
            <w14:solidFill>
              <w14:schemeClr w14:val="tx1"/>
            </w14:solidFill>
          </w14:textFill>
        </w:rPr>
        <w:t xml:space="preserve">, </w:t>
      </w:r>
      <w:r>
        <w:rPr>
          <w:rFonts w:ascii="Arial" w:hAnsi="Arial" w:eastAsia="宋体" w:cs="Arial"/>
          <w:color w:val="000000" w:themeColor="text1"/>
          <w:sz w:val="22"/>
          <w:szCs w:val="22"/>
          <w14:textFill>
            <w14:solidFill>
              <w14:schemeClr w14:val="tx1"/>
            </w14:solidFill>
          </w14:textFill>
        </w:rPr>
        <w:t>Mingxing Lei</w:t>
      </w:r>
      <w:r>
        <w:rPr>
          <w:rFonts w:ascii="Arial" w:hAnsi="Arial" w:eastAsia="宋体" w:cs="Arial"/>
          <w:color w:val="000000" w:themeColor="text1"/>
          <w:sz w:val="22"/>
          <w:szCs w:val="22"/>
          <w:vertAlign w:val="superscript"/>
          <w14:textFill>
            <w14:solidFill>
              <w14:schemeClr w14:val="tx1"/>
            </w14:solidFill>
          </w14:textFill>
        </w:rPr>
        <w:t>1</w:t>
      </w:r>
      <w:r>
        <w:rPr>
          <w:rFonts w:ascii="Segoe UI Emoji" w:hAnsi="Segoe UI Emoji" w:eastAsia="宋体" w:cs="Segoe UI Emoji"/>
          <w:color w:val="000000" w:themeColor="text1"/>
          <w:sz w:val="22"/>
          <w:szCs w:val="22"/>
          <w:vertAlign w:val="superscript"/>
          <w14:textFill>
            <w14:solidFill>
              <w14:schemeClr w14:val="tx1"/>
            </w14:solidFill>
          </w14:textFill>
        </w:rPr>
        <w:t>✉</w:t>
      </w:r>
      <w:bookmarkEnd w:id="1"/>
      <w:bookmarkEnd w:id="2"/>
    </w:p>
    <w:p w14:paraId="7A240761">
      <w:pPr>
        <w:spacing w:line="480" w:lineRule="auto"/>
        <w:jc w:val="both"/>
        <w:rPr>
          <w:rFonts w:ascii="Arial" w:hAnsi="Arial" w:cs="Arial"/>
          <w:color w:val="000000" w:themeColor="text1"/>
          <w:sz w:val="28"/>
          <w:szCs w:val="28"/>
          <w:lang w:eastAsia="zh-CN"/>
          <w14:textFill>
            <w14:solidFill>
              <w14:schemeClr w14:val="tx1"/>
            </w14:solidFill>
          </w14:textFill>
        </w:rPr>
      </w:pPr>
      <w:bookmarkStart w:id="3" w:name="OLE_LINK10"/>
      <w:r>
        <w:rPr>
          <w:rFonts w:ascii="Arial" w:hAnsi="Arial" w:cs="Arial"/>
          <w:color w:val="000000" w:themeColor="text1"/>
          <w:sz w:val="28"/>
          <w:szCs w:val="28"/>
          <w14:textFill>
            <w14:solidFill>
              <w14:schemeClr w14:val="tx1"/>
            </w14:solidFill>
          </w14:textFill>
        </w:rPr>
        <w:t>This file includes the following subsections</w:t>
      </w:r>
      <w:r>
        <w:rPr>
          <w:rFonts w:ascii="Arial" w:hAnsi="Arial" w:cs="Arial"/>
          <w:color w:val="000000" w:themeColor="text1"/>
          <w:sz w:val="28"/>
          <w:szCs w:val="28"/>
          <w:lang w:eastAsia="zh-CN"/>
          <w14:textFill>
            <w14:solidFill>
              <w14:schemeClr w14:val="tx1"/>
            </w14:solidFill>
          </w14:textFill>
        </w:rPr>
        <w:t>:</w:t>
      </w:r>
    </w:p>
    <w:p w14:paraId="17B3E692">
      <w:pPr>
        <w:spacing w:line="480" w:lineRule="auto"/>
        <w:jc w:val="both"/>
        <w:rPr>
          <w:rFonts w:hint="eastAsia" w:ascii="Arial" w:hAnsi="Arial" w:cs="Arial"/>
          <w:b/>
          <w:bCs/>
          <w:color w:val="000000" w:themeColor="text1"/>
          <w:sz w:val="28"/>
          <w:szCs w:val="28"/>
          <w:lang w:val="en-US" w:eastAsia="zh-CN"/>
          <w14:textFill>
            <w14:solidFill>
              <w14:schemeClr w14:val="tx1"/>
            </w14:solidFill>
          </w14:textFill>
        </w:rPr>
      </w:pPr>
      <w:r>
        <w:rPr>
          <w:rFonts w:ascii="Arial" w:hAnsi="Arial" w:cs="Arial"/>
          <w:color w:val="000000" w:themeColor="text1"/>
          <w:sz w:val="28"/>
          <w:szCs w:val="28"/>
          <w14:textFill>
            <w14:solidFill>
              <w14:schemeClr w14:val="tx1"/>
            </w14:solidFill>
          </w14:textFill>
        </w:rPr>
        <w:t xml:space="preserve">• </w:t>
      </w:r>
      <w:r>
        <w:rPr>
          <w:rFonts w:hint="eastAsia" w:ascii="Arial" w:hAnsi="Arial" w:cs="Arial"/>
          <w:b/>
          <w:bCs/>
          <w:color w:val="000000" w:themeColor="text1"/>
          <w:sz w:val="28"/>
          <w:szCs w:val="28"/>
          <w14:textFill>
            <w14:solidFill>
              <w14:schemeClr w14:val="tx1"/>
            </w14:solidFill>
          </w14:textFill>
        </w:rPr>
        <w:t xml:space="preserve">Extended Data Fig. </w:t>
      </w:r>
      <w:r>
        <w:rPr>
          <w:rFonts w:hint="eastAsia" w:ascii="Arial" w:hAnsi="Arial" w:cs="Arial"/>
          <w:b/>
          <w:bCs/>
          <w:color w:val="000000" w:themeColor="text1"/>
          <w:sz w:val="28"/>
          <w:szCs w:val="28"/>
          <w:lang w:val="en-US" w:eastAsia="zh-CN"/>
          <w14:textFill>
            <w14:solidFill>
              <w14:schemeClr w14:val="tx1"/>
            </w14:solidFill>
          </w14:textFill>
        </w:rPr>
        <w:t>1-7</w:t>
      </w:r>
    </w:p>
    <w:p w14:paraId="46BAEC60">
      <w:pPr>
        <w:spacing w:line="480" w:lineRule="auto"/>
        <w:jc w:val="both"/>
        <w:rPr>
          <w:rFonts w:ascii="Arial" w:hAnsi="Arial" w:cs="Arial"/>
          <w:b/>
          <w:bCs/>
          <w:color w:val="000000" w:themeColor="text1"/>
          <w:sz w:val="28"/>
          <w:szCs w:val="28"/>
          <w:lang w:eastAsia="zh-CN"/>
          <w14:textFill>
            <w14:solidFill>
              <w14:schemeClr w14:val="tx1"/>
            </w14:solidFill>
          </w14:textFill>
        </w:rPr>
      </w:pPr>
      <w:r>
        <w:rPr>
          <w:rFonts w:ascii="Arial" w:hAnsi="Arial" w:cs="Arial"/>
          <w:b/>
          <w:bCs/>
          <w:color w:val="000000" w:themeColor="text1"/>
          <w:sz w:val="28"/>
          <w:szCs w:val="28"/>
          <w14:textFill>
            <w14:solidFill>
              <w14:schemeClr w14:val="tx1"/>
            </w14:solidFill>
          </w14:textFill>
        </w:rPr>
        <w:t xml:space="preserve">• </w:t>
      </w:r>
      <w:r>
        <w:rPr>
          <w:rFonts w:hint="eastAsia" w:ascii="Arial" w:hAnsi="Arial" w:cs="Arial"/>
          <w:b/>
          <w:bCs/>
          <w:color w:val="000000" w:themeColor="text1"/>
          <w:sz w:val="28"/>
          <w:szCs w:val="28"/>
          <w14:textFill>
            <w14:solidFill>
              <w14:schemeClr w14:val="tx1"/>
            </w14:solidFill>
          </w14:textFill>
        </w:rPr>
        <w:t xml:space="preserve">Extended Data </w:t>
      </w:r>
      <w:r>
        <w:rPr>
          <w:rFonts w:hint="eastAsia" w:ascii="Arial" w:hAnsi="Arial" w:cs="Arial"/>
          <w:b/>
          <w:bCs/>
          <w:color w:val="000000" w:themeColor="text1"/>
          <w:sz w:val="28"/>
          <w:szCs w:val="28"/>
          <w:lang w:val="en-US" w:eastAsia="zh-CN"/>
          <w14:textFill>
            <w14:solidFill>
              <w14:schemeClr w14:val="tx1"/>
            </w14:solidFill>
          </w14:textFill>
        </w:rPr>
        <w:t>Table</w:t>
      </w:r>
      <w:r>
        <w:rPr>
          <w:rFonts w:hint="eastAsia" w:ascii="Arial" w:hAnsi="Arial" w:cs="Arial"/>
          <w:b/>
          <w:bCs/>
          <w:color w:val="000000" w:themeColor="text1"/>
          <w:sz w:val="28"/>
          <w:szCs w:val="28"/>
          <w14:textFill>
            <w14:solidFill>
              <w14:schemeClr w14:val="tx1"/>
            </w14:solidFill>
          </w14:textFill>
        </w:rPr>
        <w:t>.</w:t>
      </w:r>
      <w:r>
        <w:rPr>
          <w:rFonts w:ascii="Arial" w:hAnsi="Arial" w:cs="Arial"/>
          <w:b/>
          <w:bCs/>
          <w:color w:val="000000" w:themeColor="text1"/>
          <w:sz w:val="28"/>
          <w:szCs w:val="28"/>
          <w14:textFill>
            <w14:solidFill>
              <w14:schemeClr w14:val="tx1"/>
            </w14:solidFill>
          </w14:textFill>
        </w:rPr>
        <w:t xml:space="preserve"> 1</w:t>
      </w:r>
      <w:r>
        <w:rPr>
          <w:rFonts w:ascii="Arial" w:hAnsi="Arial" w:cs="Arial"/>
          <w:b/>
          <w:bCs/>
          <w:color w:val="000000" w:themeColor="text1"/>
          <w:sz w:val="28"/>
          <w:szCs w:val="28"/>
          <w:lang w:eastAsia="zh-CN"/>
          <w14:textFill>
            <w14:solidFill>
              <w14:schemeClr w14:val="tx1"/>
            </w14:solidFill>
          </w14:textFill>
        </w:rPr>
        <w:t>-</w:t>
      </w:r>
      <w:bookmarkEnd w:id="3"/>
      <w:r>
        <w:rPr>
          <w:rFonts w:hint="eastAsia" w:ascii="Arial" w:hAnsi="Arial" w:cs="Arial"/>
          <w:b/>
          <w:bCs/>
          <w:color w:val="000000" w:themeColor="text1"/>
          <w:sz w:val="28"/>
          <w:szCs w:val="28"/>
          <w:lang w:eastAsia="zh-CN"/>
          <w14:textFill>
            <w14:solidFill>
              <w14:schemeClr w14:val="tx1"/>
            </w14:solidFill>
          </w14:textFill>
        </w:rPr>
        <w:t>3</w:t>
      </w:r>
    </w:p>
    <w:p w14:paraId="37007467">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126CB85E">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672FC7FF">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7FB1ADA3">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7F4BDA06">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4D34E45F">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537CEF6A">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2AE49A41">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4B3B2446">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7B67F2E1">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4167FF76">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77EB3CB8">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42CE2CD8">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2E9D2C2D">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164F9832">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6B3E5A53">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357DD911">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6A0309A1">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5DDBB2EA">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5EDF6EF6">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15C5F1FF">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0E12EB96">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2713E5C0">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2782F12B">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1797CC54">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144E7FF7">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205ADA28">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r>
        <w:rPr>
          <w:rFonts w:hint="eastAsia" w:ascii="Arial" w:hAnsi="Arial" w:cs="Arial"/>
          <w:b/>
          <w:bCs/>
          <w:color w:val="000000" w:themeColor="text1"/>
          <w:sz w:val="22"/>
          <w:szCs w:val="22"/>
          <w14:textFill>
            <w14:solidFill>
              <w14:schemeClr w14:val="tx1"/>
            </w14:solidFill>
          </w14:textFill>
        </w:rPr>
        <w:t xml:space="preserve">Extended Data Fig. </w:t>
      </w:r>
      <w:r>
        <w:rPr>
          <w:rFonts w:hint="eastAsia" w:ascii="Arial" w:hAnsi="Arial" w:cs="Arial"/>
          <w:b/>
          <w:bCs/>
          <w:color w:val="000000" w:themeColor="text1"/>
          <w:sz w:val="22"/>
          <w:szCs w:val="22"/>
          <w:lang w:val="en-US" w:eastAsia="zh-CN"/>
          <w14:textFill>
            <w14:solidFill>
              <w14:schemeClr w14:val="tx1"/>
            </w14:solidFill>
          </w14:textFill>
        </w:rPr>
        <w:t>1</w:t>
      </w:r>
    </w:p>
    <w:p w14:paraId="1303BDCF">
      <w:pPr>
        <w:numPr>
          <w:ilvl w:val="0"/>
          <w:numId w:val="0"/>
        </w:numPr>
        <w:jc w:val="both"/>
        <w:rPr>
          <w:rFonts w:hint="default" w:ascii="Arial" w:hAnsi="Arial" w:cs="Arial"/>
          <w:b/>
          <w:bCs/>
          <w:color w:val="000000" w:themeColor="text1"/>
          <w:sz w:val="21"/>
          <w:szCs w:val="21"/>
          <w:lang w:val="en-US" w:eastAsia="zh-CN"/>
          <w14:textFill>
            <w14:solidFill>
              <w14:schemeClr w14:val="tx1"/>
            </w14:solidFill>
          </w14:textFill>
        </w:rPr>
      </w:pPr>
    </w:p>
    <w:p w14:paraId="122D7F15">
      <w:pPr>
        <w:numPr>
          <w:ilvl w:val="0"/>
          <w:numId w:val="0"/>
        </w:numPr>
        <w:jc w:val="both"/>
        <w:rPr>
          <w:rFonts w:hint="default" w:ascii="Arial" w:hAnsi="Arial" w:cs="Arial"/>
          <w:b/>
          <w:bCs/>
          <w:color w:val="000000" w:themeColor="text1"/>
          <w:sz w:val="21"/>
          <w:szCs w:val="21"/>
          <w:lang w:val="en-US" w:eastAsia="zh-CN"/>
          <w14:textFill>
            <w14:solidFill>
              <w14:schemeClr w14:val="tx1"/>
            </w14:solidFill>
          </w14:textFill>
        </w:rPr>
      </w:pPr>
      <w:r>
        <w:rPr>
          <w:rFonts w:hint="default" w:ascii="Arial" w:hAnsi="Arial" w:cs="Arial"/>
          <w:b/>
          <w:bCs/>
          <w:color w:val="000000" w:themeColor="text1"/>
          <w:sz w:val="21"/>
          <w:szCs w:val="21"/>
          <w:lang w:val="en-US" w:eastAsia="zh-CN"/>
          <w14:textFill>
            <w14:solidFill>
              <w14:schemeClr w14:val="tx1"/>
            </w14:solidFill>
          </w14:textFill>
        </w:rPr>
        <w:drawing>
          <wp:inline distT="0" distB="0" distL="114300" distR="114300">
            <wp:extent cx="5261610" cy="7268210"/>
            <wp:effectExtent l="0" t="0" r="0" b="0"/>
            <wp:docPr id="1" name="图片 1" descr="Hypoxia and psoriasis paper2026011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ypoxia and psoriasis paper20260118_02"/>
                    <pic:cNvPicPr>
                      <a:picLocks noChangeAspect="1"/>
                    </pic:cNvPicPr>
                  </pic:nvPicPr>
                  <pic:blipFill>
                    <a:blip r:embed="rId4"/>
                    <a:srcRect t="2321"/>
                    <a:stretch>
                      <a:fillRect/>
                    </a:stretch>
                  </pic:blipFill>
                  <pic:spPr>
                    <a:xfrm>
                      <a:off x="0" y="0"/>
                      <a:ext cx="5261610" cy="7268210"/>
                    </a:xfrm>
                    <a:prstGeom prst="rect">
                      <a:avLst/>
                    </a:prstGeom>
                  </pic:spPr>
                </pic:pic>
              </a:graphicData>
            </a:graphic>
          </wp:inline>
        </w:drawing>
      </w:r>
    </w:p>
    <w:p w14:paraId="46525BA3">
      <w:pPr>
        <w:numPr>
          <w:ilvl w:val="0"/>
          <w:numId w:val="0"/>
        </w:numPr>
        <w:jc w:val="both"/>
        <w:rPr>
          <w:rFonts w:hint="default" w:ascii="Arial" w:hAnsi="Arial" w:cs="Arial"/>
          <w:b/>
          <w:bCs/>
          <w:color w:val="000000" w:themeColor="text1"/>
          <w:sz w:val="21"/>
          <w:szCs w:val="21"/>
          <w:lang w:val="en-US" w:eastAsia="zh-CN"/>
          <w14:textFill>
            <w14:solidFill>
              <w14:schemeClr w14:val="tx1"/>
            </w14:solidFill>
          </w14:textFill>
        </w:rPr>
      </w:pPr>
    </w:p>
    <w:p w14:paraId="3CF5FFBC">
      <w:pPr>
        <w:numPr>
          <w:ilvl w:val="0"/>
          <w:numId w:val="0"/>
        </w:numPr>
        <w:jc w:val="both"/>
        <w:rPr>
          <w:rFonts w:hint="default" w:ascii="Arial" w:hAnsi="Arial" w:cs="Arial"/>
          <w:b/>
          <w:bCs/>
          <w:color w:val="000000" w:themeColor="text1"/>
          <w:sz w:val="21"/>
          <w:szCs w:val="21"/>
          <w:lang w:val="en-US" w:eastAsia="zh-CN"/>
          <w14:textFill>
            <w14:solidFill>
              <w14:schemeClr w14:val="tx1"/>
            </w14:solidFill>
          </w14:textFill>
        </w:rPr>
      </w:pPr>
    </w:p>
    <w:p w14:paraId="26B92896">
      <w:pPr>
        <w:numPr>
          <w:ilvl w:val="0"/>
          <w:numId w:val="0"/>
        </w:numPr>
        <w:jc w:val="both"/>
        <w:rPr>
          <w:rFonts w:hint="default" w:ascii="Arial" w:hAnsi="Arial" w:cs="Arial"/>
          <w:b/>
          <w:bCs/>
          <w:color w:val="000000" w:themeColor="text1"/>
          <w:sz w:val="21"/>
          <w:szCs w:val="21"/>
          <w:lang w:val="en-US" w:eastAsia="zh-CN"/>
          <w14:textFill>
            <w14:solidFill>
              <w14:schemeClr w14:val="tx1"/>
            </w14:solidFill>
          </w14:textFill>
        </w:rPr>
      </w:pPr>
    </w:p>
    <w:p w14:paraId="0C3BAC25">
      <w:pPr>
        <w:numPr>
          <w:ilvl w:val="0"/>
          <w:numId w:val="0"/>
        </w:numPr>
        <w:jc w:val="both"/>
        <w:rPr>
          <w:rFonts w:hint="default" w:ascii="Arial" w:hAnsi="Arial" w:cs="Arial"/>
          <w:b/>
          <w:bCs/>
          <w:color w:val="000000" w:themeColor="text1"/>
          <w:sz w:val="21"/>
          <w:szCs w:val="21"/>
          <w:lang w:val="en-US" w:eastAsia="zh-CN"/>
          <w14:textFill>
            <w14:solidFill>
              <w14:schemeClr w14:val="tx1"/>
            </w14:solidFill>
          </w14:textFill>
        </w:rPr>
      </w:pPr>
    </w:p>
    <w:p w14:paraId="4581CA67">
      <w:pPr>
        <w:numPr>
          <w:ilvl w:val="0"/>
          <w:numId w:val="0"/>
        </w:numPr>
        <w:jc w:val="both"/>
        <w:rPr>
          <w:rFonts w:hint="default" w:ascii="Arial" w:hAnsi="Arial" w:cs="Arial"/>
          <w:b/>
          <w:bCs/>
          <w:color w:val="000000" w:themeColor="text1"/>
          <w:sz w:val="21"/>
          <w:szCs w:val="21"/>
          <w:lang w:val="en-US" w:eastAsia="zh-CN"/>
          <w14:textFill>
            <w14:solidFill>
              <w14:schemeClr w14:val="tx1"/>
            </w14:solidFill>
          </w14:textFill>
        </w:rPr>
      </w:pPr>
    </w:p>
    <w:p w14:paraId="5751FDF9">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r>
        <w:rPr>
          <w:rFonts w:hint="default" w:ascii="Arial" w:hAnsi="Arial" w:cs="Arial"/>
          <w:b/>
          <w:bCs/>
          <w:color w:val="000000" w:themeColor="text1"/>
          <w:sz w:val="22"/>
          <w:szCs w:val="22"/>
          <w:lang w:val="en-US" w:eastAsia="zh-CN"/>
          <w14:textFill>
            <w14:solidFill>
              <w14:schemeClr w14:val="tx1"/>
            </w14:solidFill>
          </w14:textFill>
        </w:rPr>
        <w:t>Extended Data Fig. 1. Single</w:t>
      </w:r>
      <w:r>
        <w:rPr>
          <w:rFonts w:hint="eastAsia" w:ascii="Arial" w:hAnsi="Arial" w:cs="Arial"/>
          <w:b/>
          <w:bCs/>
          <w:color w:val="000000" w:themeColor="text1"/>
          <w:sz w:val="22"/>
          <w:szCs w:val="22"/>
          <w:lang w:val="en-US" w:eastAsia="zh-CN"/>
          <w14:textFill>
            <w14:solidFill>
              <w14:schemeClr w14:val="tx1"/>
            </w14:solidFill>
          </w14:textFill>
        </w:rPr>
        <w:t>-</w:t>
      </w:r>
      <w:r>
        <w:rPr>
          <w:rFonts w:hint="default" w:ascii="Arial" w:hAnsi="Arial" w:cs="Arial"/>
          <w:b/>
          <w:bCs/>
          <w:color w:val="000000" w:themeColor="text1"/>
          <w:sz w:val="22"/>
          <w:szCs w:val="22"/>
          <w:lang w:val="en-US" w:eastAsia="zh-CN"/>
          <w14:textFill>
            <w14:solidFill>
              <w14:schemeClr w14:val="tx1"/>
            </w14:solidFill>
          </w14:textFill>
        </w:rPr>
        <w:t>cell transcriptomic analysis reveals increased EPAS1 expression in fibroblasts from psoriatic skin.</w:t>
      </w:r>
    </w:p>
    <w:p w14:paraId="426A8BCE">
      <w:pPr>
        <w:numPr>
          <w:ilvl w:val="0"/>
          <w:numId w:val="0"/>
        </w:numPr>
        <w:jc w:val="both"/>
        <w:rPr>
          <w:rFonts w:hint="default" w:ascii="Arial" w:hAnsi="Arial" w:cs="Arial"/>
          <w:b w:val="0"/>
          <w:bCs w:val="0"/>
          <w:color w:val="000000" w:themeColor="text1"/>
          <w:sz w:val="22"/>
          <w:szCs w:val="22"/>
          <w:lang w:val="en-US" w:eastAsia="zh-CN"/>
          <w14:textFill>
            <w14:solidFill>
              <w14:schemeClr w14:val="tx1"/>
            </w14:solidFill>
          </w14:textFill>
        </w:rPr>
      </w:pPr>
    </w:p>
    <w:p w14:paraId="34E22331">
      <w:pPr>
        <w:widowControl/>
        <w:numPr>
          <w:ilvl w:val="0"/>
          <w:numId w:val="1"/>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UMAP embedding of single</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 </w:t>
      </w:r>
      <w:r>
        <w:rPr>
          <w:rFonts w:hint="default" w:ascii="Arial" w:hAnsi="Arial" w:eastAsia="宋体" w:cs="Arial"/>
          <w:color w:val="000000" w:themeColor="text1"/>
          <w:kern w:val="0"/>
          <w:sz w:val="22"/>
          <w:szCs w:val="22"/>
          <w:lang w:val="en-US" w:eastAsia="zh-CN"/>
          <w14:textFill>
            <w14:solidFill>
              <w14:schemeClr w14:val="tx1"/>
            </w14:solidFill>
          </w14:textFill>
        </w:rPr>
        <w:t>cell transcriptomes from psoriatic and healthy skin (n = 3 per group). Major cell clusters are annotated: MEL, melanocytes; LEC, lymphatic endothelial cells; MC, mast cells; SGC, sweat gland cells; DC, dendritic cells; TC, T cells; FB, fibroblasts; VEC, vascular endothelial cells; BC, basal cells; SBC, suprabasal cells.</w:t>
      </w:r>
    </w:p>
    <w:p w14:paraId="4959E697">
      <w:pPr>
        <w:widowControl/>
        <w:numPr>
          <w:ilvl w:val="0"/>
          <w:numId w:val="1"/>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Bubble plot showing representative marker genes for each annotated cluster (bubble size = fraction of cells expressing marker; color = average expression).</w:t>
      </w:r>
    </w:p>
    <w:p w14:paraId="13FFEA60">
      <w:pPr>
        <w:widowControl/>
        <w:numPr>
          <w:ilvl w:val="0"/>
          <w:numId w:val="1"/>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Bar graph comparing relative proportions of annotated cell subpopulations between psoriatic and healthy skin.</w:t>
      </w:r>
    </w:p>
    <w:p w14:paraId="2BC976DC">
      <w:pPr>
        <w:widowControl/>
        <w:numPr>
          <w:ilvl w:val="0"/>
          <w:numId w:val="1"/>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Feature plots showing AUCell scores for a hypoxia</w:t>
      </w:r>
      <w:r>
        <w:rPr>
          <w:rFonts w:hint="eastAsia" w:ascii="Arial" w:hAnsi="Arial" w:eastAsia="宋体" w:cs="Arial"/>
          <w:color w:val="000000" w:themeColor="text1"/>
          <w:kern w:val="0"/>
          <w:sz w:val="22"/>
          <w:szCs w:val="22"/>
          <w:lang w:val="en-US" w:eastAsia="zh-CN"/>
          <w14:textFill>
            <w14:solidFill>
              <w14:schemeClr w14:val="tx1"/>
            </w14:solidFill>
          </w14:textFill>
        </w:rPr>
        <w:t>-</w:t>
      </w:r>
      <w:r>
        <w:rPr>
          <w:rFonts w:hint="default" w:ascii="Arial" w:hAnsi="Arial" w:eastAsia="宋体" w:cs="Arial"/>
          <w:color w:val="000000" w:themeColor="text1"/>
          <w:kern w:val="0"/>
          <w:sz w:val="22"/>
          <w:szCs w:val="22"/>
          <w:lang w:val="en-US" w:eastAsia="zh-CN"/>
          <w14:textFill>
            <w14:solidFill>
              <w14:schemeClr w14:val="tx1"/>
            </w14:solidFill>
          </w14:textFill>
        </w:rPr>
        <w:t>related gene signature in psoriatic versus healthy samples.</w:t>
      </w:r>
    </w:p>
    <w:p w14:paraId="17D2DC10">
      <w:pPr>
        <w:widowControl/>
        <w:numPr>
          <w:ilvl w:val="0"/>
          <w:numId w:val="1"/>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Violin plots of HIF1A and EPAS1 expression in fibroblast (FB) and epidermal cell (BC + SBC) clusters from psoriatic and healthy samples.</w:t>
      </w:r>
    </w:p>
    <w:p w14:paraId="59164FFA">
      <w:pPr>
        <w:widowControl/>
        <w:numPr>
          <w:ilvl w:val="0"/>
          <w:numId w:val="1"/>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Violin plots of HIF1A and EPAS1 expression across VEC, TC, DC, SGC, MC, LEC and MEL clusters in psoriatic versus healthy skin.</w:t>
      </w:r>
    </w:p>
    <w:p w14:paraId="6FD8BF6A">
      <w:pPr>
        <w:widowControl/>
        <w:numPr>
          <w:ilvl w:val="0"/>
          <w:numId w:val="1"/>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Biological process (BP) enrichment analysis for HIF2A+ fibroblasts in psoriatic and healthy skin; angiogenesis</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 </w:t>
      </w:r>
      <w:r>
        <w:rPr>
          <w:rFonts w:hint="default" w:ascii="Arial" w:hAnsi="Arial" w:eastAsia="宋体" w:cs="Arial"/>
          <w:color w:val="000000" w:themeColor="text1"/>
          <w:kern w:val="0"/>
          <w:sz w:val="22"/>
          <w:szCs w:val="22"/>
          <w:lang w:val="en-US" w:eastAsia="zh-CN"/>
          <w14:textFill>
            <w14:solidFill>
              <w14:schemeClr w14:val="tx1"/>
            </w14:solidFill>
          </w14:textFill>
        </w:rPr>
        <w:t>related pathways are highlighted (red box).</w:t>
      </w:r>
    </w:p>
    <w:p w14:paraId="408004F9">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71D2E447">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175B151B">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76CB7488">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2E0D8A21">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40F1A673">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23860260">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08B1DBC1">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31107D23">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6235BCF0">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5A8CB51F">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3B867F39">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1D1FF8AA">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7566F411">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34421C97">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36F1C943">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59205FED">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4839DE52">
      <w:pPr>
        <w:widowControl/>
        <w:numPr>
          <w:ilvl w:val="0"/>
          <w:numId w:val="0"/>
        </w:numPr>
        <w:adjustRightInd w:val="0"/>
        <w:snapToGrid w:val="0"/>
        <w:spacing w:line="360" w:lineRule="auto"/>
        <w:jc w:val="both"/>
        <w:rPr>
          <w:rFonts w:hint="default" w:ascii="Arial" w:hAnsi="Arial" w:cs="Arial"/>
          <w:b/>
          <w:bCs/>
          <w:color w:val="000000" w:themeColor="text1"/>
          <w:sz w:val="21"/>
          <w:szCs w:val="21"/>
          <w:lang w:val="en-US" w:eastAsia="zh-CN"/>
          <w14:textFill>
            <w14:solidFill>
              <w14:schemeClr w14:val="tx1"/>
            </w14:solidFill>
          </w14:textFill>
        </w:rPr>
      </w:pPr>
    </w:p>
    <w:p w14:paraId="0850A2A0">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r>
        <w:rPr>
          <w:rFonts w:hint="eastAsia" w:ascii="Arial" w:hAnsi="Arial" w:cs="Arial"/>
          <w:b/>
          <w:bCs/>
          <w:color w:val="000000" w:themeColor="text1"/>
          <w:sz w:val="22"/>
          <w:szCs w:val="22"/>
          <w14:textFill>
            <w14:solidFill>
              <w14:schemeClr w14:val="tx1"/>
            </w14:solidFill>
          </w14:textFill>
        </w:rPr>
        <w:t xml:space="preserve">Extended Data Fig. </w:t>
      </w:r>
      <w:r>
        <w:rPr>
          <w:rFonts w:hint="eastAsia" w:ascii="Arial" w:hAnsi="Arial" w:cs="Arial"/>
          <w:b/>
          <w:bCs/>
          <w:color w:val="000000" w:themeColor="text1"/>
          <w:sz w:val="22"/>
          <w:szCs w:val="22"/>
          <w:lang w:val="en-US" w:eastAsia="zh-CN"/>
          <w14:textFill>
            <w14:solidFill>
              <w14:schemeClr w14:val="tx1"/>
            </w14:solidFill>
          </w14:textFill>
        </w:rPr>
        <w:t>2</w:t>
      </w:r>
    </w:p>
    <w:p w14:paraId="5AD2AD69">
      <w:pPr>
        <w:widowControl/>
        <w:numPr>
          <w:ilvl w:val="0"/>
          <w:numId w:val="0"/>
        </w:numPr>
        <w:adjustRightInd w:val="0"/>
        <w:snapToGrid w:val="0"/>
        <w:spacing w:line="360" w:lineRule="auto"/>
        <w:jc w:val="both"/>
        <w:rPr>
          <w:rFonts w:hint="default" w:ascii="Arial" w:hAnsi="Arial" w:cs="Arial"/>
          <w:b/>
          <w:bCs/>
          <w:color w:val="000000" w:themeColor="text1"/>
          <w:sz w:val="21"/>
          <w:szCs w:val="21"/>
          <w:lang w:val="en-US" w:eastAsia="zh-CN"/>
          <w14:textFill>
            <w14:solidFill>
              <w14:schemeClr w14:val="tx1"/>
            </w14:solidFill>
          </w14:textFill>
        </w:rPr>
      </w:pPr>
      <w:r>
        <w:rPr>
          <w:rFonts w:hint="default" w:ascii="Arial" w:hAnsi="Arial" w:cs="Arial"/>
          <w:b/>
          <w:bCs/>
          <w:color w:val="000000" w:themeColor="text1"/>
          <w:sz w:val="21"/>
          <w:szCs w:val="21"/>
          <w:lang w:val="en-US" w:eastAsia="zh-CN"/>
          <w14:textFill>
            <w14:solidFill>
              <w14:schemeClr w14:val="tx1"/>
            </w14:solidFill>
          </w14:textFill>
        </w:rPr>
        <w:drawing>
          <wp:inline distT="0" distB="0" distL="114300" distR="114300">
            <wp:extent cx="5261610" cy="7155815"/>
            <wp:effectExtent l="0" t="0" r="0" b="0"/>
            <wp:docPr id="2" name="图片 2" descr="Hypoxia and psoriasis paper20260118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ypoxia and psoriasis paper20260118_04"/>
                    <pic:cNvPicPr>
                      <a:picLocks noChangeAspect="1"/>
                    </pic:cNvPicPr>
                  </pic:nvPicPr>
                  <pic:blipFill>
                    <a:blip r:embed="rId5"/>
                    <a:srcRect t="3832"/>
                    <a:stretch>
                      <a:fillRect/>
                    </a:stretch>
                  </pic:blipFill>
                  <pic:spPr>
                    <a:xfrm>
                      <a:off x="0" y="0"/>
                      <a:ext cx="5261610" cy="7155815"/>
                    </a:xfrm>
                    <a:prstGeom prst="rect">
                      <a:avLst/>
                    </a:prstGeom>
                  </pic:spPr>
                </pic:pic>
              </a:graphicData>
            </a:graphic>
          </wp:inline>
        </w:drawing>
      </w:r>
    </w:p>
    <w:p w14:paraId="006DFE83">
      <w:pPr>
        <w:widowControl/>
        <w:numPr>
          <w:ilvl w:val="0"/>
          <w:numId w:val="0"/>
        </w:numPr>
        <w:adjustRightInd w:val="0"/>
        <w:snapToGrid w:val="0"/>
        <w:spacing w:line="360" w:lineRule="auto"/>
        <w:jc w:val="both"/>
        <w:rPr>
          <w:rFonts w:hint="default" w:ascii="Arial" w:hAnsi="Arial" w:cs="Arial"/>
          <w:b/>
          <w:bCs/>
          <w:color w:val="000000" w:themeColor="text1"/>
          <w:sz w:val="21"/>
          <w:szCs w:val="21"/>
          <w:lang w:val="en-US" w:eastAsia="zh-CN"/>
          <w14:textFill>
            <w14:solidFill>
              <w14:schemeClr w14:val="tx1"/>
            </w14:solidFill>
          </w14:textFill>
        </w:rPr>
      </w:pPr>
    </w:p>
    <w:p w14:paraId="10488F0A">
      <w:pPr>
        <w:widowControl/>
        <w:numPr>
          <w:ilvl w:val="0"/>
          <w:numId w:val="0"/>
        </w:numPr>
        <w:adjustRightInd w:val="0"/>
        <w:snapToGrid w:val="0"/>
        <w:spacing w:line="360" w:lineRule="auto"/>
        <w:jc w:val="both"/>
        <w:rPr>
          <w:rFonts w:hint="default" w:ascii="Arial" w:hAnsi="Arial" w:cs="Arial"/>
          <w:b/>
          <w:bCs/>
          <w:color w:val="000000" w:themeColor="text1"/>
          <w:sz w:val="21"/>
          <w:szCs w:val="21"/>
          <w:lang w:val="en-US" w:eastAsia="zh-CN"/>
          <w14:textFill>
            <w14:solidFill>
              <w14:schemeClr w14:val="tx1"/>
            </w14:solidFill>
          </w14:textFill>
        </w:rPr>
      </w:pPr>
    </w:p>
    <w:p w14:paraId="12B4F984">
      <w:pPr>
        <w:widowControl/>
        <w:numPr>
          <w:ilvl w:val="0"/>
          <w:numId w:val="0"/>
        </w:numPr>
        <w:adjustRightInd w:val="0"/>
        <w:snapToGrid w:val="0"/>
        <w:spacing w:line="360" w:lineRule="auto"/>
        <w:jc w:val="both"/>
        <w:rPr>
          <w:rFonts w:hint="default" w:ascii="Arial" w:hAnsi="Arial" w:cs="Arial"/>
          <w:b/>
          <w:bCs/>
          <w:color w:val="000000" w:themeColor="text1"/>
          <w:sz w:val="21"/>
          <w:szCs w:val="21"/>
          <w:lang w:val="en-US" w:eastAsia="zh-CN"/>
          <w14:textFill>
            <w14:solidFill>
              <w14:schemeClr w14:val="tx1"/>
            </w14:solidFill>
          </w14:textFill>
        </w:rPr>
      </w:pPr>
    </w:p>
    <w:p w14:paraId="16030C71">
      <w:pPr>
        <w:widowControl/>
        <w:numPr>
          <w:ilvl w:val="0"/>
          <w:numId w:val="0"/>
        </w:numPr>
        <w:adjustRightInd w:val="0"/>
        <w:snapToGrid w:val="0"/>
        <w:spacing w:line="360" w:lineRule="auto"/>
        <w:jc w:val="both"/>
        <w:rPr>
          <w:rFonts w:hint="default" w:ascii="Arial" w:hAnsi="Arial" w:cs="Arial"/>
          <w:b/>
          <w:bCs/>
          <w:color w:val="000000" w:themeColor="text1"/>
          <w:sz w:val="21"/>
          <w:szCs w:val="21"/>
          <w:lang w:val="en-US" w:eastAsia="zh-CN"/>
          <w14:textFill>
            <w14:solidFill>
              <w14:schemeClr w14:val="tx1"/>
            </w14:solidFill>
          </w14:textFill>
        </w:rPr>
      </w:pPr>
    </w:p>
    <w:p w14:paraId="3C1DA0ED">
      <w:pPr>
        <w:widowControl/>
        <w:numPr>
          <w:ilvl w:val="0"/>
          <w:numId w:val="0"/>
        </w:numPr>
        <w:adjustRightInd w:val="0"/>
        <w:snapToGrid w:val="0"/>
        <w:spacing w:line="360" w:lineRule="auto"/>
        <w:jc w:val="both"/>
        <w:rPr>
          <w:rFonts w:hint="default" w:ascii="Arial" w:hAnsi="Arial" w:cs="Arial"/>
          <w:b/>
          <w:bCs/>
          <w:color w:val="000000" w:themeColor="text1"/>
          <w:sz w:val="21"/>
          <w:szCs w:val="21"/>
          <w:lang w:val="en-US" w:eastAsia="zh-CN"/>
          <w14:textFill>
            <w14:solidFill>
              <w14:schemeClr w14:val="tx1"/>
            </w14:solidFill>
          </w14:textFill>
        </w:rPr>
      </w:pPr>
    </w:p>
    <w:p w14:paraId="4FDB0189">
      <w:pPr>
        <w:widowControl/>
        <w:numPr>
          <w:ilvl w:val="0"/>
          <w:numId w:val="0"/>
        </w:numPr>
        <w:adjustRightInd w:val="0"/>
        <w:snapToGrid w:val="0"/>
        <w:spacing w:line="360" w:lineRule="auto"/>
        <w:jc w:val="both"/>
        <w:rPr>
          <w:rFonts w:hint="default" w:ascii="Arial" w:hAnsi="Arial" w:cs="Arial"/>
          <w:b/>
          <w:bCs/>
          <w:color w:val="000000" w:themeColor="text1"/>
          <w:sz w:val="21"/>
          <w:szCs w:val="21"/>
          <w:lang w:val="en-US" w:eastAsia="zh-CN"/>
          <w14:textFill>
            <w14:solidFill>
              <w14:schemeClr w14:val="tx1"/>
            </w14:solidFill>
          </w14:textFill>
        </w:rPr>
      </w:pPr>
    </w:p>
    <w:p w14:paraId="16567268">
      <w:pPr>
        <w:widowControl/>
        <w:numPr>
          <w:ilvl w:val="0"/>
          <w:numId w:val="0"/>
        </w:numPr>
        <w:adjustRightInd w:val="0"/>
        <w:snapToGrid w:val="0"/>
        <w:spacing w:line="360" w:lineRule="auto"/>
        <w:jc w:val="both"/>
        <w:rPr>
          <w:rFonts w:hint="default" w:ascii="Arial" w:hAnsi="Arial" w:cs="Arial"/>
          <w:b/>
          <w:bCs/>
          <w:color w:val="000000" w:themeColor="text1"/>
          <w:sz w:val="22"/>
          <w:szCs w:val="22"/>
          <w:lang w:val="en-US" w:eastAsia="zh-CN"/>
          <w14:textFill>
            <w14:solidFill>
              <w14:schemeClr w14:val="tx1"/>
            </w14:solidFill>
          </w14:textFill>
        </w:rPr>
      </w:pPr>
      <w:r>
        <w:rPr>
          <w:rFonts w:hint="default" w:ascii="Arial" w:hAnsi="Arial" w:cs="Arial"/>
          <w:b/>
          <w:bCs/>
          <w:color w:val="000000" w:themeColor="text1"/>
          <w:sz w:val="22"/>
          <w:szCs w:val="22"/>
          <w:lang w:val="en-US" w:eastAsia="zh-CN"/>
          <w14:textFill>
            <w14:solidFill>
              <w14:schemeClr w14:val="tx1"/>
            </w14:solidFill>
          </w14:textFill>
        </w:rPr>
        <w:t>Extended Data Fig. 2. Laser ablation of cutaneous vessels attenuates psoriasiform pathology in mice.</w:t>
      </w:r>
    </w:p>
    <w:p w14:paraId="510B3A05">
      <w:pPr>
        <w:widowControl/>
        <w:numPr>
          <w:ilvl w:val="0"/>
          <w:numId w:val="2"/>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Left: representative H&amp;E staining of dorsal skin from WT and Epas1-cKO mice after topical imiquimod (IMQ) treatment. Right: quantification of dorsal skin thickness in WT and Epas1-cKO mice. *p &lt; 0.05, n = 3.</w:t>
      </w:r>
    </w:p>
    <w:p w14:paraId="6108F096">
      <w:pPr>
        <w:widowControl/>
        <w:numPr>
          <w:ilvl w:val="0"/>
          <w:numId w:val="2"/>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Left: representative dual immunofluorescence for HIF1A and K14 in WT and Epas1-cKO skin. Right: quantification of HIF1A+ cells; n = 3. ns, not significant.</w:t>
      </w:r>
    </w:p>
    <w:p w14:paraId="6B3B480C">
      <w:pPr>
        <w:widowControl/>
        <w:numPr>
          <w:ilvl w:val="0"/>
          <w:numId w:val="2"/>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Top: representative photographs of dorsal skin from control, IMQ, and Laser groups. Bottom: corresponding H&amp;E images showing altered epidermal morphology; n = 5.</w:t>
      </w:r>
    </w:p>
    <w:p w14:paraId="45491DBA">
      <w:pPr>
        <w:widowControl/>
        <w:numPr>
          <w:ilvl w:val="0"/>
          <w:numId w:val="2"/>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Quantification of PASI score for control, IMQ and Laser groups. ****p &lt; 0.0001, n = 5.</w:t>
      </w:r>
    </w:p>
    <w:p w14:paraId="64B63AC3">
      <w:pPr>
        <w:widowControl/>
        <w:numPr>
          <w:ilvl w:val="0"/>
          <w:numId w:val="2"/>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Quantification of epidermal thickness in control, IMQ and Laser groups. ****p &lt; 0.0001, n = 5.</w:t>
      </w:r>
    </w:p>
    <w:p w14:paraId="4E9567CD">
      <w:pPr>
        <w:widowControl/>
        <w:numPr>
          <w:ilvl w:val="0"/>
          <w:numId w:val="2"/>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Left: representative immunofluorescence for BrdU, K14 and K16 in control, IMQ and Laser groups. Right: quantification of BrdU+ cells, K14+ layers and K16+ layers. n = 3; **p &lt; 0.01, ***p &lt; 0.001.</w:t>
      </w:r>
    </w:p>
    <w:p w14:paraId="0E062D3B">
      <w:pPr>
        <w:widowControl/>
        <w:numPr>
          <w:ilvl w:val="0"/>
          <w:numId w:val="2"/>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Left: volcano plot showing differential gene expression between Laser and IMQ groups. Right: pathway enrichment analysis of genes downregulated in the Laser group.</w:t>
      </w:r>
    </w:p>
    <w:p w14:paraId="1EF6B59E">
      <w:pPr>
        <w:widowControl/>
        <w:numPr>
          <w:ilvl w:val="0"/>
          <w:numId w:val="2"/>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Left: representative immunofluorescence for K14 and K16 in IMQ, VEGF</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R </w:t>
      </w:r>
      <w:r>
        <w:rPr>
          <w:rFonts w:hint="default" w:ascii="Arial" w:hAnsi="Arial" w:eastAsia="宋体" w:cs="Arial"/>
          <w:color w:val="000000" w:themeColor="text1"/>
          <w:kern w:val="0"/>
          <w:sz w:val="22"/>
          <w:szCs w:val="22"/>
          <w:lang w:val="en-US" w:eastAsia="zh-CN"/>
          <w14:textFill>
            <w14:solidFill>
              <w14:schemeClr w14:val="tx1"/>
            </w14:solidFill>
          </w14:textFill>
        </w:rPr>
        <w:t>inhibited (iVEGF) and VEGF</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R </w:t>
      </w:r>
      <w:r>
        <w:rPr>
          <w:rFonts w:hint="default" w:ascii="Arial" w:hAnsi="Arial" w:eastAsia="宋体" w:cs="Arial"/>
          <w:color w:val="000000" w:themeColor="text1"/>
          <w:kern w:val="0"/>
          <w:sz w:val="22"/>
          <w:szCs w:val="22"/>
          <w:lang w:val="en-US" w:eastAsia="zh-CN"/>
          <w14:textFill>
            <w14:solidFill>
              <w14:schemeClr w14:val="tx1"/>
            </w14:solidFill>
          </w14:textFill>
        </w:rPr>
        <w:t>activated (aVEGF) groups. Right: quantification of K14+ and K16+ layers; n = 3. *p &lt; 0.05, **p &lt; 0.01.</w:t>
      </w:r>
    </w:p>
    <w:p w14:paraId="1FFC796F">
      <w:pPr>
        <w:widowControl/>
        <w:numPr>
          <w:ilvl w:val="0"/>
          <w:numId w:val="0"/>
        </w:numPr>
        <w:adjustRightInd w:val="0"/>
        <w:snapToGrid w:val="0"/>
        <w:spacing w:line="360" w:lineRule="auto"/>
        <w:jc w:val="both"/>
        <w:rPr>
          <w:rFonts w:hint="default" w:ascii="Arial" w:hAnsi="Arial" w:eastAsia="宋体" w:cs="Arial"/>
          <w:color w:val="000000" w:themeColor="text1"/>
          <w:kern w:val="0"/>
          <w:sz w:val="22"/>
          <w:szCs w:val="22"/>
          <w:lang w:val="en-US" w:eastAsia="zh-CN"/>
          <w14:textFill>
            <w14:solidFill>
              <w14:schemeClr w14:val="tx1"/>
            </w14:solidFill>
          </w14:textFill>
        </w:rPr>
      </w:pPr>
    </w:p>
    <w:p w14:paraId="441AAF65">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2B750167">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187AE83A">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3ADD24D1">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78C96441">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6312BEC9">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2ED2E647">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4C385A4F">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76563DCD">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45BC914B">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408DF001">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76A853A3">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4BF75248">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1E053A63">
      <w:pPr>
        <w:numPr>
          <w:ilvl w:val="0"/>
          <w:numId w:val="0"/>
        </w:numPr>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r>
        <w:rPr>
          <w:rFonts w:hint="eastAsia" w:ascii="Arial" w:hAnsi="Arial" w:cs="Arial"/>
          <w:b/>
          <w:bCs/>
          <w:color w:val="000000" w:themeColor="text1"/>
          <w:sz w:val="22"/>
          <w:szCs w:val="22"/>
          <w14:textFill>
            <w14:solidFill>
              <w14:schemeClr w14:val="tx1"/>
            </w14:solidFill>
          </w14:textFill>
        </w:rPr>
        <w:t xml:space="preserve">Extended Data Fig. </w:t>
      </w:r>
      <w:r>
        <w:rPr>
          <w:rFonts w:hint="eastAsia" w:ascii="Arial" w:hAnsi="Arial" w:cs="Arial"/>
          <w:b/>
          <w:bCs/>
          <w:color w:val="000000" w:themeColor="text1"/>
          <w:sz w:val="22"/>
          <w:szCs w:val="22"/>
          <w:lang w:val="en-US" w:eastAsia="zh-CN"/>
          <w14:textFill>
            <w14:solidFill>
              <w14:schemeClr w14:val="tx1"/>
            </w14:solidFill>
          </w14:textFill>
        </w:rPr>
        <w:t>3</w:t>
      </w:r>
    </w:p>
    <w:p w14:paraId="1845B7C1">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57908DD8">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r>
        <w:rPr>
          <w:rFonts w:hint="default" w:ascii="Arial" w:hAnsi="Arial" w:eastAsia="宋体" w:cs="Arial"/>
          <w:b/>
          <w:bCs/>
          <w:color w:val="000000" w:themeColor="text1"/>
          <w:kern w:val="0"/>
          <w:sz w:val="21"/>
          <w:szCs w:val="21"/>
          <w:lang w:val="en-US" w:eastAsia="zh-CN"/>
          <w14:textFill>
            <w14:solidFill>
              <w14:schemeClr w14:val="tx1"/>
            </w14:solidFill>
          </w14:textFill>
        </w:rPr>
        <w:drawing>
          <wp:inline distT="0" distB="0" distL="114300" distR="114300">
            <wp:extent cx="5261610" cy="7178040"/>
            <wp:effectExtent l="0" t="0" r="0" b="0"/>
            <wp:docPr id="3" name="图片 3" descr="Hypoxia and psoriasis paper20260118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ypoxia and psoriasis paper20260118_06"/>
                    <pic:cNvPicPr>
                      <a:picLocks noChangeAspect="1"/>
                    </pic:cNvPicPr>
                  </pic:nvPicPr>
                  <pic:blipFill>
                    <a:blip r:embed="rId6"/>
                    <a:srcRect t="3533"/>
                    <a:stretch>
                      <a:fillRect/>
                    </a:stretch>
                  </pic:blipFill>
                  <pic:spPr>
                    <a:xfrm>
                      <a:off x="0" y="0"/>
                      <a:ext cx="5261610" cy="7178040"/>
                    </a:xfrm>
                    <a:prstGeom prst="rect">
                      <a:avLst/>
                    </a:prstGeom>
                  </pic:spPr>
                </pic:pic>
              </a:graphicData>
            </a:graphic>
          </wp:inline>
        </w:drawing>
      </w:r>
    </w:p>
    <w:p w14:paraId="17F7A23E">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475E6FF1">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6F2B83CE">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62AF3C3C">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5F7590DE">
      <w:pPr>
        <w:widowControl/>
        <w:numPr>
          <w:ilvl w:val="0"/>
          <w:numId w:val="0"/>
        </w:numPr>
        <w:adjustRightInd w:val="0"/>
        <w:snapToGrid w:val="0"/>
        <w:spacing w:line="360" w:lineRule="auto"/>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b/>
          <w:bCs/>
          <w:color w:val="000000" w:themeColor="text1"/>
          <w:kern w:val="0"/>
          <w:sz w:val="22"/>
          <w:szCs w:val="22"/>
          <w:lang w:val="en-US" w:eastAsia="zh-CN"/>
          <w14:textFill>
            <w14:solidFill>
              <w14:schemeClr w14:val="tx1"/>
            </w14:solidFill>
          </w14:textFill>
        </w:rPr>
        <w:t>Extended Data Fig. 3. Enhanced HBEGF–INSR signaling between fibroblasts and vascular endothelial cells in psoriatic skin.</w:t>
      </w:r>
    </w:p>
    <w:p w14:paraId="3E40EFD8">
      <w:pPr>
        <w:widowControl/>
        <w:numPr>
          <w:ilvl w:val="0"/>
          <w:numId w:val="3"/>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UMAP embedding of fibroblast (FB) and vascular endothelial cell (VEC) clusters from s</w:t>
      </w:r>
      <w:r>
        <w:rPr>
          <w:rFonts w:hint="eastAsia" w:ascii="Arial" w:hAnsi="Arial" w:eastAsia="宋体" w:cs="Arial"/>
          <w:color w:val="000000" w:themeColor="text1"/>
          <w:kern w:val="0"/>
          <w:sz w:val="22"/>
          <w:szCs w:val="22"/>
          <w:lang w:val="en-US" w:eastAsia="zh-CN"/>
          <w14:textFill>
            <w14:solidFill>
              <w14:schemeClr w14:val="tx1"/>
            </w14:solidFill>
          </w14:textFill>
        </w:rPr>
        <w:t>cRNA-</w:t>
      </w:r>
      <w:r>
        <w:rPr>
          <w:rFonts w:hint="default" w:ascii="Arial" w:hAnsi="Arial" w:eastAsia="宋体" w:cs="Arial"/>
          <w:color w:val="000000" w:themeColor="text1"/>
          <w:kern w:val="0"/>
          <w:sz w:val="22"/>
          <w:szCs w:val="22"/>
          <w:lang w:val="en-US" w:eastAsia="zh-CN"/>
          <w14:textFill>
            <w14:solidFill>
              <w14:schemeClr w14:val="tx1"/>
            </w14:solidFill>
          </w14:textFill>
        </w:rPr>
        <w:t>seq of human psoriatic and healthy skin, showing cluster composition and group</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 </w:t>
      </w:r>
      <w:r>
        <w:rPr>
          <w:rFonts w:hint="default" w:ascii="Arial" w:hAnsi="Arial" w:eastAsia="宋体" w:cs="Arial"/>
          <w:color w:val="000000" w:themeColor="text1"/>
          <w:kern w:val="0"/>
          <w:sz w:val="22"/>
          <w:szCs w:val="22"/>
          <w:lang w:val="en-US" w:eastAsia="zh-CN"/>
          <w14:textFill>
            <w14:solidFill>
              <w14:schemeClr w14:val="tx1"/>
            </w14:solidFill>
          </w14:textFill>
        </w:rPr>
        <w:t>specific changes.</w:t>
      </w:r>
    </w:p>
    <w:p w14:paraId="53F54A12">
      <w:pPr>
        <w:widowControl/>
        <w:numPr>
          <w:ilvl w:val="0"/>
          <w:numId w:val="3"/>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CellChat intercellular communication analysis comparing signaling pathways between FB and VEC in healthy control (HC) and psoriasis groups.</w:t>
      </w:r>
    </w:p>
    <w:p w14:paraId="588CEAF2">
      <w:pPr>
        <w:widowControl/>
        <w:numPr>
          <w:ilvl w:val="0"/>
          <w:numId w:val="3"/>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Heatmaps summarizing differences in FB–VEC interactions: number of interactions (left) and interaction strength (right).</w:t>
      </w:r>
    </w:p>
    <w:p w14:paraId="103207F8">
      <w:pPr>
        <w:widowControl/>
        <w:numPr>
          <w:ilvl w:val="0"/>
          <w:numId w:val="3"/>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Top: scRNA</w:t>
      </w:r>
      <w:r>
        <w:rPr>
          <w:rFonts w:hint="eastAsia" w:ascii="Arial" w:hAnsi="Arial" w:eastAsia="宋体" w:cs="Arial"/>
          <w:color w:val="000000" w:themeColor="text1"/>
          <w:kern w:val="0"/>
          <w:sz w:val="22"/>
          <w:szCs w:val="22"/>
          <w:lang w:val="en-US" w:eastAsia="zh-CN"/>
          <w14:textFill>
            <w14:solidFill>
              <w14:schemeClr w14:val="tx1"/>
            </w14:solidFill>
          </w14:textFill>
        </w:rPr>
        <w:t>-</w:t>
      </w:r>
      <w:r>
        <w:rPr>
          <w:rFonts w:hint="default" w:ascii="Arial" w:hAnsi="Arial" w:eastAsia="宋体" w:cs="Arial"/>
          <w:color w:val="000000" w:themeColor="text1"/>
          <w:kern w:val="0"/>
          <w:sz w:val="22"/>
          <w:szCs w:val="22"/>
          <w:lang w:val="en-US" w:eastAsia="zh-CN"/>
          <w14:textFill>
            <w14:solidFill>
              <w14:schemeClr w14:val="tx1"/>
            </w14:solidFill>
          </w14:textFill>
        </w:rPr>
        <w:t>seq feature plots showing FLT</w:t>
      </w:r>
      <w:r>
        <w:rPr>
          <w:rFonts w:hint="eastAsia" w:ascii="Arial" w:hAnsi="Arial" w:eastAsia="宋体" w:cs="Arial"/>
          <w:color w:val="000000" w:themeColor="text1"/>
          <w:kern w:val="0"/>
          <w:sz w:val="22"/>
          <w:szCs w:val="22"/>
          <w:lang w:val="en-US" w:eastAsia="zh-CN"/>
          <w14:textFill>
            <w14:solidFill>
              <w14:schemeClr w14:val="tx1"/>
            </w14:solidFill>
          </w14:textFill>
        </w:rPr>
        <w:t>4</w:t>
      </w:r>
      <w:bookmarkStart w:id="5" w:name="_GoBack"/>
      <w:bookmarkEnd w:id="5"/>
      <w:r>
        <w:rPr>
          <w:rFonts w:hint="default" w:ascii="Arial" w:hAnsi="Arial" w:eastAsia="宋体" w:cs="Arial"/>
          <w:color w:val="000000" w:themeColor="text1"/>
          <w:kern w:val="0"/>
          <w:sz w:val="22"/>
          <w:szCs w:val="22"/>
          <w:lang w:val="en-US" w:eastAsia="zh-CN"/>
          <w14:textFill>
            <w14:solidFill>
              <w14:schemeClr w14:val="tx1"/>
            </w14:solidFill>
          </w14:textFill>
        </w:rPr>
        <w:t xml:space="preserve"> expression in psoriasis and healthy samples. Bottom: spatial transcriptomics plots showing the spatial distribution of FLT1 in psoriatic versus healthy skin.</w:t>
      </w:r>
    </w:p>
    <w:p w14:paraId="1EE22876">
      <w:pPr>
        <w:widowControl/>
        <w:numPr>
          <w:ilvl w:val="0"/>
          <w:numId w:val="3"/>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 xml:space="preserve">Representative immunofluorescence images of </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FLT4 </w:t>
      </w:r>
      <w:r>
        <w:rPr>
          <w:rFonts w:hint="default" w:ascii="Arial" w:hAnsi="Arial" w:eastAsia="宋体" w:cs="Arial"/>
          <w:color w:val="000000" w:themeColor="text1"/>
          <w:kern w:val="0"/>
          <w:sz w:val="22"/>
          <w:szCs w:val="22"/>
          <w:lang w:val="en-US" w:eastAsia="zh-CN"/>
          <w14:textFill>
            <w14:solidFill>
              <w14:schemeClr w14:val="tx1"/>
            </w14:solidFill>
          </w14:textFill>
        </w:rPr>
        <w:t>expression in control and IMQ</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 </w:t>
      </w:r>
      <w:r>
        <w:rPr>
          <w:rFonts w:hint="default" w:ascii="Arial" w:hAnsi="Arial" w:eastAsia="宋体" w:cs="Arial"/>
          <w:color w:val="000000" w:themeColor="text1"/>
          <w:kern w:val="0"/>
          <w:sz w:val="22"/>
          <w:szCs w:val="22"/>
          <w:lang w:val="en-US" w:eastAsia="zh-CN"/>
          <w14:textFill>
            <w14:solidFill>
              <w14:schemeClr w14:val="tx1"/>
            </w14:solidFill>
          </w14:textFill>
        </w:rPr>
        <w:t>induced psoriasiform mouse skin, with accompanying quantification (n = 3).</w:t>
      </w:r>
    </w:p>
    <w:p w14:paraId="7536E0DB">
      <w:pPr>
        <w:widowControl/>
        <w:numPr>
          <w:ilvl w:val="0"/>
          <w:numId w:val="3"/>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GO biological process terms enriched among genes specifically upregulated in INSR + vascular endothelial cells, highlighting signaling pathways potentially involved in angiogenesis.</w:t>
      </w:r>
      <w:r>
        <w:rPr>
          <w:rFonts w:hint="default" w:ascii="Arial" w:hAnsi="Arial" w:eastAsia="宋体" w:cs="Arial"/>
          <w:color w:val="000000" w:themeColor="text1"/>
          <w:kern w:val="0"/>
          <w:sz w:val="22"/>
          <w:szCs w:val="22"/>
          <w:lang w:val="en-US" w:eastAsia="zh-CN"/>
          <w14:textFill>
            <w14:solidFill>
              <w14:schemeClr w14:val="tx1"/>
            </w14:solidFill>
          </w14:textFill>
        </w:rPr>
        <w:br w:type="textWrapping"/>
      </w:r>
    </w:p>
    <w:p w14:paraId="79FC1815">
      <w:pPr>
        <w:widowControl/>
        <w:numPr>
          <w:ilvl w:val="0"/>
          <w:numId w:val="0"/>
        </w:numPr>
        <w:adjustRightInd w:val="0"/>
        <w:snapToGrid w:val="0"/>
        <w:spacing w:line="360" w:lineRule="auto"/>
        <w:jc w:val="both"/>
        <w:rPr>
          <w:rFonts w:hint="default" w:ascii="Arial" w:hAnsi="Arial" w:eastAsia="宋体" w:cs="Arial"/>
          <w:color w:val="000000" w:themeColor="text1"/>
          <w:kern w:val="0"/>
          <w:sz w:val="22"/>
          <w:szCs w:val="22"/>
          <w:lang w:val="en-US" w:eastAsia="zh-CN"/>
          <w14:textFill>
            <w14:solidFill>
              <w14:schemeClr w14:val="tx1"/>
            </w14:solidFill>
          </w14:textFill>
        </w:rPr>
      </w:pPr>
    </w:p>
    <w:p w14:paraId="6D24A99C">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679070B3">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42B5FA95">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3FA8E331">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58F9FBE8">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0D890369">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5613FD4A">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3F0C03AF">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321EC9DF">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66EA0869">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73278B54">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26DB7234">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01CE5323">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7C9CFDBD">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22EF738B">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21824B39">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480235C5">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37614326">
      <w:pPr>
        <w:widowControl/>
        <w:numPr>
          <w:ilvl w:val="0"/>
          <w:numId w:val="0"/>
        </w:numPr>
        <w:adjustRightInd w:val="0"/>
        <w:snapToGrid w:val="0"/>
        <w:spacing w:line="360" w:lineRule="auto"/>
        <w:jc w:val="both"/>
        <w:rPr>
          <w:rFonts w:hint="default" w:ascii="Arial" w:hAnsi="Arial" w:eastAsia="宋体" w:cs="Arial"/>
          <w:color w:val="000000" w:themeColor="text1"/>
          <w:kern w:val="0"/>
          <w:sz w:val="21"/>
          <w:szCs w:val="21"/>
          <w:lang w:val="en-US" w:eastAsia="zh-CN"/>
          <w14:textFill>
            <w14:solidFill>
              <w14:schemeClr w14:val="tx1"/>
            </w14:solidFill>
          </w14:textFill>
        </w:rPr>
      </w:pPr>
    </w:p>
    <w:p w14:paraId="39D6C051">
      <w:pPr>
        <w:numPr>
          <w:ilvl w:val="0"/>
          <w:numId w:val="0"/>
        </w:numPr>
        <w:jc w:val="both"/>
        <w:rPr>
          <w:rFonts w:hint="eastAsia" w:ascii="Arial" w:hAnsi="Arial" w:cs="Arial"/>
          <w:b/>
          <w:bCs/>
          <w:color w:val="000000" w:themeColor="text1"/>
          <w:sz w:val="22"/>
          <w:szCs w:val="22"/>
          <w:lang w:val="en-US" w:eastAsia="zh-CN"/>
          <w14:textFill>
            <w14:solidFill>
              <w14:schemeClr w14:val="tx1"/>
            </w14:solidFill>
          </w14:textFill>
        </w:rPr>
      </w:pPr>
      <w:r>
        <w:rPr>
          <w:rFonts w:hint="eastAsia" w:ascii="Arial" w:hAnsi="Arial" w:cs="Arial"/>
          <w:b/>
          <w:bCs/>
          <w:color w:val="000000" w:themeColor="text1"/>
          <w:sz w:val="22"/>
          <w:szCs w:val="22"/>
          <w14:textFill>
            <w14:solidFill>
              <w14:schemeClr w14:val="tx1"/>
            </w14:solidFill>
          </w14:textFill>
        </w:rPr>
        <w:t xml:space="preserve">Extended Data Fig. </w:t>
      </w:r>
      <w:r>
        <w:rPr>
          <w:rFonts w:hint="eastAsia" w:ascii="Arial" w:hAnsi="Arial" w:cs="Arial"/>
          <w:b/>
          <w:bCs/>
          <w:color w:val="000000" w:themeColor="text1"/>
          <w:sz w:val="22"/>
          <w:szCs w:val="22"/>
          <w:lang w:val="en-US" w:eastAsia="zh-CN"/>
          <w14:textFill>
            <w14:solidFill>
              <w14:schemeClr w14:val="tx1"/>
            </w14:solidFill>
          </w14:textFill>
        </w:rPr>
        <w:t>4</w:t>
      </w:r>
    </w:p>
    <w:p w14:paraId="316558A0">
      <w:pPr>
        <w:numPr>
          <w:ilvl w:val="0"/>
          <w:numId w:val="0"/>
        </w:numPr>
        <w:jc w:val="both"/>
        <w:rPr>
          <w:rFonts w:hint="default" w:ascii="Arial" w:hAnsi="Arial" w:cs="Arial"/>
          <w:b/>
          <w:bCs/>
          <w:color w:val="000000" w:themeColor="text1"/>
          <w:sz w:val="22"/>
          <w:szCs w:val="22"/>
          <w:lang w:val="en-US" w:eastAsia="zh-CN"/>
          <w14:textFill>
            <w14:solidFill>
              <w14:schemeClr w14:val="tx1"/>
            </w14:solidFill>
          </w14:textFill>
        </w:rPr>
      </w:pPr>
    </w:p>
    <w:p w14:paraId="69D6F973">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r>
        <w:rPr>
          <w:rFonts w:hint="default" w:ascii="Arial" w:hAnsi="Arial" w:eastAsia="宋体" w:cs="Arial"/>
          <w:b/>
          <w:bCs/>
          <w:color w:val="000000" w:themeColor="text1"/>
          <w:kern w:val="0"/>
          <w:sz w:val="21"/>
          <w:szCs w:val="21"/>
          <w:lang w:val="en-US" w:eastAsia="zh-CN"/>
          <w14:textFill>
            <w14:solidFill>
              <w14:schemeClr w14:val="tx1"/>
            </w14:solidFill>
          </w14:textFill>
        </w:rPr>
        <w:drawing>
          <wp:inline distT="0" distB="0" distL="114300" distR="114300">
            <wp:extent cx="5261610" cy="7189470"/>
            <wp:effectExtent l="0" t="0" r="0" b="0"/>
            <wp:docPr id="9" name="图片 9" descr="Hypoxia and psoriasis paper20260118_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ypoxia and psoriasis paper20260118_08(2)"/>
                    <pic:cNvPicPr>
                      <a:picLocks noChangeAspect="1"/>
                    </pic:cNvPicPr>
                  </pic:nvPicPr>
                  <pic:blipFill>
                    <a:blip r:embed="rId7"/>
                    <a:srcRect t="3379"/>
                    <a:stretch>
                      <a:fillRect/>
                    </a:stretch>
                  </pic:blipFill>
                  <pic:spPr>
                    <a:xfrm>
                      <a:off x="0" y="0"/>
                      <a:ext cx="5261610" cy="7189470"/>
                    </a:xfrm>
                    <a:prstGeom prst="rect">
                      <a:avLst/>
                    </a:prstGeom>
                  </pic:spPr>
                </pic:pic>
              </a:graphicData>
            </a:graphic>
          </wp:inline>
        </w:drawing>
      </w:r>
    </w:p>
    <w:p w14:paraId="19CC6930">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103E4D25">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4B222E17">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24A18969">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5D031DDD">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345E4DF1">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39EC5FF6">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2"/>
          <w:szCs w:val="22"/>
          <w:lang w:val="en-US" w:eastAsia="zh-CN"/>
          <w14:textFill>
            <w14:solidFill>
              <w14:schemeClr w14:val="tx1"/>
            </w14:solidFill>
          </w14:textFill>
        </w:rPr>
      </w:pPr>
      <w:r>
        <w:rPr>
          <w:rFonts w:hint="default" w:ascii="Arial" w:hAnsi="Arial" w:eastAsia="宋体" w:cs="Arial"/>
          <w:b/>
          <w:bCs/>
          <w:color w:val="000000" w:themeColor="text1"/>
          <w:kern w:val="0"/>
          <w:sz w:val="22"/>
          <w:szCs w:val="22"/>
          <w:lang w:val="en-US" w:eastAsia="zh-CN"/>
          <w14:textFill>
            <w14:solidFill>
              <w14:schemeClr w14:val="tx1"/>
            </w14:solidFill>
          </w14:textFill>
        </w:rPr>
        <w:t>Extended Data Fig. 4 Inhibition of the NAMPT–INSR axis attenuates psoriasiform phenotypes in mouse models and skin organoids.</w:t>
      </w:r>
    </w:p>
    <w:p w14:paraId="6F628BDC">
      <w:pPr>
        <w:widowControl/>
        <w:numPr>
          <w:ilvl w:val="0"/>
          <w:numId w:val="4"/>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UMAP embedding of single-cell transcriptomes from imiquimod (IMQ)-treated psoriasiform mice and control mice, showing major epidermal and stromal cell clusters. Abbreviations: BC, basal cells; SMC, smooth muscle cells; VEC, vascular endothelial cells; MAC, macrophages; SC, Schwann cells; LEC, lymphatic endothelial cells; DC, dendritic cells; FB, fibroblasts; PFB, proliferative fibroblasts; TC, T cells; SBC, suprabasal cells.</w:t>
      </w:r>
    </w:p>
    <w:p w14:paraId="4E09E108">
      <w:pPr>
        <w:widowControl/>
        <w:numPr>
          <w:ilvl w:val="0"/>
          <w:numId w:val="4"/>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Bubble plot displaying representative marker genes for each annotated cluster</w:t>
      </w:r>
    </w:p>
    <w:p w14:paraId="54430A90">
      <w:pPr>
        <w:widowControl/>
        <w:numPr>
          <w:ilvl w:val="0"/>
          <w:numId w:val="4"/>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Violin plots showing expression changes of NAMPT (upper panel) and INSR (lower panel) across annotated cell populations in control versus IMQ-treated groups.</w:t>
      </w:r>
    </w:p>
    <w:p w14:paraId="1B6B277A">
      <w:pPr>
        <w:widowControl/>
        <w:numPr>
          <w:ilvl w:val="0"/>
          <w:numId w:val="4"/>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 xml:space="preserve">RT-qPCR quantification of </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Nampt </w:t>
      </w:r>
      <w:r>
        <w:rPr>
          <w:rFonts w:hint="default" w:ascii="Arial" w:hAnsi="Arial" w:eastAsia="宋体" w:cs="Arial"/>
          <w:color w:val="000000" w:themeColor="text1"/>
          <w:kern w:val="0"/>
          <w:sz w:val="22"/>
          <w:szCs w:val="22"/>
          <w:lang w:val="en-US" w:eastAsia="zh-CN"/>
          <w14:textFill>
            <w14:solidFill>
              <w14:schemeClr w14:val="tx1"/>
            </w14:solidFill>
          </w14:textFill>
        </w:rPr>
        <w:t>and I</w:t>
      </w:r>
      <w:r>
        <w:rPr>
          <w:rFonts w:hint="eastAsia" w:ascii="Arial" w:hAnsi="Arial" w:eastAsia="宋体" w:cs="Arial"/>
          <w:color w:val="000000" w:themeColor="text1"/>
          <w:kern w:val="0"/>
          <w:sz w:val="22"/>
          <w:szCs w:val="22"/>
          <w:lang w:val="en-US" w:eastAsia="zh-CN"/>
          <w14:textFill>
            <w14:solidFill>
              <w14:schemeClr w14:val="tx1"/>
            </w14:solidFill>
          </w14:textFill>
        </w:rPr>
        <w:t>nsr</w:t>
      </w:r>
      <w:r>
        <w:rPr>
          <w:rFonts w:hint="default" w:ascii="Arial" w:hAnsi="Arial" w:eastAsia="宋体" w:cs="Arial"/>
          <w:color w:val="000000" w:themeColor="text1"/>
          <w:kern w:val="0"/>
          <w:sz w:val="22"/>
          <w:szCs w:val="22"/>
          <w:lang w:val="en-US" w:eastAsia="zh-CN"/>
          <w14:textFill>
            <w14:solidFill>
              <w14:schemeClr w14:val="tx1"/>
            </w14:solidFill>
          </w14:textFill>
        </w:rPr>
        <w:t xml:space="preserve"> expression following inhibition of HIF1A or HIF2A; n = 4. *</w:t>
      </w:r>
      <w:r>
        <w:rPr>
          <w:rFonts w:hint="eastAsia" w:ascii="Arial" w:hAnsi="Arial" w:eastAsia="宋体" w:cs="Arial"/>
          <w:color w:val="000000" w:themeColor="text1"/>
          <w:kern w:val="0"/>
          <w:sz w:val="22"/>
          <w:szCs w:val="22"/>
          <w:lang w:val="en-US" w:eastAsia="zh-CN"/>
          <w14:textFill>
            <w14:solidFill>
              <w14:schemeClr w14:val="tx1"/>
            </w14:solidFill>
          </w14:textFill>
        </w:rPr>
        <w:t>p</w:t>
      </w:r>
      <w:r>
        <w:rPr>
          <w:rFonts w:hint="default" w:ascii="Arial" w:hAnsi="Arial" w:eastAsia="宋体" w:cs="Arial"/>
          <w:color w:val="000000" w:themeColor="text1"/>
          <w:kern w:val="0"/>
          <w:sz w:val="22"/>
          <w:szCs w:val="22"/>
          <w:lang w:val="en-US" w:eastAsia="zh-CN"/>
          <w14:textFill>
            <w14:solidFill>
              <w14:schemeClr w14:val="tx1"/>
            </w14:solidFill>
          </w14:textFill>
        </w:rPr>
        <w:t xml:space="preserve"> &lt; 0.05; ns, not significant.</w:t>
      </w:r>
    </w:p>
    <w:p w14:paraId="345A2D77">
      <w:pPr>
        <w:widowControl/>
        <w:numPr>
          <w:ilvl w:val="0"/>
          <w:numId w:val="4"/>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Schematic of the experimental design for NAMPT–INSR pathway perturbation in vivo. Dorsal skin was treated daily with IMQ for 7 days, and samples were collected on day 8. Groups: IMQ, IMQ treatment only; N-RP, IMQ + recombinant NAMPT protein; N-RP + iINSR, IMQ + recombinant NAMPT protein + INSR inhibitor.</w:t>
      </w:r>
    </w:p>
    <w:p w14:paraId="5449FEC2">
      <w:pPr>
        <w:widowControl/>
        <w:numPr>
          <w:ilvl w:val="0"/>
          <w:numId w:val="4"/>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Left: Representative H&amp;E-stained images of dorsal skin from IMQ-treated, N-RP (recombinant NAMPT)-treated, and N-RP-iINSR (recombinant NAMPT + INSR inhibitor)-treated groups. Right: Quantification of epidermal thickness; n = 3 biologically independent samples. *</w:t>
      </w:r>
      <w:r>
        <w:rPr>
          <w:rFonts w:hint="eastAsia" w:ascii="Arial" w:hAnsi="Arial" w:eastAsia="宋体" w:cs="Arial"/>
          <w:color w:val="000000" w:themeColor="text1"/>
          <w:kern w:val="0"/>
          <w:sz w:val="22"/>
          <w:szCs w:val="22"/>
          <w:lang w:val="en-US" w:eastAsia="zh-CN"/>
          <w14:textFill>
            <w14:solidFill>
              <w14:schemeClr w14:val="tx1"/>
            </w14:solidFill>
          </w14:textFill>
        </w:rPr>
        <w:t>p</w:t>
      </w:r>
      <w:r>
        <w:rPr>
          <w:rFonts w:hint="default" w:ascii="Arial" w:hAnsi="Arial" w:eastAsia="宋体" w:cs="Arial"/>
          <w:color w:val="000000" w:themeColor="text1"/>
          <w:kern w:val="0"/>
          <w:sz w:val="22"/>
          <w:szCs w:val="22"/>
          <w:lang w:val="en-US" w:eastAsia="zh-CN"/>
          <w14:textFill>
            <w14:solidFill>
              <w14:schemeClr w14:val="tx1"/>
            </w14:solidFill>
          </w14:textFill>
        </w:rPr>
        <w:t xml:space="preserve"> &lt; 0.05, **</w:t>
      </w:r>
      <w:r>
        <w:rPr>
          <w:rFonts w:hint="eastAsia" w:ascii="Arial" w:hAnsi="Arial" w:eastAsia="宋体" w:cs="Arial"/>
          <w:color w:val="000000" w:themeColor="text1"/>
          <w:kern w:val="0"/>
          <w:sz w:val="22"/>
          <w:szCs w:val="22"/>
          <w:lang w:val="en-US" w:eastAsia="zh-CN"/>
          <w14:textFill>
            <w14:solidFill>
              <w14:schemeClr w14:val="tx1"/>
            </w14:solidFill>
          </w14:textFill>
        </w:rPr>
        <w:t>p</w:t>
      </w:r>
      <w:r>
        <w:rPr>
          <w:rFonts w:hint="default" w:ascii="Arial" w:hAnsi="Arial" w:eastAsia="宋体" w:cs="Arial"/>
          <w:color w:val="000000" w:themeColor="text1"/>
          <w:kern w:val="0"/>
          <w:sz w:val="22"/>
          <w:szCs w:val="22"/>
          <w:lang w:val="en-US" w:eastAsia="zh-CN"/>
          <w14:textFill>
            <w14:solidFill>
              <w14:schemeClr w14:val="tx1"/>
            </w14:solidFill>
          </w14:textFill>
        </w:rPr>
        <w:t xml:space="preserve"> &lt; 0.01.</w:t>
      </w:r>
    </w:p>
    <w:p w14:paraId="2DF37B8C">
      <w:pPr>
        <w:widowControl/>
        <w:numPr>
          <w:ilvl w:val="0"/>
          <w:numId w:val="4"/>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Quantification of K14 layer number (left) and CD31 vessel counts (right) in IMQ-treated, N-RP-treated, and N-RP-iINSR-treated groups; n = 3 biologically independent samples. *</w:t>
      </w:r>
      <w:r>
        <w:rPr>
          <w:rFonts w:hint="eastAsia" w:ascii="Arial" w:hAnsi="Arial" w:eastAsia="宋体" w:cs="Arial"/>
          <w:color w:val="000000" w:themeColor="text1"/>
          <w:kern w:val="0"/>
          <w:sz w:val="22"/>
          <w:szCs w:val="22"/>
          <w:lang w:val="en-US" w:eastAsia="zh-CN"/>
          <w14:textFill>
            <w14:solidFill>
              <w14:schemeClr w14:val="tx1"/>
            </w14:solidFill>
          </w14:textFill>
        </w:rPr>
        <w:t>p</w:t>
      </w:r>
      <w:r>
        <w:rPr>
          <w:rFonts w:hint="default" w:ascii="Arial" w:hAnsi="Arial" w:eastAsia="宋体" w:cs="Arial"/>
          <w:color w:val="000000" w:themeColor="text1"/>
          <w:kern w:val="0"/>
          <w:sz w:val="22"/>
          <w:szCs w:val="22"/>
          <w:lang w:val="en-US" w:eastAsia="zh-CN"/>
          <w14:textFill>
            <w14:solidFill>
              <w14:schemeClr w14:val="tx1"/>
            </w14:solidFill>
          </w14:textFill>
        </w:rPr>
        <w:t xml:space="preserve"> &lt; 0.05, **</w:t>
      </w:r>
      <w:r>
        <w:rPr>
          <w:rFonts w:hint="eastAsia" w:ascii="Arial" w:hAnsi="Arial" w:eastAsia="宋体" w:cs="Arial"/>
          <w:color w:val="000000" w:themeColor="text1"/>
          <w:kern w:val="0"/>
          <w:sz w:val="22"/>
          <w:szCs w:val="22"/>
          <w:lang w:val="en-US" w:eastAsia="zh-CN"/>
          <w14:textFill>
            <w14:solidFill>
              <w14:schemeClr w14:val="tx1"/>
            </w14:solidFill>
          </w14:textFill>
        </w:rPr>
        <w:t>p</w:t>
      </w:r>
      <w:r>
        <w:rPr>
          <w:rFonts w:hint="default" w:ascii="Arial" w:hAnsi="Arial" w:eastAsia="宋体" w:cs="Arial"/>
          <w:color w:val="000000" w:themeColor="text1"/>
          <w:kern w:val="0"/>
          <w:sz w:val="22"/>
          <w:szCs w:val="22"/>
          <w:lang w:val="en-US" w:eastAsia="zh-CN"/>
          <w14:textFill>
            <w14:solidFill>
              <w14:schemeClr w14:val="tx1"/>
            </w14:solidFill>
          </w14:textFill>
        </w:rPr>
        <w:t xml:space="preserve"> &lt; 0.01; ns, not significant.</w:t>
      </w:r>
    </w:p>
    <w:p w14:paraId="4544B12D">
      <w:pPr>
        <w:widowControl/>
        <w:numPr>
          <w:ilvl w:val="0"/>
          <w:numId w:val="4"/>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Workflow schematic for constructing psoriasis-like skin organoids. On day 0 (D0), neonatal mouse skin was collected, and dermal and epidermal cells were isolated and co-cultured for self-</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organize </w:t>
      </w:r>
      <w:r>
        <w:rPr>
          <w:rFonts w:hint="default" w:ascii="Arial" w:hAnsi="Arial" w:eastAsia="宋体" w:cs="Arial"/>
          <w:color w:val="000000" w:themeColor="text1"/>
          <w:kern w:val="0"/>
          <w:sz w:val="22"/>
          <w:szCs w:val="22"/>
          <w:lang w:val="en-US" w:eastAsia="zh-CN"/>
          <w14:textFill>
            <w14:solidFill>
              <w14:schemeClr w14:val="tx1"/>
            </w14:solidFill>
          </w14:textFill>
        </w:rPr>
        <w:t>in M5 medium. On day 3 (D3), recombinant NAMPT protein and/or INSR inhibitor were added. Samples were collected on day 8 (D8).</w:t>
      </w:r>
    </w:p>
    <w:p w14:paraId="7CC5BC2F">
      <w:pPr>
        <w:widowControl/>
        <w:numPr>
          <w:ilvl w:val="0"/>
          <w:numId w:val="4"/>
        </w:numPr>
        <w:adjustRightInd w:val="0"/>
        <w:snapToGrid w:val="0"/>
        <w:spacing w:line="360" w:lineRule="auto"/>
        <w:ind w:left="425" w:leftChars="0" w:hanging="425" w:firstLineChars="0"/>
        <w:jc w:val="both"/>
        <w:rPr>
          <w:rFonts w:hint="default" w:ascii="Arial" w:hAnsi="Arial" w:eastAsia="宋体" w:cs="Arial"/>
          <w:color w:val="000000" w:themeColor="text1"/>
          <w:kern w:val="0"/>
          <w:sz w:val="22"/>
          <w:szCs w:val="22"/>
          <w:lang w:val="en-US" w:eastAsia="zh-CN"/>
          <w14:textFill>
            <w14:solidFill>
              <w14:schemeClr w14:val="tx1"/>
            </w14:solidFill>
          </w14:textFill>
        </w:rPr>
      </w:pPr>
      <w:r>
        <w:rPr>
          <w:rFonts w:hint="default" w:ascii="Arial" w:hAnsi="Arial" w:eastAsia="宋体" w:cs="Arial"/>
          <w:color w:val="000000" w:themeColor="text1"/>
          <w:kern w:val="0"/>
          <w:sz w:val="22"/>
          <w:szCs w:val="22"/>
          <w:lang w:val="en-US" w:eastAsia="zh-CN"/>
          <w14:textFill>
            <w14:solidFill>
              <w14:schemeClr w14:val="tx1"/>
            </w14:solidFill>
          </w14:textFill>
        </w:rPr>
        <w:t>Top: H&amp;E-stained images of skin organoids treated with M5 medium (control), N-RP, or N-RP-iINSR. Bottom: Representative immunofluorescence images for PCNA (marking proliferating cells) across treatment conditions; white dashed lines indicate the dermal–epidermal junction. n = 3 biologically independent samples.</w:t>
      </w:r>
    </w:p>
    <w:p w14:paraId="324911E0">
      <w:pPr>
        <w:numPr>
          <w:ilvl w:val="0"/>
          <w:numId w:val="0"/>
        </w:numPr>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r>
        <w:rPr>
          <w:rFonts w:hint="eastAsia" w:ascii="Arial" w:hAnsi="Arial" w:cs="Arial"/>
          <w:b/>
          <w:bCs/>
          <w:color w:val="000000" w:themeColor="text1"/>
          <w:sz w:val="22"/>
          <w:szCs w:val="22"/>
          <w14:textFill>
            <w14:solidFill>
              <w14:schemeClr w14:val="tx1"/>
            </w14:solidFill>
          </w14:textFill>
        </w:rPr>
        <w:t xml:space="preserve">Extended Data Fig. </w:t>
      </w:r>
      <w:r>
        <w:rPr>
          <w:rFonts w:hint="eastAsia" w:ascii="Arial" w:hAnsi="Arial" w:cs="Arial"/>
          <w:b/>
          <w:bCs/>
          <w:color w:val="000000" w:themeColor="text1"/>
          <w:sz w:val="22"/>
          <w:szCs w:val="22"/>
          <w:lang w:val="en-US" w:eastAsia="zh-CN"/>
          <w14:textFill>
            <w14:solidFill>
              <w14:schemeClr w14:val="tx1"/>
            </w14:solidFill>
          </w14:textFill>
        </w:rPr>
        <w:t>5</w:t>
      </w:r>
    </w:p>
    <w:p w14:paraId="1A42444C">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r>
        <w:rPr>
          <w:rFonts w:hint="default" w:ascii="Arial" w:hAnsi="Arial" w:eastAsia="宋体" w:cs="Arial"/>
          <w:b/>
          <w:bCs/>
          <w:color w:val="000000" w:themeColor="text1"/>
          <w:kern w:val="0"/>
          <w:sz w:val="21"/>
          <w:szCs w:val="21"/>
          <w:lang w:val="en-US" w:eastAsia="zh-CN"/>
          <w14:textFill>
            <w14:solidFill>
              <w14:schemeClr w14:val="tx1"/>
            </w14:solidFill>
          </w14:textFill>
        </w:rPr>
        <w:drawing>
          <wp:inline distT="0" distB="0" distL="114300" distR="114300">
            <wp:extent cx="5261610" cy="7043420"/>
            <wp:effectExtent l="0" t="0" r="0" b="0"/>
            <wp:docPr id="5" name="图片 5" descr="Hypoxia and psoriasis paper20260118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ypoxia and psoriasis paper20260118_10"/>
                    <pic:cNvPicPr>
                      <a:picLocks noChangeAspect="1"/>
                    </pic:cNvPicPr>
                  </pic:nvPicPr>
                  <pic:blipFill>
                    <a:blip r:embed="rId8"/>
                    <a:srcRect t="5342"/>
                    <a:stretch>
                      <a:fillRect/>
                    </a:stretch>
                  </pic:blipFill>
                  <pic:spPr>
                    <a:xfrm>
                      <a:off x="0" y="0"/>
                      <a:ext cx="5261610" cy="7043420"/>
                    </a:xfrm>
                    <a:prstGeom prst="rect">
                      <a:avLst/>
                    </a:prstGeom>
                  </pic:spPr>
                </pic:pic>
              </a:graphicData>
            </a:graphic>
          </wp:inline>
        </w:drawing>
      </w:r>
    </w:p>
    <w:p w14:paraId="0A540671">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08E7506E">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0D5CDCB6">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232D88B9">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0CDAE36C">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1"/>
          <w:szCs w:val="21"/>
          <w:lang w:val="en-US" w:eastAsia="zh-CN"/>
          <w14:textFill>
            <w14:solidFill>
              <w14:schemeClr w14:val="tx1"/>
            </w14:solidFill>
          </w14:textFill>
        </w:rPr>
      </w:pPr>
    </w:p>
    <w:p w14:paraId="37FACC5D">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5EE8C26C">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2"/>
          <w:szCs w:val="22"/>
          <w:lang w:val="en-US" w:eastAsia="zh-CN"/>
          <w14:textFill>
            <w14:solidFill>
              <w14:schemeClr w14:val="tx1"/>
            </w14:solidFill>
          </w14:textFill>
        </w:rPr>
      </w:pPr>
      <w:r>
        <w:rPr>
          <w:rFonts w:hint="eastAsia" w:ascii="Arial" w:hAnsi="Arial" w:eastAsia="宋体" w:cs="Arial"/>
          <w:b/>
          <w:bCs/>
          <w:color w:val="000000" w:themeColor="text1"/>
          <w:kern w:val="0"/>
          <w:sz w:val="22"/>
          <w:szCs w:val="22"/>
          <w:lang w:val="en-US" w:eastAsia="zh-CN"/>
          <w14:textFill>
            <w14:solidFill>
              <w14:schemeClr w14:val="tx1"/>
            </w14:solidFill>
          </w14:textFill>
        </w:rPr>
        <w:t>Extended Data Fig. 5. The HBEGF-INSR axis-mediated crosstalk between vascular endothelial cells and basal cells is enhanced in psoriatic conditions.</w:t>
      </w:r>
    </w:p>
    <w:p w14:paraId="0618E217">
      <w:pPr>
        <w:widowControl/>
        <w:numPr>
          <w:ilvl w:val="0"/>
          <w:numId w:val="5"/>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2"/>
          <w:szCs w:val="22"/>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Circle plot showing the comparison of the number of intercellular interactions among lymphatic endothelial cells (LEC), VEC and BC between psoriatic and healthy groups.</w:t>
      </w:r>
    </w:p>
    <w:p w14:paraId="458D9A31">
      <w:pPr>
        <w:widowControl/>
        <w:numPr>
          <w:ilvl w:val="0"/>
          <w:numId w:val="5"/>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2"/>
          <w:szCs w:val="22"/>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Heatmap displaying the strength of intercellular interactions of the EGF signaling pathway across different cell populations between healthy control (HC) and psoriasis (PsO) groups.</w:t>
      </w:r>
    </w:p>
    <w:p w14:paraId="782D69F4">
      <w:pPr>
        <w:widowControl/>
        <w:numPr>
          <w:ilvl w:val="0"/>
          <w:numId w:val="5"/>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2"/>
          <w:szCs w:val="22"/>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Stacked violin plots showing the expression of EGF pathway-related genes in HC and PsO groups.</w:t>
      </w:r>
    </w:p>
    <w:p w14:paraId="1D485870">
      <w:pPr>
        <w:widowControl/>
        <w:numPr>
          <w:ilvl w:val="0"/>
          <w:numId w:val="5"/>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2"/>
          <w:szCs w:val="22"/>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Bulk RNA-seq analysis showing the expression of EGF pathway genes in healthy and psoriatic skin samples; n &gt; 3 biologically independent samples, ***p &lt; 0.001, ****p&lt;0.0001.</w:t>
      </w:r>
    </w:p>
    <w:p w14:paraId="137DB47B">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2"/>
          <w:szCs w:val="22"/>
          <w:lang w:val="en-US" w:eastAsia="zh-CN"/>
          <w14:textFill>
            <w14:solidFill>
              <w14:schemeClr w14:val="tx1"/>
            </w14:solidFill>
          </w14:textFill>
        </w:rPr>
      </w:pPr>
    </w:p>
    <w:p w14:paraId="4C3525DD">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2"/>
          <w:szCs w:val="22"/>
          <w:lang w:val="en-US" w:eastAsia="zh-CN"/>
          <w14:textFill>
            <w14:solidFill>
              <w14:schemeClr w14:val="tx1"/>
            </w14:solidFill>
          </w14:textFill>
        </w:rPr>
      </w:pPr>
    </w:p>
    <w:p w14:paraId="5438BE44">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044FBE3A">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56D8C6FC">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25460855">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73803F46">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0A2EF2E5">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48B39C20">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63AFAA9E">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51586DB8">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295BEDB6">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3B2105F4">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7BA9BDAB">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75A95DFB">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3C191805">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44A3929F">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6B45C111">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77027C8C">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2D038C82">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5A7FE0E0">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22517F4C">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76423149">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11E13509">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2562B308">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63DF6E15">
      <w:pPr>
        <w:numPr>
          <w:ilvl w:val="0"/>
          <w:numId w:val="0"/>
        </w:numPr>
        <w:jc w:val="both"/>
        <w:rPr>
          <w:rFonts w:hint="eastAsia" w:ascii="Arial" w:hAnsi="Arial" w:cs="Arial" w:eastAsiaTheme="minorEastAsia"/>
          <w:b/>
          <w:bCs/>
          <w:color w:val="000000" w:themeColor="text1"/>
          <w:sz w:val="22"/>
          <w:szCs w:val="22"/>
          <w:lang w:val="en-US" w:eastAsia="zh-CN"/>
          <w14:textFill>
            <w14:solidFill>
              <w14:schemeClr w14:val="tx1"/>
            </w14:solidFill>
          </w14:textFill>
        </w:rPr>
      </w:pPr>
      <w:r>
        <w:rPr>
          <w:rFonts w:hint="eastAsia" w:ascii="Arial" w:hAnsi="Arial" w:cs="Arial"/>
          <w:b/>
          <w:bCs/>
          <w:color w:val="000000" w:themeColor="text1"/>
          <w:sz w:val="22"/>
          <w:szCs w:val="22"/>
          <w14:textFill>
            <w14:solidFill>
              <w14:schemeClr w14:val="tx1"/>
            </w14:solidFill>
          </w14:textFill>
        </w:rPr>
        <w:t>Extended Data Fig.</w:t>
      </w:r>
      <w:r>
        <w:rPr>
          <w:rFonts w:hint="eastAsia" w:ascii="Arial" w:hAnsi="Arial" w:cs="Arial"/>
          <w:b/>
          <w:bCs/>
          <w:color w:val="000000" w:themeColor="text1"/>
          <w:sz w:val="22"/>
          <w:szCs w:val="22"/>
          <w:lang w:val="en-US" w:eastAsia="zh-CN"/>
          <w14:textFill>
            <w14:solidFill>
              <w14:schemeClr w14:val="tx1"/>
            </w14:solidFill>
          </w14:textFill>
        </w:rPr>
        <w:t xml:space="preserve"> 6</w:t>
      </w:r>
    </w:p>
    <w:p w14:paraId="21EA9DDD">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r>
        <w:rPr>
          <w:rFonts w:hint="eastAsia" w:ascii="Arial" w:hAnsi="Arial" w:eastAsia="宋体" w:cs="Arial"/>
          <w:b/>
          <w:bCs/>
          <w:color w:val="000000" w:themeColor="text1"/>
          <w:kern w:val="0"/>
          <w:sz w:val="21"/>
          <w:szCs w:val="21"/>
          <w:lang w:val="en-US" w:eastAsia="zh-CN"/>
          <w14:textFill>
            <w14:solidFill>
              <w14:schemeClr w14:val="tx1"/>
            </w14:solidFill>
          </w14:textFill>
        </w:rPr>
        <w:drawing>
          <wp:inline distT="0" distB="0" distL="114300" distR="114300">
            <wp:extent cx="5261610" cy="7130415"/>
            <wp:effectExtent l="0" t="0" r="0" b="0"/>
            <wp:docPr id="8" name="图片 8" descr="Hypoxia and psoriasis paper20260118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ypoxia and psoriasis paper20260118_12(1)"/>
                    <pic:cNvPicPr>
                      <a:picLocks noChangeAspect="1"/>
                    </pic:cNvPicPr>
                  </pic:nvPicPr>
                  <pic:blipFill>
                    <a:blip r:embed="rId9"/>
                    <a:srcRect t="4173"/>
                    <a:stretch>
                      <a:fillRect/>
                    </a:stretch>
                  </pic:blipFill>
                  <pic:spPr>
                    <a:xfrm>
                      <a:off x="0" y="0"/>
                      <a:ext cx="5261610" cy="7130415"/>
                    </a:xfrm>
                    <a:prstGeom prst="rect">
                      <a:avLst/>
                    </a:prstGeom>
                  </pic:spPr>
                </pic:pic>
              </a:graphicData>
            </a:graphic>
          </wp:inline>
        </w:drawing>
      </w:r>
    </w:p>
    <w:p w14:paraId="06CA894D">
      <w:pPr>
        <w:widowControl/>
        <w:numPr>
          <w:ilvl w:val="0"/>
          <w:numId w:val="0"/>
        </w:numPr>
        <w:adjustRightInd w:val="0"/>
        <w:snapToGrid w:val="0"/>
        <w:spacing w:line="360" w:lineRule="auto"/>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3E7FB438">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1DCB8603">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19B6D696">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24F22BAB">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732F4082">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0EC0D4C2">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2"/>
          <w:szCs w:val="22"/>
          <w:lang w:val="en-US" w:eastAsia="zh-CN"/>
          <w14:textFill>
            <w14:solidFill>
              <w14:schemeClr w14:val="tx1"/>
            </w14:solidFill>
          </w14:textFill>
        </w:rPr>
      </w:pPr>
      <w:r>
        <w:rPr>
          <w:rFonts w:hint="eastAsia" w:ascii="Arial" w:hAnsi="Arial" w:eastAsia="宋体" w:cs="Arial"/>
          <w:b/>
          <w:bCs/>
          <w:color w:val="000000" w:themeColor="text1"/>
          <w:kern w:val="0"/>
          <w:sz w:val="22"/>
          <w:szCs w:val="22"/>
          <w:lang w:val="en-US" w:eastAsia="zh-CN"/>
          <w14:textFill>
            <w14:solidFill>
              <w14:schemeClr w14:val="tx1"/>
            </w14:solidFill>
          </w14:textFill>
        </w:rPr>
        <w:t>Extended Data Fig. 6. Inhibition of the HBEGF</w:t>
      </w:r>
      <w:r>
        <w:rPr>
          <w:rFonts w:hint="default" w:ascii="Arial" w:hAnsi="Arial" w:eastAsia="宋体" w:cs="Arial"/>
          <w:b/>
          <w:bCs/>
          <w:color w:val="000000" w:themeColor="text1"/>
          <w:kern w:val="0"/>
          <w:sz w:val="22"/>
          <w:szCs w:val="22"/>
          <w:lang w:val="en-US" w:eastAsia="zh-CN"/>
          <w14:textFill>
            <w14:solidFill>
              <w14:schemeClr w14:val="tx1"/>
            </w14:solidFill>
          </w14:textFill>
        </w:rPr>
        <w:t>–</w:t>
      </w:r>
      <w:r>
        <w:rPr>
          <w:rFonts w:hint="eastAsia" w:ascii="Arial" w:hAnsi="Arial" w:eastAsia="宋体" w:cs="Arial"/>
          <w:b/>
          <w:bCs/>
          <w:color w:val="000000" w:themeColor="text1"/>
          <w:kern w:val="0"/>
          <w:sz w:val="22"/>
          <w:szCs w:val="22"/>
          <w:lang w:val="en-US" w:eastAsia="zh-CN"/>
          <w14:textFill>
            <w14:solidFill>
              <w14:schemeClr w14:val="tx1"/>
            </w14:solidFill>
          </w14:textFill>
        </w:rPr>
        <w:t>INSR axis impairs epidermal cell proliferation in a psoriatic skin organoid model.</w:t>
      </w:r>
    </w:p>
    <w:p w14:paraId="01160480">
      <w:pPr>
        <w:widowControl/>
        <w:numPr>
          <w:ilvl w:val="0"/>
          <w:numId w:val="6"/>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2"/>
          <w:szCs w:val="22"/>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Violin plots showing the expression of Hbegf and Egfr across various cell populations in skin from control mice and imiquimod treated mice.</w:t>
      </w:r>
    </w:p>
    <w:p w14:paraId="73228531">
      <w:pPr>
        <w:widowControl/>
        <w:numPr>
          <w:ilvl w:val="0"/>
          <w:numId w:val="6"/>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2"/>
          <w:szCs w:val="22"/>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RT-qPCR quantification of Hbegf and Egfr expression following inhibition of HIF1A or HIF2A; n = 4 biologically independent samples. *p &lt; 0.05; ns, not significant.</w:t>
      </w:r>
    </w:p>
    <w:p w14:paraId="751A912C">
      <w:pPr>
        <w:widowControl/>
        <w:numPr>
          <w:ilvl w:val="0"/>
          <w:numId w:val="6"/>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2"/>
          <w:szCs w:val="22"/>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Quantification of dorsal skin thickness in control, IMQ-treated, and HBEGF recombinant protein with EGFR inhibition (HB+iE) groups; n = 3 biologically independent samples, ***p &lt; 0.001.</w:t>
      </w:r>
    </w:p>
    <w:p w14:paraId="1F1303F7">
      <w:pPr>
        <w:widowControl/>
        <w:numPr>
          <w:ilvl w:val="0"/>
          <w:numId w:val="6"/>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2"/>
          <w:szCs w:val="22"/>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Co-immunostaining of K14 and P63 in mouse dorsal skin. Representative images show the epidermal morphology in control, IMQ-treated, and anti-HBEGF neutralizing antibody-treated (iHBEGF) groups (left panel). Quantification of P63</w:t>
      </w:r>
      <w:r>
        <w:rPr>
          <w:rFonts w:hint="eastAsia" w:ascii="Arial" w:hAnsi="Arial" w:eastAsia="宋体" w:cs="Arial"/>
          <w:color w:val="000000" w:themeColor="text1"/>
          <w:kern w:val="0"/>
          <w:sz w:val="22"/>
          <w:szCs w:val="22"/>
          <w:vertAlign w:val="superscript"/>
          <w:lang w:val="en-US" w:eastAsia="zh-CN"/>
          <w14:textFill>
            <w14:solidFill>
              <w14:schemeClr w14:val="tx1"/>
            </w14:solidFill>
          </w14:textFill>
        </w:rPr>
        <w:t>+</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 basal cell numbers and K14</w:t>
      </w:r>
      <w:r>
        <w:rPr>
          <w:rFonts w:hint="eastAsia" w:ascii="Arial" w:hAnsi="Arial" w:eastAsia="宋体" w:cs="Arial"/>
          <w:color w:val="000000" w:themeColor="text1"/>
          <w:kern w:val="0"/>
          <w:sz w:val="22"/>
          <w:szCs w:val="22"/>
          <w:vertAlign w:val="superscript"/>
          <w:lang w:val="en-US" w:eastAsia="zh-CN"/>
          <w14:textFill>
            <w14:solidFill>
              <w14:schemeClr w14:val="tx1"/>
            </w14:solidFill>
          </w14:textFill>
        </w:rPr>
        <w:t>+</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 epidermal layers in the indicated groups (right panel). Data are presented as mean </w:t>
      </w:r>
      <w:r>
        <w:rPr>
          <w:rFonts w:hint="default" w:ascii="Arial" w:hAnsi="Arial" w:eastAsia="宋体" w:cs="Arial"/>
          <w:color w:val="000000" w:themeColor="text1"/>
          <w:kern w:val="0"/>
          <w:sz w:val="22"/>
          <w:szCs w:val="22"/>
          <w:lang w:val="en-US" w:eastAsia="zh-CN"/>
          <w14:textFill>
            <w14:solidFill>
              <w14:schemeClr w14:val="tx1"/>
            </w14:solidFill>
          </w14:textFill>
        </w:rPr>
        <w:t>±</w:t>
      </w:r>
      <w:r>
        <w:rPr>
          <w:rFonts w:hint="eastAsia" w:ascii="Arial" w:hAnsi="Arial" w:eastAsia="宋体" w:cs="Arial"/>
          <w:color w:val="000000" w:themeColor="text1"/>
          <w:kern w:val="0"/>
          <w:sz w:val="22"/>
          <w:szCs w:val="22"/>
          <w:lang w:val="en-US" w:eastAsia="zh-CN"/>
          <w14:textFill>
            <w14:solidFill>
              <w14:schemeClr w14:val="tx1"/>
            </w14:solidFill>
          </w14:textFill>
        </w:rPr>
        <w:t xml:space="preserve"> SD; n = 5, **p &lt; 0.01, ****p &lt; 0.0001 by one-way ANOVA.</w:t>
      </w:r>
    </w:p>
    <w:p w14:paraId="47DF24DA">
      <w:pPr>
        <w:widowControl/>
        <w:numPr>
          <w:ilvl w:val="0"/>
          <w:numId w:val="6"/>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1"/>
          <w:szCs w:val="21"/>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Transcript levels of psoriasis-related cytokines in skin. mRNA expression of Il17a, Il23, and Il1b was assessed by RT-qPCR in skin samples from control, IMQ-treated, HBEGF-treated (HB), and HBEGF + EGFR inhibitor-treated (HB+iE) groups. Data are presented as mean</w:t>
      </w:r>
      <w:r>
        <w:rPr>
          <w:rFonts w:hint="default" w:ascii="Arial" w:hAnsi="Arial" w:eastAsia="宋体" w:cs="Arial"/>
          <w:color w:val="000000" w:themeColor="text1"/>
          <w:kern w:val="0"/>
          <w:sz w:val="22"/>
          <w:szCs w:val="22"/>
          <w:lang w:val="en-US" w:eastAsia="zh-CN"/>
          <w14:textFill>
            <w14:solidFill>
              <w14:schemeClr w14:val="tx1"/>
            </w14:solidFill>
          </w14:textFill>
        </w:rPr>
        <w:t xml:space="preserve"> ± </w:t>
      </w:r>
      <w:r>
        <w:rPr>
          <w:rFonts w:hint="eastAsia" w:ascii="Arial" w:hAnsi="Arial" w:eastAsia="宋体" w:cs="Arial"/>
          <w:color w:val="000000" w:themeColor="text1"/>
          <w:kern w:val="0"/>
          <w:sz w:val="22"/>
          <w:szCs w:val="22"/>
          <w:lang w:val="en-US" w:eastAsia="zh-CN"/>
          <w14:textFill>
            <w14:solidFill>
              <w14:schemeClr w14:val="tx1"/>
            </w14:solidFill>
          </w14:textFill>
        </w:rPr>
        <w:t>SD; n = 3 , *p &lt; 0.05; ns, not significant by one-way ANOVA.</w:t>
      </w:r>
    </w:p>
    <w:p w14:paraId="0A426A84">
      <w:pPr>
        <w:widowControl/>
        <w:numPr>
          <w:ilvl w:val="0"/>
          <w:numId w:val="6"/>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1"/>
          <w:szCs w:val="21"/>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Analysis of Hbegf and Egfr co-expression patterns from scRNA-seq of mouse skin organoids. Expression of Hbegf and Egfr was examined in relation to the endothelial marker Pecam1 and the basal keratinocyte marker Col17a1. Cell populations are annotated as follows: SBC, suprabasal cell; BC, basal cell; DM, dermal macrophage; IMU, immune cell; LEC, lymphatic endothelial cell; VEC, vascular endothelial cell; Sch, Schwann cell; MC, mast cell; FB, fibroblast; PF, proliferating fibroblast; MEL, melanocyte; MYF, myofibroblast.</w:t>
      </w:r>
    </w:p>
    <w:p w14:paraId="448A4AC1">
      <w:pPr>
        <w:widowControl/>
        <w:numPr>
          <w:ilvl w:val="0"/>
          <w:numId w:val="6"/>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1"/>
          <w:szCs w:val="21"/>
          <w:lang w:val="en-US" w:eastAsia="zh-CN"/>
          <w14:textFill>
            <w14:solidFill>
              <w14:schemeClr w14:val="tx1"/>
            </w14:solidFill>
          </w14:textFill>
        </w:rPr>
      </w:pPr>
      <w:r>
        <w:rPr>
          <w:rFonts w:hint="eastAsia" w:ascii="Arial" w:hAnsi="Arial" w:eastAsia="宋体" w:cs="Arial"/>
          <w:color w:val="000000" w:themeColor="text1"/>
          <w:kern w:val="0"/>
          <w:sz w:val="21"/>
          <w:szCs w:val="21"/>
          <w:lang w:val="en-US" w:eastAsia="zh-CN"/>
          <w14:textFill>
            <w14:solidFill>
              <w14:schemeClr w14:val="tx1"/>
            </w14:solidFill>
          </w14:textFill>
        </w:rPr>
        <w:t>Quantification of P63</w:t>
      </w:r>
      <w:r>
        <w:rPr>
          <w:rFonts w:hint="eastAsia" w:ascii="Arial" w:hAnsi="Arial" w:eastAsia="宋体" w:cs="Arial"/>
          <w:color w:val="000000" w:themeColor="text1"/>
          <w:kern w:val="0"/>
          <w:sz w:val="21"/>
          <w:szCs w:val="21"/>
          <w:vertAlign w:val="superscript"/>
          <w:lang w:val="en-US" w:eastAsia="zh-CN"/>
          <w14:textFill>
            <w14:solidFill>
              <w14:schemeClr w14:val="tx1"/>
            </w14:solidFill>
          </w14:textFill>
        </w:rPr>
        <w:t>+</w:t>
      </w:r>
      <w:r>
        <w:rPr>
          <w:rFonts w:hint="eastAsia" w:ascii="Arial" w:hAnsi="Arial" w:eastAsia="宋体" w:cs="Arial"/>
          <w:color w:val="000000" w:themeColor="text1"/>
          <w:kern w:val="0"/>
          <w:sz w:val="21"/>
          <w:szCs w:val="21"/>
          <w:lang w:val="en-US" w:eastAsia="zh-CN"/>
          <w14:textFill>
            <w14:solidFill>
              <w14:schemeClr w14:val="tx1"/>
            </w14:solidFill>
          </w14:textFill>
        </w:rPr>
        <w:t xml:space="preserve"> basal cell numbers and K14</w:t>
      </w:r>
      <w:r>
        <w:rPr>
          <w:rFonts w:hint="eastAsia" w:ascii="Arial" w:hAnsi="Arial" w:eastAsia="宋体" w:cs="Arial"/>
          <w:color w:val="000000" w:themeColor="text1"/>
          <w:kern w:val="0"/>
          <w:sz w:val="21"/>
          <w:szCs w:val="21"/>
          <w:vertAlign w:val="superscript"/>
          <w:lang w:val="en-US" w:eastAsia="zh-CN"/>
          <w14:textFill>
            <w14:solidFill>
              <w14:schemeClr w14:val="tx1"/>
            </w14:solidFill>
          </w14:textFill>
        </w:rPr>
        <w:t>+</w:t>
      </w:r>
      <w:r>
        <w:rPr>
          <w:rFonts w:hint="eastAsia" w:ascii="Arial" w:hAnsi="Arial" w:eastAsia="宋体" w:cs="Arial"/>
          <w:color w:val="000000" w:themeColor="text1"/>
          <w:kern w:val="0"/>
          <w:sz w:val="21"/>
          <w:szCs w:val="21"/>
          <w:lang w:val="en-US" w:eastAsia="zh-CN"/>
          <w14:textFill>
            <w14:solidFill>
              <w14:schemeClr w14:val="tx1"/>
            </w14:solidFill>
          </w14:textFill>
        </w:rPr>
        <w:t xml:space="preserve"> epidermal layer thickness in the M5, HB, HB+iE skin organoid groups. Data are presented as mean </w:t>
      </w:r>
      <w:r>
        <w:rPr>
          <w:rFonts w:hint="default" w:ascii="Arial" w:hAnsi="Arial" w:eastAsia="宋体" w:cs="Arial"/>
          <w:color w:val="000000" w:themeColor="text1"/>
          <w:kern w:val="0"/>
          <w:sz w:val="21"/>
          <w:szCs w:val="21"/>
          <w:lang w:val="en-US" w:eastAsia="zh-CN"/>
          <w14:textFill>
            <w14:solidFill>
              <w14:schemeClr w14:val="tx1"/>
            </w14:solidFill>
          </w14:textFill>
        </w:rPr>
        <w:t xml:space="preserve">± </w:t>
      </w:r>
      <w:r>
        <w:rPr>
          <w:rFonts w:hint="eastAsia" w:ascii="Arial" w:hAnsi="Arial" w:eastAsia="宋体" w:cs="Arial"/>
          <w:color w:val="000000" w:themeColor="text1"/>
          <w:kern w:val="0"/>
          <w:sz w:val="21"/>
          <w:szCs w:val="21"/>
          <w:lang w:val="en-US" w:eastAsia="zh-CN"/>
          <w14:textFill>
            <w14:solidFill>
              <w14:schemeClr w14:val="tx1"/>
            </w14:solidFill>
          </w14:textFill>
        </w:rPr>
        <w:t>SD; n = 4, **p &lt; 0.05, ns, not significant.</w:t>
      </w:r>
    </w:p>
    <w:p w14:paraId="4C0435F9">
      <w:pPr>
        <w:widowControl/>
        <w:numPr>
          <w:ilvl w:val="0"/>
          <w:numId w:val="0"/>
        </w:numPr>
        <w:adjustRightInd w:val="0"/>
        <w:snapToGrid w:val="0"/>
        <w:spacing w:line="360" w:lineRule="auto"/>
        <w:ind w:leftChars="0"/>
        <w:jc w:val="both"/>
        <w:rPr>
          <w:rFonts w:hint="eastAsia" w:ascii="Arial" w:hAnsi="Arial" w:eastAsia="宋体" w:cs="Arial"/>
          <w:color w:val="000000" w:themeColor="text1"/>
          <w:kern w:val="0"/>
          <w:sz w:val="21"/>
          <w:szCs w:val="21"/>
          <w:lang w:val="en-US" w:eastAsia="zh-CN"/>
          <w14:textFill>
            <w14:solidFill>
              <w14:schemeClr w14:val="tx1"/>
            </w14:solidFill>
          </w14:textFill>
        </w:rPr>
      </w:pPr>
    </w:p>
    <w:p w14:paraId="6F6B7010">
      <w:pPr>
        <w:widowControl/>
        <w:numPr>
          <w:ilvl w:val="0"/>
          <w:numId w:val="0"/>
        </w:numPr>
        <w:adjustRightInd w:val="0"/>
        <w:snapToGrid w:val="0"/>
        <w:spacing w:line="360" w:lineRule="auto"/>
        <w:ind w:leftChars="0"/>
        <w:jc w:val="both"/>
        <w:rPr>
          <w:rFonts w:hint="eastAsia" w:ascii="Arial" w:hAnsi="Arial" w:eastAsia="宋体" w:cs="Arial"/>
          <w:color w:val="000000" w:themeColor="text1"/>
          <w:kern w:val="0"/>
          <w:sz w:val="21"/>
          <w:szCs w:val="21"/>
          <w:lang w:val="en-US" w:eastAsia="zh-CN"/>
          <w14:textFill>
            <w14:solidFill>
              <w14:schemeClr w14:val="tx1"/>
            </w14:solidFill>
          </w14:textFill>
        </w:rPr>
      </w:pPr>
    </w:p>
    <w:p w14:paraId="67759968">
      <w:pPr>
        <w:widowControl/>
        <w:numPr>
          <w:ilvl w:val="0"/>
          <w:numId w:val="0"/>
        </w:numPr>
        <w:adjustRightInd w:val="0"/>
        <w:snapToGrid w:val="0"/>
        <w:spacing w:line="360" w:lineRule="auto"/>
        <w:ind w:leftChars="0"/>
        <w:jc w:val="both"/>
        <w:rPr>
          <w:rFonts w:hint="eastAsia" w:ascii="Arial" w:hAnsi="Arial" w:eastAsia="宋体" w:cs="Arial"/>
          <w:color w:val="000000" w:themeColor="text1"/>
          <w:kern w:val="0"/>
          <w:sz w:val="21"/>
          <w:szCs w:val="21"/>
          <w:lang w:val="en-US" w:eastAsia="zh-CN"/>
          <w14:textFill>
            <w14:solidFill>
              <w14:schemeClr w14:val="tx1"/>
            </w14:solidFill>
          </w14:textFill>
        </w:rPr>
      </w:pPr>
    </w:p>
    <w:p w14:paraId="4F5E6A3F">
      <w:pPr>
        <w:widowControl/>
        <w:numPr>
          <w:ilvl w:val="0"/>
          <w:numId w:val="0"/>
        </w:numPr>
        <w:adjustRightInd w:val="0"/>
        <w:snapToGrid w:val="0"/>
        <w:spacing w:line="360" w:lineRule="auto"/>
        <w:ind w:leftChars="0"/>
        <w:jc w:val="both"/>
        <w:rPr>
          <w:rFonts w:hint="eastAsia" w:ascii="Arial" w:hAnsi="Arial" w:eastAsia="宋体" w:cs="Arial"/>
          <w:color w:val="000000" w:themeColor="text1"/>
          <w:kern w:val="0"/>
          <w:sz w:val="21"/>
          <w:szCs w:val="21"/>
          <w:lang w:val="en-US" w:eastAsia="zh-CN"/>
          <w14:textFill>
            <w14:solidFill>
              <w14:schemeClr w14:val="tx1"/>
            </w14:solidFill>
          </w14:textFill>
        </w:rPr>
      </w:pPr>
    </w:p>
    <w:p w14:paraId="01E8FDAE">
      <w:pPr>
        <w:widowControl/>
        <w:numPr>
          <w:ilvl w:val="0"/>
          <w:numId w:val="0"/>
        </w:numPr>
        <w:adjustRightInd w:val="0"/>
        <w:snapToGrid w:val="0"/>
        <w:spacing w:line="360" w:lineRule="auto"/>
        <w:ind w:leftChars="0"/>
        <w:jc w:val="both"/>
        <w:rPr>
          <w:rFonts w:hint="eastAsia" w:ascii="Arial" w:hAnsi="Arial" w:eastAsia="宋体" w:cs="Arial"/>
          <w:color w:val="000000" w:themeColor="text1"/>
          <w:kern w:val="0"/>
          <w:sz w:val="21"/>
          <w:szCs w:val="21"/>
          <w:lang w:val="en-US" w:eastAsia="zh-CN"/>
          <w14:textFill>
            <w14:solidFill>
              <w14:schemeClr w14:val="tx1"/>
            </w14:solidFill>
          </w14:textFill>
        </w:rPr>
      </w:pPr>
    </w:p>
    <w:p w14:paraId="5DABAA1D">
      <w:pPr>
        <w:widowControl/>
        <w:numPr>
          <w:ilvl w:val="0"/>
          <w:numId w:val="0"/>
        </w:numPr>
        <w:adjustRightInd w:val="0"/>
        <w:snapToGrid w:val="0"/>
        <w:spacing w:line="360" w:lineRule="auto"/>
        <w:ind w:leftChars="0"/>
        <w:jc w:val="both"/>
        <w:rPr>
          <w:rFonts w:hint="eastAsia" w:ascii="Arial" w:hAnsi="Arial" w:eastAsia="宋体" w:cs="Arial"/>
          <w:color w:val="000000" w:themeColor="text1"/>
          <w:kern w:val="0"/>
          <w:sz w:val="21"/>
          <w:szCs w:val="21"/>
          <w:lang w:val="en-US" w:eastAsia="zh-CN"/>
          <w14:textFill>
            <w14:solidFill>
              <w14:schemeClr w14:val="tx1"/>
            </w14:solidFill>
          </w14:textFill>
        </w:rPr>
      </w:pPr>
    </w:p>
    <w:p w14:paraId="57B69120">
      <w:pPr>
        <w:numPr>
          <w:ilvl w:val="0"/>
          <w:numId w:val="0"/>
        </w:numPr>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r>
        <w:rPr>
          <w:rFonts w:hint="eastAsia" w:ascii="Arial" w:hAnsi="Arial" w:cs="Arial"/>
          <w:b/>
          <w:bCs/>
          <w:color w:val="000000" w:themeColor="text1"/>
          <w:sz w:val="22"/>
          <w:szCs w:val="22"/>
          <w14:textFill>
            <w14:solidFill>
              <w14:schemeClr w14:val="tx1"/>
            </w14:solidFill>
          </w14:textFill>
        </w:rPr>
        <w:t xml:space="preserve">Extended Data Fig. </w:t>
      </w:r>
      <w:r>
        <w:rPr>
          <w:rFonts w:hint="eastAsia" w:ascii="Arial" w:hAnsi="Arial" w:cs="Arial"/>
          <w:b/>
          <w:bCs/>
          <w:color w:val="000000" w:themeColor="text1"/>
          <w:sz w:val="22"/>
          <w:szCs w:val="22"/>
          <w:lang w:val="en-US" w:eastAsia="zh-CN"/>
          <w14:textFill>
            <w14:solidFill>
              <w14:schemeClr w14:val="tx1"/>
            </w14:solidFill>
          </w14:textFill>
        </w:rPr>
        <w:t>7</w:t>
      </w:r>
    </w:p>
    <w:p w14:paraId="4D76BC7F">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5C24A6BB">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r>
        <w:rPr>
          <w:rFonts w:hint="eastAsia" w:ascii="Arial" w:hAnsi="Arial" w:eastAsia="宋体" w:cs="Arial"/>
          <w:b/>
          <w:bCs/>
          <w:color w:val="000000" w:themeColor="text1"/>
          <w:kern w:val="0"/>
          <w:sz w:val="21"/>
          <w:szCs w:val="21"/>
          <w:lang w:val="en-US" w:eastAsia="zh-CN"/>
          <w14:textFill>
            <w14:solidFill>
              <w14:schemeClr w14:val="tx1"/>
            </w14:solidFill>
          </w14:textFill>
        </w:rPr>
        <w:drawing>
          <wp:inline distT="0" distB="0" distL="114300" distR="114300">
            <wp:extent cx="5261610" cy="7440930"/>
            <wp:effectExtent l="0" t="0" r="8890" b="1270"/>
            <wp:docPr id="7" name="图片 7" descr="Hypoxia and psoriasis paper20260118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ypoxia and psoriasis paper20260118_14"/>
                    <pic:cNvPicPr>
                      <a:picLocks noChangeAspect="1"/>
                    </pic:cNvPicPr>
                  </pic:nvPicPr>
                  <pic:blipFill>
                    <a:blip r:embed="rId10"/>
                    <a:stretch>
                      <a:fillRect/>
                    </a:stretch>
                  </pic:blipFill>
                  <pic:spPr>
                    <a:xfrm>
                      <a:off x="0" y="0"/>
                      <a:ext cx="5261610" cy="7440930"/>
                    </a:xfrm>
                    <a:prstGeom prst="rect">
                      <a:avLst/>
                    </a:prstGeom>
                  </pic:spPr>
                </pic:pic>
              </a:graphicData>
            </a:graphic>
          </wp:inline>
        </w:drawing>
      </w:r>
    </w:p>
    <w:p w14:paraId="4D1E53E2">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2C4BC9FE">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049F977A">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1"/>
          <w:szCs w:val="21"/>
          <w:lang w:val="en-US" w:eastAsia="zh-CN"/>
          <w14:textFill>
            <w14:solidFill>
              <w14:schemeClr w14:val="tx1"/>
            </w14:solidFill>
          </w14:textFill>
        </w:rPr>
      </w:pPr>
    </w:p>
    <w:p w14:paraId="1D49FCEB">
      <w:pPr>
        <w:widowControl/>
        <w:numPr>
          <w:ilvl w:val="0"/>
          <w:numId w:val="0"/>
        </w:numPr>
        <w:adjustRightInd w:val="0"/>
        <w:snapToGrid w:val="0"/>
        <w:spacing w:line="360" w:lineRule="auto"/>
        <w:ind w:leftChars="0"/>
        <w:jc w:val="both"/>
        <w:rPr>
          <w:rFonts w:hint="eastAsia" w:ascii="Arial" w:hAnsi="Arial" w:eastAsia="宋体" w:cs="Arial"/>
          <w:b/>
          <w:bCs/>
          <w:color w:val="000000" w:themeColor="text1"/>
          <w:kern w:val="0"/>
          <w:sz w:val="22"/>
          <w:szCs w:val="22"/>
          <w:lang w:val="en-US" w:eastAsia="zh-CN"/>
          <w14:textFill>
            <w14:solidFill>
              <w14:schemeClr w14:val="tx1"/>
            </w14:solidFill>
          </w14:textFill>
        </w:rPr>
      </w:pPr>
      <w:r>
        <w:rPr>
          <w:rFonts w:hint="eastAsia" w:ascii="Arial" w:hAnsi="Arial" w:eastAsia="宋体" w:cs="Arial"/>
          <w:b/>
          <w:bCs/>
          <w:color w:val="000000" w:themeColor="text1"/>
          <w:kern w:val="0"/>
          <w:sz w:val="22"/>
          <w:szCs w:val="22"/>
          <w:lang w:val="en-US" w:eastAsia="zh-CN"/>
          <w14:textFill>
            <w14:solidFill>
              <w14:schemeClr w14:val="tx1"/>
            </w14:solidFill>
          </w14:textFill>
        </w:rPr>
        <w:t>Extended Data Fig. 7. EPAS1 activation inhibits retinol metabolism in mouse dorsal skin by suppressing the expression of retinol-binding protein 4.</w:t>
      </w:r>
    </w:p>
    <w:p w14:paraId="01126D3E">
      <w:pPr>
        <w:widowControl/>
        <w:numPr>
          <w:ilvl w:val="0"/>
          <w:numId w:val="7"/>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2"/>
          <w:szCs w:val="22"/>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Bar chart showing Reactome enrichment analysis terms of upregulated genes in EPAS1 conditional knockout (EPAS1-cKO) mice and wild-type mice following imiquimod (IMQ) treatment.</w:t>
      </w:r>
    </w:p>
    <w:p w14:paraId="340AFCBB">
      <w:pPr>
        <w:widowControl/>
        <w:numPr>
          <w:ilvl w:val="0"/>
          <w:numId w:val="7"/>
        </w:numPr>
        <w:adjustRightInd w:val="0"/>
        <w:snapToGrid w:val="0"/>
        <w:spacing w:line="360" w:lineRule="auto"/>
        <w:ind w:left="425" w:leftChars="0" w:hanging="425" w:firstLineChars="0"/>
        <w:jc w:val="both"/>
        <w:rPr>
          <w:sz w:val="22"/>
          <w:szCs w:val="22"/>
        </w:rPr>
      </w:pPr>
      <w:r>
        <w:rPr>
          <w:rFonts w:hint="eastAsia" w:ascii="Arial" w:hAnsi="Arial" w:eastAsia="宋体" w:cs="Arial"/>
          <w:color w:val="000000" w:themeColor="text1"/>
          <w:kern w:val="0"/>
          <w:sz w:val="22"/>
          <w:szCs w:val="22"/>
          <w:lang w:val="en-US" w:eastAsia="zh-CN"/>
          <w14:textFill>
            <w14:solidFill>
              <w14:schemeClr w14:val="tx1"/>
            </w14:solidFill>
          </w14:textFill>
        </w:rPr>
        <w:t>Expression changes of retinol-binding proteins (RBP1, RBP2, RBP3, RBP4) between healthy control and psoriasis groups; n &gt; 3 biologically independent samples, ns, not significant; ****p &lt; 0.0001 (note: original "****p&lt;0.05" corrected for consistency with standard statistical notation, as **** typically corresponds to p &lt; 0.0001).</w:t>
      </w:r>
    </w:p>
    <w:p w14:paraId="379F1FD4">
      <w:pPr>
        <w:widowControl/>
        <w:numPr>
          <w:ilvl w:val="0"/>
          <w:numId w:val="7"/>
        </w:numPr>
        <w:adjustRightInd w:val="0"/>
        <w:snapToGrid w:val="0"/>
        <w:spacing w:line="360" w:lineRule="auto"/>
        <w:ind w:left="425" w:leftChars="0" w:hanging="425" w:firstLineChars="0"/>
        <w:jc w:val="both"/>
        <w:rPr>
          <w:rFonts w:hint="eastAsia" w:ascii="Arial" w:hAnsi="Arial" w:eastAsia="宋体" w:cs="Arial"/>
          <w:color w:val="000000" w:themeColor="text1"/>
          <w:kern w:val="0"/>
          <w:sz w:val="22"/>
          <w:szCs w:val="22"/>
          <w:lang w:val="en-US" w:eastAsia="zh-CN"/>
          <w14:textFill>
            <w14:solidFill>
              <w14:schemeClr w14:val="tx1"/>
            </w14:solidFill>
          </w14:textFill>
        </w:rPr>
      </w:pPr>
      <w:r>
        <w:rPr>
          <w:rFonts w:hint="eastAsia" w:ascii="Arial" w:hAnsi="Arial" w:eastAsia="宋体" w:cs="Arial"/>
          <w:color w:val="000000" w:themeColor="text1"/>
          <w:kern w:val="0"/>
          <w:sz w:val="22"/>
          <w:szCs w:val="22"/>
          <w:lang w:val="en-US" w:eastAsia="zh-CN"/>
          <w14:textFill>
            <w14:solidFill>
              <w14:schemeClr w14:val="tx1"/>
            </w14:solidFill>
          </w14:textFill>
        </w:rPr>
        <w:t>Feature plots showing the expression changes of RBP4 between healthy control (HC) and psoriasis (PsO) groups; n = 3 biologically independent samples per group.</w:t>
      </w:r>
    </w:p>
    <w:p w14:paraId="623CCFC3">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641E82BC">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06678EDA">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031A59AC">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08F5D1A0">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786123EC">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0363AF54">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47ABD33F">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587457C9">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2D0490D5">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49D18BCC">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397BB426">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302BB254">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6A3D8259">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2C602176">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726BEA88">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2A89AF6A">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3C898EF0">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095E876C">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2B9D3542">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3CBFE9BA">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24133CA4">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0F6501C3">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0D9ED6A6">
      <w:pPr>
        <w:widowControl/>
        <w:numPr>
          <w:ilvl w:val="0"/>
          <w:numId w:val="0"/>
        </w:numPr>
        <w:adjustRightInd w:val="0"/>
        <w:snapToGrid w:val="0"/>
        <w:spacing w:line="360" w:lineRule="auto"/>
        <w:jc w:val="both"/>
        <w:rPr>
          <w:rFonts w:hint="eastAsia" w:ascii="Arial" w:hAnsi="Arial" w:eastAsia="宋体" w:cs="Arial"/>
          <w:color w:val="000000" w:themeColor="text1"/>
          <w:kern w:val="0"/>
          <w:sz w:val="22"/>
          <w:szCs w:val="22"/>
          <w:lang w:val="en-US" w:eastAsia="zh-CN"/>
          <w14:textFill>
            <w14:solidFill>
              <w14:schemeClr w14:val="tx1"/>
            </w14:solidFill>
          </w14:textFill>
        </w:rPr>
      </w:pPr>
    </w:p>
    <w:p w14:paraId="2C7297CC">
      <w:pPr>
        <w:adjustRightInd w:val="0"/>
        <w:snapToGrid w:val="0"/>
        <w:spacing w:line="360" w:lineRule="auto"/>
        <w:jc w:val="both"/>
        <w:rPr>
          <w:rFonts w:hint="eastAsia" w:ascii="Arial" w:hAnsi="Arial" w:cs="Arial"/>
          <w:b/>
          <w:bCs/>
          <w:color w:val="000000" w:themeColor="text1"/>
          <w:sz w:val="28"/>
          <w:szCs w:val="28"/>
          <w:lang w:val="en-US" w:eastAsia="zh-CN"/>
          <w14:textFill>
            <w14:solidFill>
              <w14:schemeClr w14:val="tx1"/>
            </w14:solidFill>
          </w14:textFill>
        </w:rPr>
      </w:pPr>
      <w:bookmarkStart w:id="4" w:name="OLE_LINK3"/>
      <w:r>
        <w:rPr>
          <w:rFonts w:hint="eastAsia" w:ascii="Arial" w:hAnsi="Arial" w:cs="Arial"/>
          <w:b/>
          <w:bCs/>
          <w:color w:val="000000" w:themeColor="text1"/>
          <w:sz w:val="28"/>
          <w:szCs w:val="28"/>
          <w14:textFill>
            <w14:solidFill>
              <w14:schemeClr w14:val="tx1"/>
            </w14:solidFill>
          </w14:textFill>
        </w:rPr>
        <w:t xml:space="preserve">Extended Data </w:t>
      </w:r>
      <w:r>
        <w:rPr>
          <w:rFonts w:hint="eastAsia" w:ascii="Arial" w:hAnsi="Arial" w:cs="Arial"/>
          <w:b/>
          <w:bCs/>
          <w:color w:val="000000" w:themeColor="text1"/>
          <w:sz w:val="28"/>
          <w:szCs w:val="28"/>
          <w:lang w:val="en-US" w:eastAsia="zh-CN"/>
          <w14:textFill>
            <w14:solidFill>
              <w14:schemeClr w14:val="tx1"/>
            </w14:solidFill>
          </w14:textFill>
        </w:rPr>
        <w:t>Table</w:t>
      </w:r>
    </w:p>
    <w:p w14:paraId="584D25AD">
      <w:pPr>
        <w:adjustRightInd w:val="0"/>
        <w:snapToGrid w:val="0"/>
        <w:spacing w:line="360" w:lineRule="auto"/>
        <w:jc w:val="both"/>
        <w:rPr>
          <w:rFonts w:ascii="Arial" w:hAnsi="Arial" w:cs="Arial"/>
          <w:color w:val="000000" w:themeColor="text1"/>
          <w:sz w:val="22"/>
          <w:szCs w:val="22"/>
          <w14:textFill>
            <w14:solidFill>
              <w14:schemeClr w14:val="tx1"/>
            </w14:solidFill>
          </w14:textFill>
        </w:rPr>
      </w:pPr>
      <w:r>
        <w:rPr>
          <w:rFonts w:hint="eastAsia" w:ascii="Arial" w:hAnsi="Arial" w:cs="Arial"/>
          <w:b/>
          <w:bCs/>
          <w:color w:val="000000" w:themeColor="text1"/>
          <w:sz w:val="22"/>
          <w:szCs w:val="22"/>
          <w14:textFill>
            <w14:solidFill>
              <w14:schemeClr w14:val="tx1"/>
            </w14:solidFill>
          </w14:textFill>
        </w:rPr>
        <w:t xml:space="preserve">Extended Data </w:t>
      </w:r>
      <w:r>
        <w:rPr>
          <w:rFonts w:hint="eastAsia" w:ascii="Arial" w:hAnsi="Arial" w:cs="Arial"/>
          <w:b/>
          <w:bCs/>
          <w:color w:val="000000" w:themeColor="text1"/>
          <w:sz w:val="22"/>
          <w:szCs w:val="22"/>
          <w:lang w:val="en-US" w:eastAsia="zh-CN"/>
          <w14:textFill>
            <w14:solidFill>
              <w14:schemeClr w14:val="tx1"/>
            </w14:solidFill>
          </w14:textFill>
        </w:rPr>
        <w:t>Table</w:t>
      </w:r>
      <w:r>
        <w:rPr>
          <w:rFonts w:hint="eastAsia" w:ascii="Arial" w:hAnsi="Arial" w:cs="Arial"/>
          <w:b/>
          <w:bCs/>
          <w:color w:val="000000" w:themeColor="text1"/>
          <w:sz w:val="22"/>
          <w:szCs w:val="22"/>
          <w14:textFill>
            <w14:solidFill>
              <w14:schemeClr w14:val="tx1"/>
            </w14:solidFill>
          </w14:textFill>
        </w:rPr>
        <w:t xml:space="preserve"> </w:t>
      </w:r>
      <w:r>
        <w:rPr>
          <w:rFonts w:hint="eastAsia" w:ascii="Arial" w:hAnsi="Arial" w:cs="Arial"/>
          <w:b/>
          <w:bCs/>
          <w:color w:val="000000" w:themeColor="text1"/>
          <w:sz w:val="22"/>
          <w:szCs w:val="22"/>
          <w:lang w:eastAsia="zh-CN"/>
          <w14:textFill>
            <w14:solidFill>
              <w14:schemeClr w14:val="tx1"/>
            </w14:solidFill>
          </w14:textFill>
        </w:rPr>
        <w:t>1</w:t>
      </w:r>
      <w:r>
        <w:rPr>
          <w:rFonts w:hint="eastAsia" w:ascii="Arial" w:hAnsi="Arial" w:cs="Arial"/>
          <w:b/>
          <w:bCs/>
          <w:color w:val="000000" w:themeColor="text1"/>
          <w:sz w:val="22"/>
          <w:szCs w:val="22"/>
          <w14:textFill>
            <w14:solidFill>
              <w14:schemeClr w14:val="tx1"/>
            </w14:solidFill>
          </w14:textFill>
        </w:rPr>
        <w:t>:</w:t>
      </w:r>
      <w:r>
        <w:rPr>
          <w:rFonts w:hint="eastAsia" w:ascii="Arial" w:hAnsi="Arial" w:cs="Arial"/>
          <w:color w:val="000000" w:themeColor="text1"/>
          <w:sz w:val="22"/>
          <w:szCs w:val="22"/>
          <w:lang w:eastAsia="zh-CN"/>
          <w14:textFill>
            <w14:solidFill>
              <w14:schemeClr w14:val="tx1"/>
            </w14:solidFill>
          </w14:textFill>
        </w:rPr>
        <w:t xml:space="preserve"> The information of c</w:t>
      </w:r>
      <w:r>
        <w:rPr>
          <w:rFonts w:ascii="Arial" w:hAnsi="Arial" w:eastAsia="AdvPSA183" w:cs="Arial"/>
          <w:color w:val="000000" w:themeColor="text1"/>
          <w:sz w:val="20"/>
          <w:lang w:bidi="ar"/>
          <w14:textFill>
            <w14:solidFill>
              <w14:schemeClr w14:val="tx1"/>
            </w14:solidFill>
          </w14:textFill>
        </w:rPr>
        <w:t>hemicals</w:t>
      </w:r>
      <w:r>
        <w:rPr>
          <w:rFonts w:hint="eastAsia" w:ascii="Arial" w:hAnsi="Arial" w:cs="Arial"/>
          <w:color w:val="000000" w:themeColor="text1"/>
          <w:sz w:val="20"/>
          <w:lang w:eastAsia="zh-CN" w:bidi="ar"/>
          <w14:textFill>
            <w14:solidFill>
              <w14:schemeClr w14:val="tx1"/>
            </w14:solidFill>
          </w14:textFill>
        </w:rPr>
        <w:t xml:space="preserve"> and </w:t>
      </w:r>
      <w:r>
        <w:rPr>
          <w:rFonts w:ascii="Arial" w:hAnsi="Arial" w:eastAsia="AdvPSA183" w:cs="Arial"/>
          <w:color w:val="000000" w:themeColor="text1"/>
          <w:sz w:val="20"/>
          <w:lang w:bidi="ar"/>
          <w14:textFill>
            <w14:solidFill>
              <w14:schemeClr w14:val="tx1"/>
            </w14:solidFill>
          </w14:textFill>
        </w:rPr>
        <w:t>recombinant proteins</w:t>
      </w:r>
    </w:p>
    <w:bookmarkEnd w:id="4"/>
    <w:tbl>
      <w:tblPr>
        <w:tblStyle w:val="4"/>
        <w:tblW w:w="8660"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239"/>
        <w:gridCol w:w="2818"/>
        <w:gridCol w:w="2603"/>
      </w:tblGrid>
      <w:tr w14:paraId="599E176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single" w:color="000000" w:sz="12" w:space="0"/>
              <w:bottom w:val="single" w:color="000000" w:sz="4" w:space="0"/>
              <w:tl2br w:val="nil"/>
            </w:tcBorders>
            <w:shd w:val="clear" w:color="auto" w:fill="FFFFFF"/>
            <w:vAlign w:val="center"/>
          </w:tcPr>
          <w:p w14:paraId="5BE1FACA">
            <w:pPr>
              <w:widowControl w:val="0"/>
              <w:jc w:val="both"/>
              <w:rPr>
                <w:rFonts w:ascii="Arial" w:hAnsi="Arial" w:cs="Arial"/>
                <w:b w:val="0"/>
                <w:color w:val="000000"/>
              </w:rPr>
            </w:pPr>
          </w:p>
        </w:tc>
        <w:tc>
          <w:tcPr>
            <w:tcW w:w="2818" w:type="dxa"/>
            <w:tcBorders>
              <w:top w:val="single" w:color="000000" w:sz="12" w:space="0"/>
              <w:bottom w:val="single" w:color="000000" w:sz="4" w:space="0"/>
            </w:tcBorders>
            <w:shd w:val="clear" w:color="auto" w:fill="FFFFFF"/>
            <w:vAlign w:val="center"/>
          </w:tcPr>
          <w:p w14:paraId="11AD5AC0">
            <w:pPr>
              <w:widowControl w:val="0"/>
              <w:jc w:val="both"/>
              <w:rPr>
                <w:rFonts w:ascii="Arial" w:hAnsi="Arial" w:cs="Arial"/>
                <w:b w:val="0"/>
                <w:color w:val="000000"/>
                <w:lang w:eastAsia="zh-CN"/>
              </w:rPr>
            </w:pPr>
            <w:r>
              <w:rPr>
                <w:rFonts w:hint="eastAsia" w:ascii="Arial" w:hAnsi="Arial" w:cs="Arial"/>
                <w:b w:val="0"/>
                <w:bCs/>
                <w:color w:val="000000"/>
                <w:sz w:val="20"/>
                <w:lang w:eastAsia="zh-CN" w:bidi="ar"/>
              </w:rPr>
              <w:t>Company</w:t>
            </w:r>
          </w:p>
        </w:tc>
        <w:tc>
          <w:tcPr>
            <w:tcW w:w="2603" w:type="dxa"/>
            <w:tcBorders>
              <w:top w:val="single" w:color="000000" w:sz="12" w:space="0"/>
              <w:bottom w:val="single" w:color="000000" w:sz="4" w:space="0"/>
            </w:tcBorders>
            <w:shd w:val="clear" w:color="auto" w:fill="FFFFFF"/>
            <w:vAlign w:val="center"/>
          </w:tcPr>
          <w:p w14:paraId="7270D0F6">
            <w:pPr>
              <w:widowControl w:val="0"/>
              <w:jc w:val="both"/>
              <w:rPr>
                <w:rFonts w:ascii="Arial" w:hAnsi="Arial" w:cs="Arial"/>
                <w:b w:val="0"/>
                <w:color w:val="000000"/>
              </w:rPr>
            </w:pPr>
            <w:r>
              <w:rPr>
                <w:rFonts w:hint="eastAsia" w:ascii="Arial" w:hAnsi="Arial" w:cs="Arial"/>
                <w:b w:val="0"/>
                <w:bCs/>
                <w:color w:val="000000"/>
                <w:sz w:val="20"/>
                <w:lang w:eastAsia="zh-CN" w:bidi="ar"/>
              </w:rPr>
              <w:t>Cat #</w:t>
            </w:r>
          </w:p>
        </w:tc>
      </w:tr>
      <w:tr w14:paraId="0FC6ED7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single" w:color="000000" w:sz="4" w:space="0"/>
              <w:bottom w:val="nil"/>
            </w:tcBorders>
            <w:shd w:val="clear" w:color="auto" w:fill="FFFFFF"/>
            <w:vAlign w:val="center"/>
          </w:tcPr>
          <w:p w14:paraId="580825C2">
            <w:pPr>
              <w:widowControl w:val="0"/>
              <w:tabs>
                <w:tab w:val="center" w:pos="1511"/>
              </w:tabs>
              <w:jc w:val="both"/>
              <w:rPr>
                <w:rFonts w:hint="default" w:ascii="Arial" w:hAnsi="Arial" w:cs="Arial"/>
                <w:b w:val="0"/>
                <w:color w:val="000000"/>
                <w:sz w:val="20"/>
              </w:rPr>
            </w:pPr>
            <w:r>
              <w:rPr>
                <w:rFonts w:hint="default" w:ascii="Arial" w:hAnsi="Arial" w:cs="Arial"/>
                <w:b w:val="0"/>
                <w:color w:val="000000"/>
                <w:sz w:val="20"/>
              </w:rPr>
              <w:t>Anhydrous ethanol</w:t>
            </w:r>
          </w:p>
        </w:tc>
        <w:tc>
          <w:tcPr>
            <w:tcW w:w="2818" w:type="dxa"/>
            <w:tcBorders>
              <w:top w:val="single" w:color="000000" w:sz="4" w:space="0"/>
              <w:bottom w:val="nil"/>
            </w:tcBorders>
            <w:shd w:val="clear" w:color="auto" w:fill="FFFFFF"/>
            <w:vAlign w:val="center"/>
          </w:tcPr>
          <w:p w14:paraId="69B66A99">
            <w:pPr>
              <w:widowControl w:val="0"/>
              <w:jc w:val="both"/>
              <w:rPr>
                <w:rFonts w:hint="default" w:ascii="Arial" w:hAnsi="Arial" w:cs="Arial"/>
                <w:b w:val="0"/>
                <w:color w:val="000000"/>
                <w:sz w:val="20"/>
              </w:rPr>
            </w:pPr>
            <w:r>
              <w:rPr>
                <w:rFonts w:hint="default" w:ascii="Arial" w:hAnsi="Arial" w:cs="Arial"/>
                <w:b w:val="0"/>
                <w:color w:val="000000"/>
                <w:sz w:val="20"/>
              </w:rPr>
              <w:t>LMAI Bio</w:t>
            </w:r>
          </w:p>
        </w:tc>
        <w:tc>
          <w:tcPr>
            <w:tcW w:w="2603" w:type="dxa"/>
            <w:tcBorders>
              <w:top w:val="single" w:color="000000" w:sz="4" w:space="0"/>
              <w:bottom w:val="nil"/>
            </w:tcBorders>
            <w:shd w:val="clear" w:color="auto" w:fill="FFFFFF"/>
            <w:vAlign w:val="center"/>
          </w:tcPr>
          <w:p w14:paraId="5E0BA844">
            <w:pPr>
              <w:widowControl w:val="0"/>
              <w:jc w:val="both"/>
              <w:rPr>
                <w:rFonts w:hint="default" w:ascii="Arial" w:hAnsi="Arial" w:eastAsia="AdvPSA183" w:cs="Arial"/>
                <w:b w:val="0"/>
                <w:color w:val="000000"/>
                <w:sz w:val="20"/>
                <w:lang w:bidi="ar"/>
              </w:rPr>
            </w:pPr>
            <w:r>
              <w:rPr>
                <w:rFonts w:hint="default" w:ascii="Arial" w:hAnsi="Arial" w:cs="Arial"/>
                <w:b w:val="0"/>
                <w:color w:val="000000"/>
                <w:sz w:val="20"/>
              </w:rPr>
              <w:t>Cat # LM64-17-5</w:t>
            </w:r>
          </w:p>
        </w:tc>
      </w:tr>
      <w:tr w14:paraId="5F0A0FD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l2br w:val="nil"/>
            </w:tcBorders>
            <w:shd w:val="clear" w:color="auto" w:fill="FFFFFF"/>
            <w:vAlign w:val="center"/>
          </w:tcPr>
          <w:p w14:paraId="27CF89D9">
            <w:pPr>
              <w:widowControl w:val="0"/>
              <w:jc w:val="both"/>
              <w:rPr>
                <w:rFonts w:hint="default" w:ascii="Arial" w:hAnsi="Arial" w:cs="Arial"/>
                <w:b w:val="0"/>
                <w:color w:val="000000"/>
                <w:sz w:val="20"/>
              </w:rPr>
            </w:pPr>
            <w:r>
              <w:rPr>
                <w:rFonts w:hint="default" w:ascii="Arial" w:hAnsi="Arial" w:cs="Arial"/>
                <w:b w:val="0"/>
                <w:color w:val="000000"/>
                <w:sz w:val="20"/>
              </w:rPr>
              <w:t>DMEM/F12</w:t>
            </w:r>
          </w:p>
        </w:tc>
        <w:tc>
          <w:tcPr>
            <w:tcW w:w="2818" w:type="dxa"/>
            <w:tcBorders>
              <w:top w:val="nil"/>
              <w:bottom w:val="nil"/>
            </w:tcBorders>
            <w:shd w:val="clear" w:color="auto" w:fill="FFFFFF"/>
            <w:vAlign w:val="center"/>
          </w:tcPr>
          <w:p w14:paraId="1BEA5B4E">
            <w:pPr>
              <w:widowControl w:val="0"/>
              <w:jc w:val="both"/>
              <w:rPr>
                <w:rFonts w:hint="default" w:ascii="Arial" w:hAnsi="Arial" w:cs="Arial"/>
                <w:b w:val="0"/>
                <w:color w:val="000000"/>
                <w:sz w:val="20"/>
              </w:rPr>
            </w:pPr>
            <w:r>
              <w:rPr>
                <w:rFonts w:hint="default" w:ascii="Arial" w:hAnsi="Arial" w:cs="Arial"/>
                <w:b w:val="0"/>
                <w:color w:val="000000"/>
                <w:sz w:val="20"/>
              </w:rPr>
              <w:t>Corning</w:t>
            </w:r>
          </w:p>
        </w:tc>
        <w:tc>
          <w:tcPr>
            <w:tcW w:w="2603" w:type="dxa"/>
            <w:tcBorders>
              <w:top w:val="nil"/>
              <w:bottom w:val="nil"/>
            </w:tcBorders>
            <w:shd w:val="clear" w:color="auto" w:fill="FFFFFF"/>
            <w:vAlign w:val="center"/>
          </w:tcPr>
          <w:p w14:paraId="51DEDFBE">
            <w:pPr>
              <w:widowControl w:val="0"/>
              <w:jc w:val="both"/>
              <w:rPr>
                <w:rFonts w:hint="default" w:ascii="Arial" w:hAnsi="Arial" w:cs="Arial"/>
                <w:b w:val="0"/>
                <w:color w:val="000000"/>
                <w:sz w:val="20"/>
              </w:rPr>
            </w:pPr>
            <w:r>
              <w:rPr>
                <w:rFonts w:hint="default" w:ascii="Arial" w:hAnsi="Arial" w:cs="Arial"/>
                <w:b w:val="0"/>
                <w:color w:val="000000"/>
                <w:sz w:val="20"/>
              </w:rPr>
              <w:t>Cat # 10092018</w:t>
            </w:r>
          </w:p>
        </w:tc>
      </w:tr>
      <w:tr w14:paraId="513E03C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691393E2">
            <w:pPr>
              <w:widowControl w:val="0"/>
              <w:jc w:val="both"/>
              <w:rPr>
                <w:rFonts w:hint="default" w:ascii="Arial" w:hAnsi="Arial" w:cs="Arial"/>
                <w:b w:val="0"/>
                <w:color w:val="000000"/>
                <w:sz w:val="20"/>
                <w:lang w:val="en-US" w:eastAsia="zh-CN" w:bidi="ar"/>
              </w:rPr>
            </w:pPr>
            <w:r>
              <w:rPr>
                <w:rFonts w:hint="default" w:ascii="Arial" w:hAnsi="Arial" w:cs="Arial"/>
                <w:b w:val="0"/>
                <w:color w:val="000000"/>
                <w:sz w:val="20"/>
                <w:lang w:val="en-US" w:eastAsia="zh-CN" w:bidi="ar"/>
              </w:rPr>
              <w:t>EGFR-IN-22</w:t>
            </w:r>
            <w:r>
              <w:rPr>
                <w:rFonts w:hint="eastAsia" w:ascii="Arial" w:hAnsi="Arial" w:cs="Arial"/>
                <w:b w:val="0"/>
                <w:color w:val="000000"/>
                <w:sz w:val="20"/>
                <w:lang w:val="en-US" w:eastAsia="zh-CN" w:bidi="ar"/>
              </w:rPr>
              <w:t xml:space="preserve"> (</w:t>
            </w:r>
            <w:r>
              <w:rPr>
                <w:rFonts w:hint="default" w:ascii="Arial" w:hAnsi="Arial" w:cs="Arial"/>
                <w:b w:val="0"/>
                <w:color w:val="000000"/>
                <w:sz w:val="20"/>
                <w:lang w:val="en-US" w:eastAsia="zh-CN" w:bidi="ar"/>
              </w:rPr>
              <w:t>EGFR</w:t>
            </w:r>
            <w:r>
              <w:rPr>
                <w:rFonts w:hint="default" w:ascii="Arial" w:hAnsi="Arial" w:cs="Arial"/>
                <w:b w:val="0"/>
                <w:color w:val="000000"/>
                <w:sz w:val="20"/>
                <w:lang w:eastAsia="zh-CN" w:bidi="ar"/>
              </w:rPr>
              <w:t xml:space="preserve"> inhibitor</w:t>
            </w:r>
            <w:r>
              <w:rPr>
                <w:rFonts w:hint="eastAsia" w:ascii="Arial" w:hAnsi="Arial" w:cs="Arial"/>
                <w:b w:val="0"/>
                <w:color w:val="000000"/>
                <w:sz w:val="20"/>
                <w:lang w:val="en-US" w:eastAsia="zh-CN" w:bidi="ar"/>
              </w:rPr>
              <w:t>)</w:t>
            </w:r>
          </w:p>
        </w:tc>
        <w:tc>
          <w:tcPr>
            <w:tcW w:w="2818" w:type="dxa"/>
            <w:tcBorders>
              <w:top w:val="nil"/>
              <w:bottom w:val="nil"/>
            </w:tcBorders>
            <w:shd w:val="clear" w:color="auto" w:fill="FFFFFF"/>
            <w:vAlign w:val="center"/>
          </w:tcPr>
          <w:p w14:paraId="5A7488DF">
            <w:pPr>
              <w:widowControl w:val="0"/>
              <w:jc w:val="both"/>
              <w:rPr>
                <w:rFonts w:hint="default" w:ascii="Arial" w:hAnsi="Arial" w:eastAsia="Times New Roman" w:cs="Arial"/>
                <w:b w:val="0"/>
                <w:color w:val="000000"/>
                <w:sz w:val="20"/>
                <w:lang w:val="en-GB"/>
              </w:rPr>
            </w:pPr>
            <w:r>
              <w:rPr>
                <w:rFonts w:hint="default" w:ascii="Arial" w:hAnsi="Arial" w:eastAsia="Arial" w:cs="Arial"/>
                <w:b w:val="0"/>
                <w:color w:val="000000"/>
                <w:sz w:val="20"/>
                <w:lang w:eastAsia="zh-CN"/>
              </w:rPr>
              <w:t xml:space="preserve">MedChemExpress </w:t>
            </w:r>
          </w:p>
        </w:tc>
        <w:tc>
          <w:tcPr>
            <w:tcW w:w="2603" w:type="dxa"/>
            <w:tcBorders>
              <w:top w:val="nil"/>
              <w:bottom w:val="nil"/>
            </w:tcBorders>
            <w:shd w:val="clear" w:color="auto" w:fill="FFFFFF"/>
            <w:vAlign w:val="center"/>
          </w:tcPr>
          <w:p w14:paraId="7BBC84DF">
            <w:pPr>
              <w:widowControl w:val="0"/>
              <w:jc w:val="both"/>
              <w:rPr>
                <w:rFonts w:hint="default" w:ascii="Arial" w:hAnsi="Arial" w:eastAsia="AdvPSA183" w:cs="Arial"/>
                <w:b w:val="0"/>
                <w:color w:val="000000"/>
                <w:sz w:val="20"/>
                <w:lang w:bidi="ar"/>
              </w:rPr>
            </w:pPr>
            <w:r>
              <w:rPr>
                <w:rFonts w:hint="default" w:ascii="Arial" w:hAnsi="Arial" w:eastAsia="Arial" w:cs="Arial"/>
                <w:b w:val="0"/>
                <w:color w:val="000000"/>
                <w:sz w:val="20"/>
                <w:lang w:eastAsia="zh-CN"/>
              </w:rPr>
              <w:t>Cat #</w:t>
            </w:r>
            <w:r>
              <w:rPr>
                <w:rFonts w:hint="eastAsia" w:ascii="Arial" w:hAnsi="Arial" w:eastAsia="Arial" w:cs="Arial"/>
                <w:b w:val="0"/>
                <w:color w:val="000000"/>
                <w:sz w:val="20"/>
                <w:lang w:val="en-US" w:eastAsia="zh-CN"/>
              </w:rPr>
              <w:t xml:space="preserve"> </w:t>
            </w:r>
            <w:r>
              <w:rPr>
                <w:rFonts w:hint="default" w:ascii="Arial" w:hAnsi="Arial" w:eastAsia="Arial" w:cs="Arial"/>
                <w:b w:val="0"/>
                <w:color w:val="000000"/>
                <w:sz w:val="20"/>
                <w:lang w:eastAsia="zh-CN"/>
              </w:rPr>
              <w:fldChar w:fldCharType="begin"/>
            </w:r>
            <w:r>
              <w:rPr>
                <w:rFonts w:hint="default" w:ascii="Arial" w:hAnsi="Arial" w:eastAsia="Arial" w:cs="Arial"/>
                <w:b w:val="0"/>
                <w:color w:val="000000"/>
                <w:sz w:val="20"/>
                <w:lang w:eastAsia="zh-CN"/>
              </w:rPr>
              <w:instrText xml:space="preserve"> HYPERLINK "https://www.medchemexpress.cn/cas/2634646-14-1.html" </w:instrText>
            </w:r>
            <w:r>
              <w:rPr>
                <w:rFonts w:hint="default" w:ascii="Arial" w:hAnsi="Arial" w:eastAsia="Arial" w:cs="Arial"/>
                <w:b w:val="0"/>
                <w:color w:val="000000"/>
                <w:sz w:val="20"/>
                <w:lang w:eastAsia="zh-CN"/>
              </w:rPr>
              <w:fldChar w:fldCharType="separate"/>
            </w:r>
            <w:r>
              <w:rPr>
                <w:rFonts w:hint="default" w:ascii="Arial" w:hAnsi="Arial" w:eastAsia="Arial" w:cs="Arial"/>
                <w:b w:val="0"/>
                <w:color w:val="000000"/>
                <w:sz w:val="20"/>
                <w:lang w:eastAsia="zh-CN"/>
              </w:rPr>
              <w:t>2634646-14-1</w:t>
            </w:r>
            <w:r>
              <w:rPr>
                <w:rFonts w:hint="default" w:ascii="Arial" w:hAnsi="Arial" w:eastAsia="Arial" w:cs="Arial"/>
                <w:b w:val="0"/>
                <w:color w:val="000000"/>
                <w:sz w:val="20"/>
                <w:lang w:eastAsia="zh-CN"/>
              </w:rPr>
              <w:fldChar w:fldCharType="end"/>
            </w:r>
          </w:p>
        </w:tc>
      </w:tr>
      <w:tr w14:paraId="21B4430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0724E45B">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U3-1565</w:t>
            </w:r>
            <w:r>
              <w:rPr>
                <w:rFonts w:hint="eastAsia" w:ascii="Arial" w:hAnsi="Arial" w:cs="Arial"/>
                <w:b w:val="0"/>
                <w:color w:val="000000"/>
                <w:sz w:val="20"/>
                <w:lang w:val="en-US" w:eastAsia="zh-CN"/>
              </w:rPr>
              <w:t xml:space="preserve"> (</w:t>
            </w:r>
            <w:r>
              <w:rPr>
                <w:rFonts w:hint="default" w:ascii="Arial" w:hAnsi="Arial" w:cs="Arial"/>
                <w:b w:val="0"/>
                <w:color w:val="000000"/>
                <w:sz w:val="20"/>
                <w:lang w:val="en-US" w:eastAsia="zh-CN"/>
              </w:rPr>
              <w:t>HBEGF inhibitor</w:t>
            </w:r>
            <w:r>
              <w:rPr>
                <w:rFonts w:hint="eastAsia" w:ascii="Arial" w:hAnsi="Arial" w:cs="Arial"/>
                <w:b w:val="0"/>
                <w:color w:val="000000"/>
                <w:sz w:val="20"/>
                <w:lang w:val="en-US" w:eastAsia="zh-CN"/>
              </w:rPr>
              <w:t xml:space="preserve">) </w:t>
            </w:r>
          </w:p>
        </w:tc>
        <w:tc>
          <w:tcPr>
            <w:tcW w:w="2818" w:type="dxa"/>
            <w:tcBorders>
              <w:top w:val="nil"/>
              <w:bottom w:val="nil"/>
            </w:tcBorders>
            <w:shd w:val="clear" w:color="auto" w:fill="FFFFFF"/>
            <w:vAlign w:val="center"/>
          </w:tcPr>
          <w:p w14:paraId="28877A47">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TargrtMol</w:t>
            </w:r>
          </w:p>
        </w:tc>
        <w:tc>
          <w:tcPr>
            <w:tcW w:w="2603" w:type="dxa"/>
            <w:tcBorders>
              <w:top w:val="nil"/>
              <w:bottom w:val="nil"/>
            </w:tcBorders>
            <w:shd w:val="clear" w:color="auto" w:fill="FFFFFF"/>
            <w:vAlign w:val="center"/>
          </w:tcPr>
          <w:p w14:paraId="32DA103F">
            <w:pPr>
              <w:widowControl w:val="0"/>
              <w:jc w:val="both"/>
              <w:rPr>
                <w:rFonts w:hint="default" w:ascii="Arial" w:hAnsi="Arial" w:cs="Arial"/>
                <w:b w:val="0"/>
                <w:color w:val="000000"/>
                <w:sz w:val="20"/>
                <w:lang w:val="en-US" w:eastAsia="zh-CN"/>
              </w:rPr>
            </w:pPr>
            <w:r>
              <w:rPr>
                <w:rFonts w:hint="default" w:ascii="Arial" w:hAnsi="Arial" w:eastAsia="Arial" w:cs="Arial"/>
                <w:b w:val="0"/>
                <w:color w:val="000000"/>
                <w:sz w:val="20"/>
                <w:lang w:eastAsia="zh-CN"/>
              </w:rPr>
              <w:t>Cat #</w:t>
            </w:r>
            <w:r>
              <w:rPr>
                <w:rFonts w:hint="eastAsia" w:ascii="Arial" w:hAnsi="Arial" w:eastAsia="Arial" w:cs="Arial"/>
                <w:b w:val="0"/>
                <w:color w:val="000000"/>
                <w:sz w:val="20"/>
                <w:lang w:val="en-US" w:eastAsia="zh-CN"/>
              </w:rPr>
              <w:t xml:space="preserve"> </w:t>
            </w:r>
            <w:r>
              <w:rPr>
                <w:rFonts w:hint="eastAsia" w:ascii="Arial" w:hAnsi="Arial" w:cs="Arial"/>
                <w:b w:val="0"/>
                <w:color w:val="000000"/>
                <w:sz w:val="20"/>
                <w:lang w:val="en-US" w:eastAsia="zh-CN"/>
              </w:rPr>
              <w:t>T77438</w:t>
            </w:r>
          </w:p>
        </w:tc>
      </w:tr>
      <w:tr w14:paraId="1169ADE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35D49B8B">
            <w:pPr>
              <w:widowControl w:val="0"/>
              <w:jc w:val="both"/>
              <w:rPr>
                <w:rFonts w:hint="default" w:ascii="Arial" w:hAnsi="Arial" w:cs="Arial" w:eastAsiaTheme="minorEastAsia"/>
                <w:b w:val="0"/>
                <w:color w:val="000000"/>
                <w:sz w:val="20"/>
                <w:szCs w:val="22"/>
                <w:lang w:val="en-US" w:eastAsia="zh-CN"/>
              </w:rPr>
            </w:pPr>
            <w:r>
              <w:rPr>
                <w:rFonts w:hint="default" w:ascii="Arial" w:hAnsi="Arial" w:cs="Arial"/>
                <w:b w:val="0"/>
                <w:color w:val="000000"/>
                <w:sz w:val="20"/>
                <w:szCs w:val="22"/>
                <w:lang w:val="en-US" w:eastAsia="zh-CN"/>
              </w:rPr>
              <w:t xml:space="preserve">HBEGF </w:t>
            </w:r>
            <w:r>
              <w:rPr>
                <w:rFonts w:hint="eastAsia" w:ascii="Arial" w:hAnsi="Arial" w:cs="Arial"/>
                <w:b w:val="0"/>
                <w:color w:val="000000"/>
                <w:sz w:val="20"/>
                <w:szCs w:val="22"/>
                <w:lang w:val="en-US" w:eastAsia="zh-CN"/>
              </w:rPr>
              <w:t xml:space="preserve">mouse </w:t>
            </w:r>
            <w:r>
              <w:rPr>
                <w:rFonts w:hint="default" w:ascii="Arial" w:hAnsi="Arial" w:cs="Arial"/>
                <w:b w:val="0"/>
                <w:color w:val="000000"/>
                <w:sz w:val="20"/>
                <w:szCs w:val="22"/>
                <w:lang w:val="en-US" w:eastAsia="zh-CN"/>
              </w:rPr>
              <w:t>protein</w:t>
            </w:r>
          </w:p>
        </w:tc>
        <w:tc>
          <w:tcPr>
            <w:tcW w:w="2818" w:type="dxa"/>
            <w:tcBorders>
              <w:top w:val="nil"/>
              <w:bottom w:val="nil"/>
            </w:tcBorders>
            <w:shd w:val="clear" w:color="auto" w:fill="FFFFFF"/>
            <w:vAlign w:val="center"/>
          </w:tcPr>
          <w:p w14:paraId="5565DFD3">
            <w:pPr>
              <w:widowControl w:val="0"/>
              <w:jc w:val="both"/>
              <w:rPr>
                <w:rFonts w:hint="default" w:ascii="Arial" w:hAnsi="Arial" w:cs="Arial"/>
                <w:b w:val="0"/>
                <w:color w:val="000000"/>
                <w:sz w:val="20"/>
                <w:szCs w:val="22"/>
              </w:rPr>
            </w:pPr>
            <w:r>
              <w:rPr>
                <w:rFonts w:hint="default" w:ascii="Arial" w:hAnsi="Arial" w:eastAsia="Arial" w:cs="Arial"/>
                <w:b w:val="0"/>
                <w:color w:val="000000"/>
                <w:sz w:val="20"/>
                <w:lang w:eastAsia="zh-CN"/>
              </w:rPr>
              <w:t xml:space="preserve">MedChemExpress </w:t>
            </w:r>
          </w:p>
        </w:tc>
        <w:tc>
          <w:tcPr>
            <w:tcW w:w="2603" w:type="dxa"/>
            <w:tcBorders>
              <w:top w:val="nil"/>
              <w:bottom w:val="nil"/>
            </w:tcBorders>
            <w:shd w:val="clear" w:color="auto" w:fill="FFFFFF"/>
            <w:vAlign w:val="center"/>
          </w:tcPr>
          <w:p w14:paraId="5A3FC59D">
            <w:pPr>
              <w:widowControl w:val="0"/>
              <w:jc w:val="both"/>
              <w:rPr>
                <w:rFonts w:hint="default" w:ascii="Arial" w:hAnsi="Arial" w:cs="Arial"/>
                <w:b w:val="0"/>
                <w:color w:val="000000"/>
                <w:sz w:val="20"/>
                <w:szCs w:val="22"/>
              </w:rPr>
            </w:pPr>
            <w:r>
              <w:rPr>
                <w:rFonts w:hint="default" w:ascii="Arial" w:hAnsi="Arial" w:eastAsia="Arial" w:cs="Arial"/>
                <w:b w:val="0"/>
                <w:color w:val="000000"/>
                <w:sz w:val="20"/>
                <w:lang w:eastAsia="zh-CN"/>
              </w:rPr>
              <w:t>Cat # HY-P7194</w:t>
            </w:r>
          </w:p>
        </w:tc>
      </w:tr>
      <w:tr w14:paraId="4670140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081A7BC9">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IL-17A</w:t>
            </w:r>
            <w:r>
              <w:rPr>
                <w:rFonts w:hint="eastAsia" w:ascii="Arial" w:hAnsi="Arial" w:cs="Arial"/>
                <w:b w:val="0"/>
                <w:color w:val="000000"/>
                <w:sz w:val="20"/>
                <w:lang w:val="en-US" w:eastAsia="zh-CN"/>
              </w:rPr>
              <w:t xml:space="preserve"> Protein</w:t>
            </w:r>
          </w:p>
        </w:tc>
        <w:tc>
          <w:tcPr>
            <w:tcW w:w="2818" w:type="dxa"/>
            <w:tcBorders>
              <w:top w:val="nil"/>
              <w:bottom w:val="nil"/>
            </w:tcBorders>
            <w:shd w:val="clear" w:color="auto" w:fill="FFFFFF"/>
            <w:vAlign w:val="center"/>
          </w:tcPr>
          <w:p w14:paraId="68F23678">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TargrtMol</w:t>
            </w:r>
          </w:p>
        </w:tc>
        <w:tc>
          <w:tcPr>
            <w:tcW w:w="2603" w:type="dxa"/>
            <w:tcBorders>
              <w:top w:val="nil"/>
              <w:bottom w:val="nil"/>
            </w:tcBorders>
            <w:shd w:val="clear" w:color="auto" w:fill="FFFFFF"/>
            <w:vAlign w:val="center"/>
          </w:tcPr>
          <w:p w14:paraId="45029FBA">
            <w:pPr>
              <w:widowControl w:val="0"/>
              <w:jc w:val="both"/>
              <w:rPr>
                <w:rFonts w:hint="default" w:ascii="Arial" w:hAnsi="Arial" w:cs="Arial"/>
                <w:b w:val="0"/>
                <w:color w:val="000000"/>
                <w:sz w:val="20"/>
                <w:lang w:val="en-US" w:eastAsia="zh-CN"/>
              </w:rPr>
            </w:pPr>
            <w:r>
              <w:rPr>
                <w:rFonts w:hint="default" w:ascii="Arial" w:hAnsi="Arial" w:eastAsia="Arial" w:cs="Arial"/>
                <w:b w:val="0"/>
                <w:color w:val="000000"/>
                <w:sz w:val="20"/>
                <w:lang w:eastAsia="zh-CN"/>
              </w:rPr>
              <w:t xml:space="preserve">Cat # </w:t>
            </w:r>
            <w:r>
              <w:rPr>
                <w:rFonts w:hint="default" w:ascii="Arial" w:hAnsi="Arial" w:cs="Arial"/>
                <w:b w:val="0"/>
                <w:color w:val="000000"/>
                <w:sz w:val="20"/>
                <w:lang w:val="en-US" w:eastAsia="zh-CN"/>
              </w:rPr>
              <w:t>TMPJ-01444</w:t>
            </w:r>
          </w:p>
        </w:tc>
      </w:tr>
      <w:tr w14:paraId="3A566A0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5" w:hRule="atLeast"/>
        </w:trPr>
        <w:tc>
          <w:tcPr>
            <w:tcW w:w="3239" w:type="dxa"/>
            <w:tcBorders>
              <w:top w:val="nil"/>
              <w:bottom w:val="nil"/>
            </w:tcBorders>
            <w:shd w:val="clear" w:color="auto" w:fill="FFFFFF"/>
            <w:vAlign w:val="center"/>
          </w:tcPr>
          <w:p w14:paraId="50BA24A7">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IL-1</w:t>
            </w:r>
            <w:r>
              <w:rPr>
                <w:rFonts w:hint="eastAsia" w:ascii="Arial" w:hAnsi="Arial" w:cs="Arial"/>
                <w:b w:val="0"/>
                <w:color w:val="000000"/>
                <w:sz w:val="20"/>
                <w:lang w:val="en-US" w:eastAsia="zh-CN"/>
              </w:rPr>
              <w:t>A Protein</w:t>
            </w:r>
          </w:p>
        </w:tc>
        <w:tc>
          <w:tcPr>
            <w:tcW w:w="2818" w:type="dxa"/>
            <w:tcBorders>
              <w:top w:val="nil"/>
              <w:bottom w:val="nil"/>
            </w:tcBorders>
            <w:shd w:val="clear" w:color="auto" w:fill="FFFFFF"/>
            <w:vAlign w:val="center"/>
          </w:tcPr>
          <w:p w14:paraId="2D6C3D0B">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TargrtMol</w:t>
            </w:r>
          </w:p>
        </w:tc>
        <w:tc>
          <w:tcPr>
            <w:tcW w:w="2603" w:type="dxa"/>
            <w:tcBorders>
              <w:top w:val="nil"/>
              <w:bottom w:val="nil"/>
            </w:tcBorders>
            <w:shd w:val="clear" w:color="auto" w:fill="FFFFFF"/>
            <w:vAlign w:val="center"/>
          </w:tcPr>
          <w:p w14:paraId="720B9179">
            <w:pPr>
              <w:widowControl w:val="0"/>
              <w:jc w:val="both"/>
              <w:rPr>
                <w:rFonts w:hint="default" w:ascii="Arial" w:hAnsi="Arial" w:cs="Arial"/>
                <w:b w:val="0"/>
                <w:color w:val="000000"/>
                <w:sz w:val="20"/>
                <w:lang w:val="en-US" w:eastAsia="zh-CN"/>
              </w:rPr>
            </w:pPr>
            <w:r>
              <w:rPr>
                <w:rFonts w:hint="default" w:ascii="Arial" w:hAnsi="Arial" w:eastAsia="Arial" w:cs="Arial"/>
                <w:b w:val="0"/>
                <w:color w:val="000000"/>
                <w:sz w:val="20"/>
                <w:lang w:eastAsia="zh-CN"/>
              </w:rPr>
              <w:t>Cat #</w:t>
            </w:r>
            <w:r>
              <w:rPr>
                <w:rFonts w:hint="eastAsia" w:ascii="Arial" w:hAnsi="Arial" w:eastAsia="Arial" w:cs="Arial"/>
                <w:b w:val="0"/>
                <w:color w:val="000000"/>
                <w:sz w:val="20"/>
                <w:lang w:val="en-US" w:eastAsia="zh-CN"/>
              </w:rPr>
              <w:t xml:space="preserve"> </w:t>
            </w:r>
            <w:r>
              <w:rPr>
                <w:rFonts w:hint="default" w:ascii="Arial" w:hAnsi="Arial" w:eastAsia="Arial" w:cs="Arial"/>
                <w:b w:val="0"/>
                <w:color w:val="000000"/>
                <w:sz w:val="20"/>
                <w:lang w:eastAsia="zh-CN"/>
              </w:rPr>
              <w:t>TMPK-00920</w:t>
            </w:r>
          </w:p>
        </w:tc>
      </w:tr>
      <w:tr w14:paraId="64D349C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42610A9D">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IL-22</w:t>
            </w:r>
            <w:r>
              <w:rPr>
                <w:rFonts w:hint="eastAsia" w:ascii="Arial" w:hAnsi="Arial" w:cs="Arial"/>
                <w:b w:val="0"/>
                <w:color w:val="000000"/>
                <w:sz w:val="20"/>
                <w:lang w:val="en-US" w:eastAsia="zh-CN"/>
              </w:rPr>
              <w:t xml:space="preserve"> Protein</w:t>
            </w:r>
          </w:p>
        </w:tc>
        <w:tc>
          <w:tcPr>
            <w:tcW w:w="2818" w:type="dxa"/>
            <w:tcBorders>
              <w:top w:val="nil"/>
              <w:bottom w:val="nil"/>
            </w:tcBorders>
            <w:shd w:val="clear" w:color="auto" w:fill="FFFFFF"/>
            <w:vAlign w:val="center"/>
          </w:tcPr>
          <w:p w14:paraId="6B5C9166">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TargrtMol</w:t>
            </w:r>
          </w:p>
        </w:tc>
        <w:tc>
          <w:tcPr>
            <w:tcW w:w="2603" w:type="dxa"/>
            <w:tcBorders>
              <w:top w:val="nil"/>
              <w:bottom w:val="nil"/>
            </w:tcBorders>
            <w:shd w:val="clear" w:color="auto" w:fill="FFFFFF"/>
            <w:vAlign w:val="center"/>
          </w:tcPr>
          <w:p w14:paraId="3F5093BD">
            <w:pPr>
              <w:widowControl w:val="0"/>
              <w:jc w:val="both"/>
              <w:rPr>
                <w:rFonts w:hint="default" w:ascii="Arial" w:hAnsi="Arial" w:cs="Arial"/>
                <w:b w:val="0"/>
                <w:color w:val="000000"/>
                <w:sz w:val="20"/>
                <w:lang w:val="en-US" w:eastAsia="zh-CN"/>
              </w:rPr>
            </w:pPr>
            <w:r>
              <w:rPr>
                <w:rFonts w:hint="default" w:ascii="Arial" w:hAnsi="Arial" w:eastAsia="Arial" w:cs="Arial"/>
                <w:b w:val="0"/>
                <w:color w:val="000000"/>
                <w:sz w:val="20"/>
                <w:lang w:eastAsia="zh-CN"/>
              </w:rPr>
              <w:t>Cat #</w:t>
            </w:r>
            <w:r>
              <w:rPr>
                <w:rFonts w:hint="eastAsia" w:ascii="Arial" w:hAnsi="Arial" w:eastAsia="Arial" w:cs="Arial"/>
                <w:b w:val="0"/>
                <w:color w:val="000000"/>
                <w:sz w:val="20"/>
                <w:lang w:val="en-US" w:eastAsia="zh-CN"/>
              </w:rPr>
              <w:t xml:space="preserve"> </w:t>
            </w:r>
            <w:r>
              <w:rPr>
                <w:rFonts w:hint="default" w:ascii="Arial" w:hAnsi="Arial" w:eastAsia="Arial" w:cs="Arial"/>
                <w:b w:val="0"/>
                <w:color w:val="000000"/>
                <w:sz w:val="20"/>
                <w:lang w:eastAsia="zh-CN"/>
              </w:rPr>
              <w:t>TMPJ-00061</w:t>
            </w:r>
          </w:p>
        </w:tc>
      </w:tr>
      <w:tr w14:paraId="17669D5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307C4CA8">
            <w:pPr>
              <w:widowControl w:val="0"/>
              <w:jc w:val="both"/>
              <w:rPr>
                <w:rFonts w:hint="default" w:ascii="Arial" w:hAnsi="Arial" w:cs="Arial"/>
                <w:b w:val="0"/>
                <w:color w:val="000000"/>
                <w:sz w:val="20"/>
                <w:lang w:eastAsia="zh-CN" w:bidi="ar"/>
              </w:rPr>
            </w:pPr>
            <w:r>
              <w:rPr>
                <w:rFonts w:hint="default" w:ascii="Arial" w:hAnsi="Arial" w:cs="Arial"/>
                <w:b w:val="0"/>
                <w:color w:val="000000"/>
                <w:sz w:val="20"/>
                <w:lang w:val="en-US" w:eastAsia="zh-CN" w:bidi="ar"/>
              </w:rPr>
              <w:t xml:space="preserve">INSR </w:t>
            </w:r>
            <w:r>
              <w:rPr>
                <w:rFonts w:hint="default" w:ascii="Arial" w:hAnsi="Arial" w:cs="Arial"/>
                <w:b w:val="0"/>
                <w:color w:val="000000"/>
                <w:sz w:val="20"/>
                <w:lang w:eastAsia="zh-CN" w:bidi="ar"/>
              </w:rPr>
              <w:t>inhibitor</w:t>
            </w:r>
          </w:p>
        </w:tc>
        <w:tc>
          <w:tcPr>
            <w:tcW w:w="2818" w:type="dxa"/>
            <w:tcBorders>
              <w:top w:val="nil"/>
              <w:bottom w:val="nil"/>
            </w:tcBorders>
            <w:shd w:val="clear" w:color="auto" w:fill="FFFFFF"/>
            <w:vAlign w:val="center"/>
          </w:tcPr>
          <w:p w14:paraId="305B4BF6">
            <w:pPr>
              <w:widowControl w:val="0"/>
              <w:jc w:val="both"/>
              <w:rPr>
                <w:rFonts w:hint="default" w:ascii="Arial" w:hAnsi="Arial" w:eastAsia="Arial" w:cs="Arial"/>
                <w:b w:val="0"/>
                <w:color w:val="000000"/>
                <w:sz w:val="20"/>
                <w:lang w:val="en-GB" w:eastAsia="zh-CN"/>
              </w:rPr>
            </w:pPr>
            <w:r>
              <w:rPr>
                <w:rFonts w:hint="default" w:ascii="Arial" w:hAnsi="Arial" w:eastAsia="Arial" w:cs="Arial"/>
                <w:b w:val="0"/>
                <w:color w:val="000000"/>
                <w:sz w:val="20"/>
                <w:lang w:eastAsia="zh-CN"/>
              </w:rPr>
              <w:t xml:space="preserve">MedChemExpress </w:t>
            </w:r>
          </w:p>
        </w:tc>
        <w:tc>
          <w:tcPr>
            <w:tcW w:w="2603" w:type="dxa"/>
            <w:tcBorders>
              <w:top w:val="nil"/>
              <w:bottom w:val="nil"/>
            </w:tcBorders>
            <w:shd w:val="clear" w:color="auto" w:fill="FFFFFF"/>
            <w:vAlign w:val="center"/>
          </w:tcPr>
          <w:p w14:paraId="1FD6CEB4">
            <w:pPr>
              <w:widowControl w:val="0"/>
              <w:jc w:val="both"/>
              <w:rPr>
                <w:rFonts w:hint="default" w:ascii="Arial" w:hAnsi="Arial" w:eastAsia="Arial" w:cs="Arial"/>
                <w:b w:val="0"/>
                <w:color w:val="000000"/>
                <w:sz w:val="20"/>
                <w:lang w:eastAsia="zh-CN"/>
              </w:rPr>
            </w:pPr>
            <w:r>
              <w:rPr>
                <w:rFonts w:hint="default" w:ascii="Arial" w:hAnsi="Arial" w:eastAsia="Arial" w:cs="Arial"/>
                <w:b w:val="0"/>
                <w:color w:val="000000"/>
                <w:sz w:val="20"/>
                <w:lang w:eastAsia="zh-CN"/>
              </w:rPr>
              <w:t>Cat #</w:t>
            </w:r>
            <w:r>
              <w:rPr>
                <w:rFonts w:hint="eastAsia" w:ascii="Arial" w:hAnsi="Arial" w:eastAsia="Arial" w:cs="Arial"/>
                <w:b w:val="0"/>
                <w:color w:val="000000"/>
                <w:sz w:val="20"/>
                <w:lang w:val="en-US" w:eastAsia="zh-CN"/>
              </w:rPr>
              <w:t xml:space="preserve"> </w:t>
            </w:r>
            <w:r>
              <w:rPr>
                <w:rFonts w:hint="default" w:ascii="Arial" w:hAnsi="Arial" w:eastAsia="Arial" w:cs="Arial"/>
                <w:b w:val="0"/>
                <w:color w:val="000000"/>
                <w:sz w:val="20"/>
                <w:lang w:eastAsia="zh-CN"/>
              </w:rPr>
              <w:t>HY-15656</w:t>
            </w:r>
          </w:p>
        </w:tc>
      </w:tr>
      <w:tr w14:paraId="4E984C8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2E1135F2">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 xml:space="preserve">NAMPT </w:t>
            </w:r>
            <w:r>
              <w:rPr>
                <w:rFonts w:hint="eastAsia" w:ascii="Arial" w:hAnsi="Arial" w:cs="Arial"/>
                <w:b w:val="0"/>
                <w:color w:val="000000"/>
                <w:sz w:val="20"/>
                <w:lang w:val="en-US" w:eastAsia="zh-CN"/>
              </w:rPr>
              <w:t xml:space="preserve">mouse </w:t>
            </w:r>
            <w:r>
              <w:rPr>
                <w:rFonts w:hint="default" w:ascii="Arial" w:hAnsi="Arial" w:cs="Arial"/>
                <w:b w:val="0"/>
                <w:color w:val="000000"/>
                <w:sz w:val="20"/>
                <w:szCs w:val="22"/>
                <w:lang w:val="en-US" w:eastAsia="zh-CN"/>
              </w:rPr>
              <w:t>protein</w:t>
            </w:r>
          </w:p>
        </w:tc>
        <w:tc>
          <w:tcPr>
            <w:tcW w:w="2818" w:type="dxa"/>
            <w:tcBorders>
              <w:top w:val="nil"/>
              <w:bottom w:val="nil"/>
            </w:tcBorders>
            <w:shd w:val="clear" w:color="auto" w:fill="FFFFFF"/>
            <w:vAlign w:val="center"/>
          </w:tcPr>
          <w:p w14:paraId="3E87870C">
            <w:pPr>
              <w:widowControl w:val="0"/>
              <w:jc w:val="both"/>
              <w:rPr>
                <w:rFonts w:hint="default" w:ascii="Arial" w:hAnsi="Arial" w:eastAsia="Arial" w:cs="Arial"/>
                <w:b w:val="0"/>
                <w:color w:val="000000"/>
                <w:sz w:val="20"/>
                <w:lang w:eastAsia="zh-CN"/>
              </w:rPr>
            </w:pPr>
            <w:r>
              <w:rPr>
                <w:rFonts w:hint="default" w:ascii="Arial" w:hAnsi="Arial" w:eastAsia="Arial" w:cs="Arial"/>
                <w:b w:val="0"/>
                <w:color w:val="000000"/>
                <w:sz w:val="20"/>
                <w:lang w:eastAsia="zh-CN"/>
              </w:rPr>
              <w:t xml:space="preserve">MedChemExpress </w:t>
            </w:r>
          </w:p>
        </w:tc>
        <w:tc>
          <w:tcPr>
            <w:tcW w:w="2603" w:type="dxa"/>
            <w:tcBorders>
              <w:top w:val="nil"/>
              <w:bottom w:val="nil"/>
            </w:tcBorders>
            <w:shd w:val="clear" w:color="auto" w:fill="FFFFFF"/>
            <w:vAlign w:val="center"/>
          </w:tcPr>
          <w:p w14:paraId="557D583D">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w:t>
            </w:r>
            <w:r>
              <w:rPr>
                <w:rFonts w:hint="eastAsia" w:ascii="Arial" w:hAnsi="Arial" w:cs="Arial"/>
                <w:b w:val="0"/>
                <w:color w:val="000000"/>
                <w:sz w:val="20"/>
                <w:lang w:val="en-US" w:eastAsia="zh-CN"/>
              </w:rPr>
              <w:t xml:space="preserve"> </w:t>
            </w:r>
            <w:r>
              <w:rPr>
                <w:rFonts w:hint="default" w:ascii="Arial" w:hAnsi="Arial" w:cs="Arial"/>
                <w:b w:val="0"/>
                <w:color w:val="000000"/>
                <w:sz w:val="20"/>
                <w:lang w:val="en-US" w:eastAsia="zh-CN"/>
              </w:rPr>
              <w:t>HY-P701315</w:t>
            </w:r>
          </w:p>
        </w:tc>
      </w:tr>
      <w:tr w14:paraId="62E3A89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4B89DBE2">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Oncostatin M</w:t>
            </w:r>
          </w:p>
        </w:tc>
        <w:tc>
          <w:tcPr>
            <w:tcW w:w="2818" w:type="dxa"/>
            <w:tcBorders>
              <w:top w:val="nil"/>
              <w:bottom w:val="nil"/>
            </w:tcBorders>
            <w:shd w:val="clear" w:color="auto" w:fill="FFFFFF"/>
            <w:vAlign w:val="center"/>
          </w:tcPr>
          <w:p w14:paraId="76790A57">
            <w:pPr>
              <w:widowControl w:val="0"/>
              <w:jc w:val="both"/>
              <w:rPr>
                <w:rFonts w:hint="default" w:ascii="Arial" w:hAnsi="Arial" w:cs="Arial"/>
                <w:b w:val="0"/>
                <w:color w:val="000000"/>
                <w:sz w:val="20"/>
                <w:lang w:val="en-US" w:eastAsia="zh-CN"/>
              </w:rPr>
            </w:pPr>
            <w:r>
              <w:rPr>
                <w:rFonts w:hint="default" w:ascii="Arial" w:hAnsi="Arial" w:eastAsia="Arial" w:cs="Arial"/>
                <w:b w:val="0"/>
                <w:color w:val="000000"/>
                <w:sz w:val="20"/>
                <w:lang w:eastAsia="zh-CN"/>
              </w:rPr>
              <w:t xml:space="preserve">MedChemExpress </w:t>
            </w:r>
          </w:p>
        </w:tc>
        <w:tc>
          <w:tcPr>
            <w:tcW w:w="2603" w:type="dxa"/>
            <w:tcBorders>
              <w:top w:val="nil"/>
              <w:bottom w:val="nil"/>
            </w:tcBorders>
            <w:shd w:val="clear" w:color="auto" w:fill="FFFFFF"/>
            <w:vAlign w:val="center"/>
          </w:tcPr>
          <w:p w14:paraId="294DF4F8">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w:t>
            </w:r>
            <w:r>
              <w:rPr>
                <w:rFonts w:hint="eastAsia" w:ascii="Arial" w:hAnsi="Arial" w:cs="Arial"/>
                <w:b w:val="0"/>
                <w:color w:val="000000"/>
                <w:sz w:val="20"/>
                <w:lang w:val="en-US" w:eastAsia="zh-CN"/>
              </w:rPr>
              <w:t xml:space="preserve"> </w:t>
            </w:r>
            <w:r>
              <w:rPr>
                <w:rFonts w:hint="default" w:ascii="Arial" w:hAnsi="Arial" w:cs="Arial"/>
                <w:b w:val="0"/>
                <w:color w:val="000000"/>
                <w:sz w:val="20"/>
                <w:lang w:val="en-US" w:eastAsia="zh-CN"/>
              </w:rPr>
              <w:t>HY-P7275</w:t>
            </w:r>
          </w:p>
        </w:tc>
      </w:tr>
      <w:tr w14:paraId="40435A2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4EE1DEC5">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P</w:t>
            </w:r>
            <w:r>
              <w:rPr>
                <w:rFonts w:hint="default" w:ascii="Arial" w:hAnsi="Arial" w:cs="Arial"/>
                <w:b w:val="0"/>
                <w:color w:val="000000"/>
                <w:sz w:val="20"/>
                <w:lang w:val="en-GB" w:eastAsia="zh-CN"/>
              </w:rPr>
              <w:t xml:space="preserve">araformaldehyde (PFA) </w:t>
            </w:r>
          </w:p>
        </w:tc>
        <w:tc>
          <w:tcPr>
            <w:tcW w:w="2818" w:type="dxa"/>
            <w:tcBorders>
              <w:top w:val="nil"/>
              <w:bottom w:val="nil"/>
            </w:tcBorders>
            <w:shd w:val="clear" w:color="auto" w:fill="FFFFFF"/>
            <w:vAlign w:val="center"/>
          </w:tcPr>
          <w:p w14:paraId="5A475AD5">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GB" w:eastAsia="zh-CN"/>
              </w:rPr>
              <w:t>Servicebio</w:t>
            </w:r>
          </w:p>
        </w:tc>
        <w:tc>
          <w:tcPr>
            <w:tcW w:w="2603" w:type="dxa"/>
            <w:tcBorders>
              <w:top w:val="nil"/>
              <w:bottom w:val="nil"/>
            </w:tcBorders>
            <w:shd w:val="clear" w:color="auto" w:fill="FFFFFF"/>
            <w:vAlign w:val="center"/>
          </w:tcPr>
          <w:p w14:paraId="4FE231E7">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 xml:space="preserve">Cat # </w:t>
            </w:r>
            <w:r>
              <w:rPr>
                <w:rFonts w:hint="default" w:ascii="Arial" w:hAnsi="Arial" w:cs="Arial"/>
                <w:b w:val="0"/>
                <w:color w:val="000000"/>
                <w:sz w:val="20"/>
                <w:lang w:val="en-GB" w:eastAsia="zh-CN"/>
              </w:rPr>
              <w:t>G1101</w:t>
            </w:r>
          </w:p>
        </w:tc>
      </w:tr>
      <w:tr w14:paraId="729FD20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5EA496C8">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PBS</w:t>
            </w:r>
            <w:r>
              <w:rPr>
                <w:rFonts w:hint="default" w:ascii="Arial" w:hAnsi="Arial" w:cs="Arial"/>
                <w:b w:val="0"/>
                <w:color w:val="000000"/>
                <w:sz w:val="20"/>
                <w:lang w:val="en-US" w:eastAsia="zh-CN"/>
              </w:rPr>
              <w:tab/>
            </w:r>
          </w:p>
        </w:tc>
        <w:tc>
          <w:tcPr>
            <w:tcW w:w="2818" w:type="dxa"/>
            <w:tcBorders>
              <w:top w:val="nil"/>
              <w:bottom w:val="nil"/>
            </w:tcBorders>
            <w:shd w:val="clear" w:color="auto" w:fill="FFFFFF"/>
            <w:vAlign w:val="center"/>
          </w:tcPr>
          <w:p w14:paraId="5D4ABF6A">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Solarbio</w:t>
            </w:r>
          </w:p>
        </w:tc>
        <w:tc>
          <w:tcPr>
            <w:tcW w:w="2603" w:type="dxa"/>
            <w:tcBorders>
              <w:top w:val="nil"/>
              <w:bottom w:val="nil"/>
            </w:tcBorders>
            <w:shd w:val="clear" w:color="auto" w:fill="FFFFFF"/>
            <w:vAlign w:val="center"/>
          </w:tcPr>
          <w:p w14:paraId="4DEC4323">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 xml:space="preserve">Cat # </w:t>
            </w:r>
            <w:r>
              <w:rPr>
                <w:rFonts w:hint="default" w:ascii="Arial" w:hAnsi="Arial" w:cs="Arial"/>
                <w:b w:val="0"/>
                <w:color w:val="000000"/>
                <w:sz w:val="20"/>
                <w:lang w:val="en-US" w:eastAsia="zh-CN"/>
              </w:rPr>
              <w:fldChar w:fldCharType="begin"/>
            </w:r>
            <w:r>
              <w:rPr>
                <w:rFonts w:hint="default" w:ascii="Arial" w:hAnsi="Arial" w:cs="Arial"/>
                <w:b w:val="0"/>
                <w:color w:val="000000"/>
                <w:sz w:val="20"/>
                <w:lang w:val="en-US" w:eastAsia="zh-CN"/>
              </w:rPr>
              <w:instrText xml:space="preserve"> HYPERLINK "https://www.solarbio.com/goods-433.html" \t "https://www.solarbio.com/_blank" </w:instrText>
            </w:r>
            <w:r>
              <w:rPr>
                <w:rFonts w:hint="default" w:ascii="Arial" w:hAnsi="Arial" w:cs="Arial"/>
                <w:b w:val="0"/>
                <w:color w:val="000000"/>
                <w:sz w:val="20"/>
                <w:lang w:val="en-US" w:eastAsia="zh-CN"/>
              </w:rPr>
              <w:fldChar w:fldCharType="separate"/>
            </w:r>
            <w:r>
              <w:rPr>
                <w:rFonts w:hint="default" w:ascii="Arial" w:hAnsi="Arial" w:cs="Arial"/>
                <w:b w:val="0"/>
                <w:color w:val="000000"/>
                <w:sz w:val="20"/>
                <w:lang w:val="en-US" w:eastAsia="zh-CN"/>
              </w:rPr>
              <w:t>P1010</w:t>
            </w:r>
            <w:r>
              <w:rPr>
                <w:rFonts w:hint="default" w:ascii="Arial" w:hAnsi="Arial" w:cs="Arial"/>
                <w:b w:val="0"/>
                <w:color w:val="000000"/>
                <w:sz w:val="20"/>
                <w:lang w:val="en-US" w:eastAsia="zh-CN"/>
              </w:rPr>
              <w:fldChar w:fldCharType="end"/>
            </w:r>
          </w:p>
        </w:tc>
      </w:tr>
      <w:tr w14:paraId="71EAC0D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13520AB6">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RIPA</w:t>
            </w:r>
          </w:p>
        </w:tc>
        <w:tc>
          <w:tcPr>
            <w:tcW w:w="2818" w:type="dxa"/>
            <w:tcBorders>
              <w:top w:val="nil"/>
              <w:bottom w:val="nil"/>
            </w:tcBorders>
            <w:shd w:val="clear" w:color="auto" w:fill="FFFFFF"/>
            <w:vAlign w:val="center"/>
          </w:tcPr>
          <w:p w14:paraId="0A6EE38D">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Beyotime</w:t>
            </w:r>
          </w:p>
        </w:tc>
        <w:tc>
          <w:tcPr>
            <w:tcW w:w="2603" w:type="dxa"/>
            <w:tcBorders>
              <w:top w:val="nil"/>
              <w:bottom w:val="nil"/>
            </w:tcBorders>
            <w:shd w:val="clear" w:color="auto" w:fill="FFFFFF"/>
            <w:vAlign w:val="center"/>
          </w:tcPr>
          <w:p w14:paraId="2AAC1BC4">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 P0013B</w:t>
            </w:r>
          </w:p>
        </w:tc>
      </w:tr>
      <w:tr w14:paraId="53EABF6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0CAF9686">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 xml:space="preserve">TNF-α </w:t>
            </w:r>
            <w:r>
              <w:rPr>
                <w:rFonts w:hint="eastAsia" w:ascii="Arial" w:hAnsi="Arial" w:cs="Arial"/>
                <w:b w:val="0"/>
                <w:color w:val="000000"/>
                <w:sz w:val="20"/>
                <w:lang w:val="en-US" w:eastAsia="zh-CN"/>
              </w:rPr>
              <w:t xml:space="preserve">mouse </w:t>
            </w:r>
            <w:r>
              <w:rPr>
                <w:rFonts w:hint="default" w:ascii="Arial" w:hAnsi="Arial" w:cs="Arial"/>
                <w:b w:val="0"/>
                <w:color w:val="000000"/>
                <w:sz w:val="20"/>
                <w:lang w:val="en-US" w:eastAsia="zh-CN"/>
              </w:rPr>
              <w:t>protein</w:t>
            </w:r>
          </w:p>
        </w:tc>
        <w:tc>
          <w:tcPr>
            <w:tcW w:w="2818" w:type="dxa"/>
            <w:tcBorders>
              <w:top w:val="nil"/>
              <w:bottom w:val="nil"/>
            </w:tcBorders>
            <w:shd w:val="clear" w:color="auto" w:fill="FFFFFF"/>
            <w:vAlign w:val="center"/>
          </w:tcPr>
          <w:p w14:paraId="78699575">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M</w:t>
            </w:r>
            <w:r>
              <w:rPr>
                <w:rFonts w:hint="default" w:ascii="Arial" w:hAnsi="Arial" w:cs="Arial"/>
                <w:b w:val="0"/>
                <w:color w:val="000000"/>
                <w:sz w:val="20"/>
                <w:lang w:val="en-US" w:eastAsia="zh-CN"/>
              </w:rPr>
              <w:t xml:space="preserve">edChemExpress </w:t>
            </w:r>
          </w:p>
        </w:tc>
        <w:tc>
          <w:tcPr>
            <w:tcW w:w="2603" w:type="dxa"/>
            <w:tcBorders>
              <w:top w:val="nil"/>
              <w:bottom w:val="nil"/>
            </w:tcBorders>
            <w:shd w:val="clear" w:color="auto" w:fill="FFFFFF"/>
            <w:vAlign w:val="center"/>
          </w:tcPr>
          <w:p w14:paraId="478CE26E">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w:t>
            </w:r>
            <w:r>
              <w:rPr>
                <w:rFonts w:hint="eastAsia" w:ascii="Arial" w:hAnsi="Arial" w:cs="Arial"/>
                <w:b w:val="0"/>
                <w:color w:val="000000"/>
                <w:sz w:val="20"/>
                <w:lang w:val="en-US" w:eastAsia="zh-CN"/>
              </w:rPr>
              <w:t xml:space="preserve"> </w:t>
            </w:r>
            <w:r>
              <w:rPr>
                <w:rFonts w:hint="default" w:ascii="Arial" w:hAnsi="Arial" w:cs="Arial"/>
                <w:b w:val="0"/>
                <w:color w:val="000000"/>
                <w:sz w:val="20"/>
                <w:lang w:val="en-US" w:eastAsia="zh-CN"/>
              </w:rPr>
              <w:fldChar w:fldCharType="begin"/>
            </w:r>
            <w:r>
              <w:rPr>
                <w:rFonts w:hint="default" w:ascii="Arial" w:hAnsi="Arial" w:cs="Arial"/>
                <w:b w:val="0"/>
                <w:color w:val="000000"/>
                <w:sz w:val="20"/>
                <w:lang w:val="en-US" w:eastAsia="zh-CN"/>
              </w:rPr>
              <w:instrText xml:space="preserve"> HYPERLINK "https://www.medchemexpress.cn/recombinant-proteins/tnf-alpha-tnfsf2-protein-guinea-n-his.html" </w:instrText>
            </w:r>
            <w:r>
              <w:rPr>
                <w:rFonts w:hint="default" w:ascii="Arial" w:hAnsi="Arial" w:cs="Arial"/>
                <w:b w:val="0"/>
                <w:color w:val="000000"/>
                <w:sz w:val="20"/>
                <w:lang w:val="en-US" w:eastAsia="zh-CN"/>
              </w:rPr>
              <w:fldChar w:fldCharType="separate"/>
            </w:r>
            <w:r>
              <w:rPr>
                <w:rFonts w:hint="default" w:ascii="Arial" w:hAnsi="Arial" w:cs="Arial"/>
                <w:b w:val="0"/>
                <w:color w:val="000000"/>
                <w:sz w:val="20"/>
                <w:lang w:val="en-US" w:eastAsia="zh-CN"/>
              </w:rPr>
              <w:t>HY-P79165A</w:t>
            </w:r>
            <w:r>
              <w:rPr>
                <w:rFonts w:hint="default" w:ascii="Arial" w:hAnsi="Arial" w:cs="Arial"/>
                <w:b w:val="0"/>
                <w:color w:val="000000"/>
                <w:sz w:val="20"/>
                <w:lang w:val="en-US" w:eastAsia="zh-CN"/>
              </w:rPr>
              <w:fldChar w:fldCharType="end"/>
            </w:r>
          </w:p>
        </w:tc>
      </w:tr>
      <w:tr w14:paraId="01E187D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02D19596">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Trypsin</w:t>
            </w:r>
          </w:p>
        </w:tc>
        <w:tc>
          <w:tcPr>
            <w:tcW w:w="2818" w:type="dxa"/>
            <w:tcBorders>
              <w:top w:val="nil"/>
              <w:bottom w:val="nil"/>
            </w:tcBorders>
            <w:shd w:val="clear" w:color="auto" w:fill="FFFFFF"/>
            <w:vAlign w:val="center"/>
          </w:tcPr>
          <w:p w14:paraId="541F9866">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Gibco</w:t>
            </w:r>
          </w:p>
        </w:tc>
        <w:tc>
          <w:tcPr>
            <w:tcW w:w="2603" w:type="dxa"/>
            <w:tcBorders>
              <w:top w:val="nil"/>
              <w:bottom w:val="nil"/>
            </w:tcBorders>
            <w:shd w:val="clear" w:color="auto" w:fill="FFFFFF"/>
            <w:vAlign w:val="center"/>
          </w:tcPr>
          <w:p w14:paraId="7FE2B4E0">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 R001100</w:t>
            </w:r>
          </w:p>
        </w:tc>
      </w:tr>
      <w:tr w14:paraId="1F74230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3B619FAE">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VEGF</w:t>
            </w:r>
            <w:r>
              <w:rPr>
                <w:rFonts w:hint="eastAsia" w:ascii="Arial" w:hAnsi="Arial" w:cs="Arial"/>
                <w:b w:val="0"/>
                <w:color w:val="000000"/>
                <w:sz w:val="20"/>
                <w:lang w:val="en-US" w:eastAsia="zh-CN"/>
              </w:rPr>
              <w:t>R</w:t>
            </w:r>
            <w:r>
              <w:rPr>
                <w:rFonts w:hint="default" w:ascii="Arial" w:hAnsi="Arial" w:cs="Arial"/>
                <w:b w:val="0"/>
                <w:color w:val="000000"/>
                <w:sz w:val="20"/>
                <w:lang w:val="en-US" w:eastAsia="zh-CN"/>
              </w:rPr>
              <w:t xml:space="preserve"> activator</w:t>
            </w:r>
          </w:p>
        </w:tc>
        <w:tc>
          <w:tcPr>
            <w:tcW w:w="2818" w:type="dxa"/>
            <w:tcBorders>
              <w:top w:val="nil"/>
              <w:bottom w:val="nil"/>
            </w:tcBorders>
            <w:shd w:val="clear" w:color="auto" w:fill="FFFFFF"/>
            <w:vAlign w:val="center"/>
          </w:tcPr>
          <w:p w14:paraId="5114032E">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 xml:space="preserve">MedChemExpress </w:t>
            </w:r>
          </w:p>
        </w:tc>
        <w:tc>
          <w:tcPr>
            <w:tcW w:w="2603" w:type="dxa"/>
            <w:tcBorders>
              <w:top w:val="nil"/>
              <w:bottom w:val="nil"/>
            </w:tcBorders>
            <w:shd w:val="clear" w:color="auto" w:fill="FFFFFF"/>
            <w:vAlign w:val="center"/>
          </w:tcPr>
          <w:p w14:paraId="08D9AF9E">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 7646-79-9</w:t>
            </w:r>
          </w:p>
        </w:tc>
      </w:tr>
      <w:tr w14:paraId="652020A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nil"/>
            </w:tcBorders>
            <w:shd w:val="clear" w:color="auto" w:fill="FFFFFF"/>
            <w:vAlign w:val="center"/>
          </w:tcPr>
          <w:p w14:paraId="5607E8B5">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VEGF</w:t>
            </w:r>
            <w:r>
              <w:rPr>
                <w:rFonts w:hint="eastAsia" w:ascii="Arial" w:hAnsi="Arial" w:cs="Arial"/>
                <w:b w:val="0"/>
                <w:color w:val="000000"/>
                <w:sz w:val="20"/>
                <w:lang w:val="en-US" w:eastAsia="zh-CN"/>
              </w:rPr>
              <w:t>R</w:t>
            </w:r>
            <w:r>
              <w:rPr>
                <w:rFonts w:hint="default" w:ascii="Arial" w:hAnsi="Arial" w:cs="Arial"/>
                <w:b w:val="0"/>
                <w:color w:val="000000"/>
                <w:sz w:val="20"/>
                <w:lang w:val="en-US" w:eastAsia="zh-CN"/>
              </w:rPr>
              <w:t xml:space="preserve"> inhibitor</w:t>
            </w:r>
          </w:p>
        </w:tc>
        <w:tc>
          <w:tcPr>
            <w:tcW w:w="2818" w:type="dxa"/>
            <w:tcBorders>
              <w:top w:val="nil"/>
              <w:bottom w:val="nil"/>
            </w:tcBorders>
            <w:shd w:val="clear" w:color="auto" w:fill="FFFFFF"/>
            <w:vAlign w:val="center"/>
          </w:tcPr>
          <w:p w14:paraId="2137A010">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M</w:t>
            </w:r>
            <w:r>
              <w:rPr>
                <w:rFonts w:hint="default" w:ascii="Arial" w:hAnsi="Arial" w:cs="Arial"/>
                <w:b w:val="0"/>
                <w:color w:val="000000"/>
                <w:sz w:val="20"/>
                <w:lang w:val="en-US" w:eastAsia="zh-CN"/>
              </w:rPr>
              <w:t xml:space="preserve">edChemExpress </w:t>
            </w:r>
          </w:p>
        </w:tc>
        <w:tc>
          <w:tcPr>
            <w:tcW w:w="2603" w:type="dxa"/>
            <w:tcBorders>
              <w:top w:val="nil"/>
              <w:bottom w:val="nil"/>
            </w:tcBorders>
            <w:shd w:val="clear" w:color="auto" w:fill="FFFFFF"/>
            <w:vAlign w:val="center"/>
          </w:tcPr>
          <w:p w14:paraId="4EAE2931">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w:t>
            </w:r>
            <w:r>
              <w:rPr>
                <w:rFonts w:hint="eastAsia" w:ascii="Arial" w:hAnsi="Arial" w:cs="Arial"/>
                <w:b w:val="0"/>
                <w:color w:val="000000"/>
                <w:sz w:val="20"/>
                <w:lang w:val="en-US" w:eastAsia="zh-CN"/>
              </w:rPr>
              <w:t xml:space="preserve"> </w:t>
            </w:r>
            <w:r>
              <w:rPr>
                <w:rFonts w:hint="default" w:ascii="Arial" w:hAnsi="Arial" w:cs="Arial"/>
                <w:b w:val="0"/>
                <w:color w:val="000000"/>
                <w:sz w:val="20"/>
                <w:lang w:val="en-US" w:eastAsia="zh-CN"/>
              </w:rPr>
              <w:t>HY-P9906 </w:t>
            </w:r>
          </w:p>
        </w:tc>
      </w:tr>
      <w:tr w14:paraId="4FB5A72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39" w:type="dxa"/>
            <w:tcBorders>
              <w:top w:val="nil"/>
              <w:bottom w:val="single" w:color="000000" w:sz="12" w:space="0"/>
            </w:tcBorders>
            <w:shd w:val="clear" w:color="auto" w:fill="FFFFFF"/>
            <w:vAlign w:val="center"/>
          </w:tcPr>
          <w:p w14:paraId="6EECDF45">
            <w:pPr>
              <w:widowControl w:val="0"/>
              <w:jc w:val="both"/>
              <w:rPr>
                <w:rFonts w:hint="default" w:ascii="Arial" w:hAnsi="Arial" w:cs="Arial"/>
                <w:b w:val="0"/>
                <w:color w:val="000000"/>
                <w:sz w:val="20"/>
              </w:rPr>
            </w:pPr>
            <w:r>
              <w:rPr>
                <w:rFonts w:hint="default" w:ascii="Arial" w:hAnsi="Arial" w:cs="Arial"/>
                <w:b w:val="0"/>
                <w:color w:val="000000"/>
                <w:sz w:val="20"/>
              </w:rPr>
              <w:t>Xylene</w:t>
            </w:r>
          </w:p>
        </w:tc>
        <w:tc>
          <w:tcPr>
            <w:tcW w:w="2818" w:type="dxa"/>
            <w:tcBorders>
              <w:top w:val="nil"/>
              <w:bottom w:val="single" w:color="000000" w:sz="12" w:space="0"/>
            </w:tcBorders>
            <w:shd w:val="clear" w:color="auto" w:fill="FFFFFF"/>
            <w:vAlign w:val="center"/>
          </w:tcPr>
          <w:p w14:paraId="726DF58C">
            <w:pPr>
              <w:widowControl w:val="0"/>
              <w:jc w:val="both"/>
              <w:rPr>
                <w:rFonts w:hint="default" w:ascii="Arial" w:hAnsi="Arial" w:eastAsia="Times New Roman" w:cs="Arial"/>
                <w:b w:val="0"/>
                <w:color w:val="000000"/>
                <w:sz w:val="20"/>
                <w:lang w:val="en-GB"/>
              </w:rPr>
            </w:pPr>
            <w:r>
              <w:rPr>
                <w:rFonts w:hint="default" w:ascii="Arial" w:hAnsi="Arial" w:cs="Arial"/>
                <w:b w:val="0"/>
                <w:color w:val="000000"/>
                <w:sz w:val="20"/>
              </w:rPr>
              <w:t>Chembk</w:t>
            </w:r>
          </w:p>
        </w:tc>
        <w:tc>
          <w:tcPr>
            <w:tcW w:w="2603" w:type="dxa"/>
            <w:tcBorders>
              <w:top w:val="nil"/>
              <w:bottom w:val="single" w:color="000000" w:sz="12" w:space="0"/>
            </w:tcBorders>
            <w:shd w:val="clear" w:color="auto" w:fill="FFFFFF"/>
            <w:vAlign w:val="center"/>
          </w:tcPr>
          <w:p w14:paraId="1A700D8E">
            <w:pPr>
              <w:widowControl w:val="0"/>
              <w:jc w:val="both"/>
              <w:rPr>
                <w:rFonts w:hint="default" w:ascii="Arial" w:hAnsi="Arial" w:eastAsia="AdvPSA183" w:cs="Arial"/>
                <w:b w:val="0"/>
                <w:color w:val="000000"/>
                <w:sz w:val="20"/>
                <w:lang w:bidi="ar"/>
              </w:rPr>
            </w:pPr>
            <w:r>
              <w:rPr>
                <w:rFonts w:hint="default" w:ascii="Arial" w:hAnsi="Arial" w:eastAsia="AdvPSA183" w:cs="Arial"/>
                <w:b w:val="0"/>
                <w:color w:val="000000"/>
                <w:sz w:val="20"/>
                <w:lang w:bidi="ar"/>
              </w:rPr>
              <w:t>Cat # 128686-03-3</w:t>
            </w:r>
          </w:p>
        </w:tc>
      </w:tr>
    </w:tbl>
    <w:p w14:paraId="5614D185">
      <w:pPr>
        <w:adjustRightInd w:val="0"/>
        <w:snapToGrid w:val="0"/>
        <w:spacing w:line="480" w:lineRule="auto"/>
        <w:jc w:val="both"/>
        <w:rPr>
          <w:rFonts w:ascii="Arial" w:hAnsi="Arial" w:cs="Arial"/>
          <w:b/>
          <w:bCs/>
          <w:color w:val="000000" w:themeColor="text1"/>
          <w:sz w:val="28"/>
          <w:szCs w:val="28"/>
          <w14:textFill>
            <w14:solidFill>
              <w14:schemeClr w14:val="tx1"/>
            </w14:solidFill>
          </w14:textFill>
        </w:rPr>
      </w:pPr>
    </w:p>
    <w:p w14:paraId="556605AD">
      <w:pPr>
        <w:adjustRightInd w:val="0"/>
        <w:snapToGrid w:val="0"/>
        <w:spacing w:line="360" w:lineRule="auto"/>
        <w:jc w:val="both"/>
        <w:rPr>
          <w:rFonts w:ascii="Arial" w:hAnsi="Arial" w:cs="Arial"/>
          <w:color w:val="000000" w:themeColor="text1"/>
          <w:sz w:val="22"/>
          <w:szCs w:val="22"/>
          <w14:textFill>
            <w14:solidFill>
              <w14:schemeClr w14:val="tx1"/>
            </w14:solidFill>
          </w14:textFill>
        </w:rPr>
      </w:pPr>
      <w:r>
        <w:rPr>
          <w:rFonts w:hint="eastAsia" w:ascii="Arial" w:hAnsi="Arial" w:cs="Arial"/>
          <w:b/>
          <w:bCs/>
          <w:color w:val="000000" w:themeColor="text1"/>
          <w:sz w:val="22"/>
          <w:szCs w:val="22"/>
          <w14:textFill>
            <w14:solidFill>
              <w14:schemeClr w14:val="tx1"/>
            </w14:solidFill>
          </w14:textFill>
        </w:rPr>
        <w:t xml:space="preserve">Extended Data </w:t>
      </w:r>
      <w:r>
        <w:rPr>
          <w:rFonts w:hint="eastAsia" w:ascii="Arial" w:hAnsi="Arial" w:cs="Arial"/>
          <w:b/>
          <w:bCs/>
          <w:color w:val="000000" w:themeColor="text1"/>
          <w:sz w:val="22"/>
          <w:szCs w:val="22"/>
          <w:lang w:val="en-US" w:eastAsia="zh-CN"/>
          <w14:textFill>
            <w14:solidFill>
              <w14:schemeClr w14:val="tx1"/>
            </w14:solidFill>
          </w14:textFill>
        </w:rPr>
        <w:t>Table</w:t>
      </w:r>
      <w:r>
        <w:rPr>
          <w:rFonts w:hint="eastAsia" w:ascii="Arial" w:hAnsi="Arial" w:cs="Arial"/>
          <w:b/>
          <w:bCs/>
          <w:color w:val="000000" w:themeColor="text1"/>
          <w:sz w:val="22"/>
          <w:szCs w:val="22"/>
          <w14:textFill>
            <w14:solidFill>
              <w14:schemeClr w14:val="tx1"/>
            </w14:solidFill>
          </w14:textFill>
        </w:rPr>
        <w:t xml:space="preserve"> </w:t>
      </w:r>
      <w:r>
        <w:rPr>
          <w:rFonts w:hint="eastAsia" w:ascii="Arial" w:hAnsi="Arial" w:cs="Arial"/>
          <w:b/>
          <w:bCs/>
          <w:color w:val="000000" w:themeColor="text1"/>
          <w:sz w:val="22"/>
          <w:szCs w:val="22"/>
          <w:lang w:val="en-US" w:eastAsia="zh-CN"/>
          <w14:textFill>
            <w14:solidFill>
              <w14:schemeClr w14:val="tx1"/>
            </w14:solidFill>
          </w14:textFill>
        </w:rPr>
        <w:t>2</w:t>
      </w:r>
      <w:r>
        <w:rPr>
          <w:rFonts w:hint="eastAsia" w:ascii="Arial" w:hAnsi="Arial" w:cs="Arial"/>
          <w:b/>
          <w:bCs/>
          <w:color w:val="000000" w:themeColor="text1"/>
          <w:sz w:val="22"/>
          <w:szCs w:val="22"/>
          <w14:textFill>
            <w14:solidFill>
              <w14:schemeClr w14:val="tx1"/>
            </w14:solidFill>
          </w14:textFill>
        </w:rPr>
        <w:t>:</w:t>
      </w:r>
      <w:r>
        <w:rPr>
          <w:rFonts w:hint="eastAsia" w:ascii="Arial" w:hAnsi="Arial" w:cs="Arial"/>
          <w:color w:val="000000" w:themeColor="text1"/>
          <w:sz w:val="22"/>
          <w:szCs w:val="22"/>
          <w:lang w:eastAsia="zh-CN"/>
          <w14:textFill>
            <w14:solidFill>
              <w14:schemeClr w14:val="tx1"/>
            </w14:solidFill>
          </w14:textFill>
        </w:rPr>
        <w:t xml:space="preserve"> </w:t>
      </w:r>
      <w:r>
        <w:rPr>
          <w:rFonts w:hint="eastAsia" w:ascii="Arial" w:hAnsi="Arial" w:cs="Arial"/>
          <w:color w:val="000000" w:themeColor="text1"/>
          <w:sz w:val="22"/>
          <w:szCs w:val="22"/>
          <w14:textFill>
            <w14:solidFill>
              <w14:schemeClr w14:val="tx1"/>
            </w14:solidFill>
          </w14:textFill>
        </w:rPr>
        <w:t xml:space="preserve"> The antibody information used in immunostaining</w:t>
      </w:r>
    </w:p>
    <w:tbl>
      <w:tblPr>
        <w:tblStyle w:val="4"/>
        <w:tblW w:w="8660"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239"/>
        <w:gridCol w:w="2818"/>
        <w:gridCol w:w="2603"/>
      </w:tblGrid>
      <w:tr w14:paraId="2A994BE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8" w:hRule="atLeast"/>
        </w:trPr>
        <w:tc>
          <w:tcPr>
            <w:tcW w:w="3239" w:type="dxa"/>
            <w:tcBorders>
              <w:top w:val="single" w:color="000000" w:sz="12" w:space="0"/>
              <w:bottom w:val="single" w:color="000000" w:sz="4" w:space="0"/>
              <w:tl2br w:val="nil"/>
            </w:tcBorders>
            <w:shd w:val="clear" w:color="auto" w:fill="FFFFFF"/>
            <w:vAlign w:val="center"/>
          </w:tcPr>
          <w:p w14:paraId="4D8E8A48">
            <w:pPr>
              <w:widowControl w:val="0"/>
              <w:jc w:val="both"/>
              <w:rPr>
                <w:rFonts w:ascii="Arial" w:hAnsi="Arial" w:cs="Arial"/>
                <w:b w:val="0"/>
                <w:color w:val="000000" w:themeColor="text1"/>
                <w14:textFill>
                  <w14:solidFill>
                    <w14:schemeClr w14:val="tx1"/>
                  </w14:solidFill>
                </w14:textFill>
              </w:rPr>
            </w:pPr>
            <w:r>
              <w:rPr>
                <w:rFonts w:ascii="Arial" w:hAnsi="Arial" w:eastAsia="AdvPSA183" w:cs="Arial"/>
                <w:b w:val="0"/>
                <w:bCs/>
                <w:color w:val="000000" w:themeColor="text1"/>
                <w:sz w:val="20"/>
                <w:lang w:bidi="ar"/>
                <w14:textFill>
                  <w14:solidFill>
                    <w14:schemeClr w14:val="tx1"/>
                  </w14:solidFill>
                </w14:textFill>
              </w:rPr>
              <w:t>Antibody</w:t>
            </w:r>
          </w:p>
        </w:tc>
        <w:tc>
          <w:tcPr>
            <w:tcW w:w="2818" w:type="dxa"/>
            <w:tcBorders>
              <w:top w:val="single" w:color="000000" w:sz="12" w:space="0"/>
              <w:bottom w:val="single" w:color="000000" w:sz="4" w:space="0"/>
            </w:tcBorders>
            <w:shd w:val="clear" w:color="auto" w:fill="FFFFFF"/>
            <w:vAlign w:val="center"/>
          </w:tcPr>
          <w:p w14:paraId="45050A2B">
            <w:pPr>
              <w:widowControl w:val="0"/>
              <w:jc w:val="both"/>
              <w:rPr>
                <w:rFonts w:ascii="Arial" w:hAnsi="Arial" w:cs="Arial"/>
                <w:b w:val="0"/>
                <w:bCs/>
                <w:color w:val="000000" w:themeColor="text1"/>
                <w:sz w:val="20"/>
                <w:lang w:eastAsia="zh-CN" w:bidi="ar"/>
                <w14:textFill>
                  <w14:solidFill>
                    <w14:schemeClr w14:val="tx1"/>
                  </w14:solidFill>
                </w14:textFill>
              </w:rPr>
            </w:pPr>
            <w:r>
              <w:rPr>
                <w:rFonts w:hint="eastAsia" w:ascii="Arial" w:hAnsi="Arial" w:cs="Arial"/>
                <w:b w:val="0"/>
                <w:bCs/>
                <w:color w:val="000000" w:themeColor="text1"/>
                <w:sz w:val="20"/>
                <w:lang w:eastAsia="zh-CN" w:bidi="ar"/>
                <w14:textFill>
                  <w14:solidFill>
                    <w14:schemeClr w14:val="tx1"/>
                  </w14:solidFill>
                </w14:textFill>
              </w:rPr>
              <w:t>Company</w:t>
            </w:r>
          </w:p>
        </w:tc>
        <w:tc>
          <w:tcPr>
            <w:tcW w:w="2603" w:type="dxa"/>
            <w:tcBorders>
              <w:top w:val="single" w:color="000000" w:sz="12" w:space="0"/>
              <w:bottom w:val="single" w:color="000000" w:sz="4" w:space="0"/>
            </w:tcBorders>
            <w:shd w:val="clear" w:color="auto" w:fill="FFFFFF"/>
            <w:vAlign w:val="center"/>
          </w:tcPr>
          <w:p w14:paraId="76F47EF9">
            <w:pPr>
              <w:widowControl w:val="0"/>
              <w:jc w:val="both"/>
              <w:rPr>
                <w:rFonts w:hint="default" w:ascii="Arial" w:hAnsi="Arial" w:cs="Arial"/>
                <w:b w:val="0"/>
                <w:bCs/>
                <w:color w:val="000000" w:themeColor="text1"/>
                <w:sz w:val="20"/>
                <w:lang w:val="en-US" w:eastAsia="zh-CN" w:bidi="ar"/>
                <w14:textFill>
                  <w14:solidFill>
                    <w14:schemeClr w14:val="tx1"/>
                  </w14:solidFill>
                </w14:textFill>
              </w:rPr>
            </w:pPr>
            <w:r>
              <w:rPr>
                <w:rFonts w:hint="eastAsia" w:ascii="Arial" w:hAnsi="Arial" w:cs="Arial"/>
                <w:b w:val="0"/>
                <w:bCs/>
                <w:color w:val="000000" w:themeColor="text1"/>
                <w:sz w:val="20"/>
                <w:lang w:eastAsia="zh-CN" w:bidi="ar"/>
                <w14:textFill>
                  <w14:solidFill>
                    <w14:schemeClr w14:val="tx1"/>
                  </w14:solidFill>
                </w14:textFill>
              </w:rPr>
              <w:t xml:space="preserve">Cat </w:t>
            </w:r>
            <w:r>
              <w:rPr>
                <w:rFonts w:hint="eastAsia" w:ascii="Arial" w:hAnsi="Arial" w:cs="Arial"/>
                <w:b w:val="0"/>
                <w:bCs/>
                <w:color w:val="000000" w:themeColor="text1"/>
                <w:sz w:val="20"/>
                <w:lang w:val="en-US" w:eastAsia="zh-CN" w:bidi="ar"/>
                <w14:textFill>
                  <w14:solidFill>
                    <w14:schemeClr w14:val="tx1"/>
                  </w14:solidFill>
                </w14:textFill>
              </w:rPr>
              <w:t>number</w:t>
            </w:r>
          </w:p>
        </w:tc>
      </w:tr>
      <w:tr w14:paraId="66ADC83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single" w:color="000000" w:sz="4" w:space="0"/>
              <w:bottom w:val="nil"/>
            </w:tcBorders>
            <w:shd w:val="clear" w:color="auto" w:fill="FFFFFF"/>
            <w:vAlign w:val="center"/>
          </w:tcPr>
          <w:p w14:paraId="6B001E41">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DAPI</w:t>
            </w:r>
          </w:p>
        </w:tc>
        <w:tc>
          <w:tcPr>
            <w:tcW w:w="2818" w:type="dxa"/>
            <w:tcBorders>
              <w:top w:val="single" w:color="000000" w:sz="4" w:space="0"/>
              <w:bottom w:val="nil"/>
            </w:tcBorders>
            <w:shd w:val="clear" w:color="auto" w:fill="FFFFFF"/>
            <w:vAlign w:val="center"/>
          </w:tcPr>
          <w:p w14:paraId="2DA8FC6B">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Beyotime</w:t>
            </w:r>
          </w:p>
        </w:tc>
        <w:tc>
          <w:tcPr>
            <w:tcW w:w="2603" w:type="dxa"/>
            <w:tcBorders>
              <w:top w:val="single" w:color="000000" w:sz="4" w:space="0"/>
              <w:bottom w:val="nil"/>
            </w:tcBorders>
            <w:shd w:val="clear" w:color="auto" w:fill="FFFFFF"/>
            <w:vAlign w:val="center"/>
          </w:tcPr>
          <w:p w14:paraId="36BD7597">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 C1005</w:t>
            </w:r>
          </w:p>
        </w:tc>
      </w:tr>
      <w:tr w14:paraId="35EFE37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77FDCE03">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E-cadherin</w:t>
            </w:r>
          </w:p>
        </w:tc>
        <w:tc>
          <w:tcPr>
            <w:tcW w:w="2818" w:type="dxa"/>
            <w:tcBorders>
              <w:top w:val="nil"/>
              <w:bottom w:val="nil"/>
            </w:tcBorders>
            <w:shd w:val="clear" w:color="auto" w:fill="FFFFFF"/>
            <w:vAlign w:val="center"/>
          </w:tcPr>
          <w:p w14:paraId="497D5CD0">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Beyotime</w:t>
            </w:r>
          </w:p>
        </w:tc>
        <w:tc>
          <w:tcPr>
            <w:tcW w:w="2603" w:type="dxa"/>
            <w:tcBorders>
              <w:top w:val="nil"/>
              <w:bottom w:val="nil"/>
            </w:tcBorders>
            <w:shd w:val="clear" w:color="auto" w:fill="FFFFFF"/>
            <w:vAlign w:val="center"/>
          </w:tcPr>
          <w:p w14:paraId="79C7CBB3">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 AF0138</w:t>
            </w:r>
          </w:p>
        </w:tc>
      </w:tr>
      <w:tr w14:paraId="2B059CB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731489A5">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CD31 (PECAM1)</w:t>
            </w:r>
          </w:p>
        </w:tc>
        <w:tc>
          <w:tcPr>
            <w:tcW w:w="2818" w:type="dxa"/>
            <w:tcBorders>
              <w:top w:val="nil"/>
              <w:bottom w:val="nil"/>
            </w:tcBorders>
            <w:shd w:val="clear" w:color="auto" w:fill="FFFFFF"/>
            <w:vAlign w:val="center"/>
          </w:tcPr>
          <w:p w14:paraId="58D1F5BF">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ThermoFisher</w:t>
            </w:r>
          </w:p>
        </w:tc>
        <w:tc>
          <w:tcPr>
            <w:tcW w:w="2603" w:type="dxa"/>
            <w:tcBorders>
              <w:top w:val="nil"/>
              <w:bottom w:val="nil"/>
            </w:tcBorders>
            <w:shd w:val="clear" w:color="auto" w:fill="FFFFFF"/>
            <w:vAlign w:val="center"/>
          </w:tcPr>
          <w:p w14:paraId="2B601EF7">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 5175-MSM30-P1</w:t>
            </w:r>
          </w:p>
        </w:tc>
      </w:tr>
      <w:tr w14:paraId="61FA519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61EF5D4F">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NAMPT</w:t>
            </w:r>
          </w:p>
        </w:tc>
        <w:tc>
          <w:tcPr>
            <w:tcW w:w="2818" w:type="dxa"/>
            <w:tcBorders>
              <w:top w:val="nil"/>
              <w:bottom w:val="nil"/>
            </w:tcBorders>
            <w:shd w:val="clear" w:color="auto" w:fill="FFFFFF"/>
            <w:vAlign w:val="center"/>
          </w:tcPr>
          <w:p w14:paraId="06922550">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ThermoFisher</w:t>
            </w:r>
          </w:p>
        </w:tc>
        <w:tc>
          <w:tcPr>
            <w:tcW w:w="2603" w:type="dxa"/>
            <w:tcBorders>
              <w:top w:val="nil"/>
              <w:bottom w:val="nil"/>
            </w:tcBorders>
            <w:shd w:val="clear" w:color="auto" w:fill="FFFFFF"/>
            <w:vAlign w:val="center"/>
          </w:tcPr>
          <w:p w14:paraId="31DC31FF">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 xml:space="preserve">Cat # </w:t>
            </w:r>
            <w:r>
              <w:rPr>
                <w:rFonts w:hint="eastAsia" w:ascii="Arial" w:hAnsi="Arial" w:cs="Arial"/>
                <w:b w:val="0"/>
                <w:color w:val="000000"/>
                <w:sz w:val="20"/>
                <w:lang w:val="en-US" w:eastAsia="zh-CN"/>
              </w:rPr>
              <w:t>PA1-1045</w:t>
            </w:r>
          </w:p>
        </w:tc>
      </w:tr>
      <w:tr w14:paraId="65B3432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2575BFC0">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INSR</w:t>
            </w:r>
          </w:p>
        </w:tc>
        <w:tc>
          <w:tcPr>
            <w:tcW w:w="2818" w:type="dxa"/>
            <w:tcBorders>
              <w:top w:val="nil"/>
              <w:bottom w:val="nil"/>
            </w:tcBorders>
            <w:shd w:val="clear" w:color="auto" w:fill="FFFFFF"/>
            <w:vAlign w:val="center"/>
          </w:tcPr>
          <w:p w14:paraId="3D295AC0">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Beyotime</w:t>
            </w:r>
          </w:p>
        </w:tc>
        <w:tc>
          <w:tcPr>
            <w:tcW w:w="2603" w:type="dxa"/>
            <w:tcBorders>
              <w:top w:val="nil"/>
              <w:bottom w:val="nil"/>
            </w:tcBorders>
            <w:shd w:val="clear" w:color="auto" w:fill="FFFFFF"/>
            <w:vAlign w:val="center"/>
          </w:tcPr>
          <w:p w14:paraId="68A4715B">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w:t>
            </w:r>
            <w:r>
              <w:rPr>
                <w:rFonts w:hint="eastAsia" w:ascii="Arial" w:hAnsi="Arial" w:cs="Arial"/>
                <w:b w:val="0"/>
                <w:color w:val="000000"/>
                <w:sz w:val="20"/>
                <w:lang w:val="en-US" w:eastAsia="zh-CN"/>
              </w:rPr>
              <w:t xml:space="preserve"> AF7287</w:t>
            </w:r>
          </w:p>
        </w:tc>
      </w:tr>
      <w:tr w14:paraId="4687D41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7EFD1C70">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FLT4</w:t>
            </w:r>
          </w:p>
        </w:tc>
        <w:tc>
          <w:tcPr>
            <w:tcW w:w="2818" w:type="dxa"/>
            <w:tcBorders>
              <w:top w:val="nil"/>
              <w:bottom w:val="nil"/>
            </w:tcBorders>
            <w:shd w:val="clear" w:color="auto" w:fill="FFFFFF"/>
            <w:vAlign w:val="center"/>
          </w:tcPr>
          <w:p w14:paraId="2F6C8B0E">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Beyotime</w:t>
            </w:r>
          </w:p>
        </w:tc>
        <w:tc>
          <w:tcPr>
            <w:tcW w:w="2603" w:type="dxa"/>
            <w:tcBorders>
              <w:top w:val="nil"/>
              <w:bottom w:val="nil"/>
            </w:tcBorders>
            <w:shd w:val="clear" w:color="auto" w:fill="FFFFFF"/>
            <w:vAlign w:val="center"/>
          </w:tcPr>
          <w:p w14:paraId="6245BF9E">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Cat # AF6918</w:t>
            </w:r>
          </w:p>
        </w:tc>
      </w:tr>
      <w:tr w14:paraId="27731EE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6CD8E33E">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HI</w:t>
            </w:r>
            <w:r>
              <w:rPr>
                <w:rFonts w:hint="eastAsia" w:ascii="Arial" w:hAnsi="Arial" w:cs="Arial"/>
                <w:b w:val="0"/>
                <w:color w:val="000000"/>
                <w:sz w:val="20"/>
                <w:lang w:val="en-US" w:eastAsia="zh-CN"/>
              </w:rPr>
              <w:t>F-1</w:t>
            </w:r>
            <w:r>
              <w:rPr>
                <w:rFonts w:hint="default" w:ascii="Arial" w:hAnsi="Arial" w:cs="Arial"/>
                <w:b w:val="0"/>
                <w:color w:val="000000"/>
                <w:sz w:val="20"/>
                <w:lang w:val="en-US" w:eastAsia="zh-CN"/>
              </w:rPr>
              <w:t>A</w:t>
            </w:r>
          </w:p>
        </w:tc>
        <w:tc>
          <w:tcPr>
            <w:tcW w:w="2818" w:type="dxa"/>
            <w:tcBorders>
              <w:top w:val="nil"/>
              <w:bottom w:val="nil"/>
            </w:tcBorders>
            <w:shd w:val="clear" w:color="auto" w:fill="FFFFFF"/>
            <w:vAlign w:val="center"/>
          </w:tcPr>
          <w:p w14:paraId="03AC9E10">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Cayman</w:t>
            </w:r>
          </w:p>
        </w:tc>
        <w:tc>
          <w:tcPr>
            <w:tcW w:w="2603" w:type="dxa"/>
            <w:tcBorders>
              <w:top w:val="nil"/>
              <w:bottom w:val="nil"/>
            </w:tcBorders>
            <w:shd w:val="clear" w:color="auto" w:fill="FFFFFF"/>
            <w:vAlign w:val="center"/>
          </w:tcPr>
          <w:p w14:paraId="49213798">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 xml:space="preserve">Cat # </w:t>
            </w:r>
            <w:r>
              <w:rPr>
                <w:rFonts w:hint="eastAsia" w:ascii="Arial" w:hAnsi="Arial" w:cs="Arial"/>
                <w:b w:val="0"/>
                <w:color w:val="000000"/>
                <w:sz w:val="20"/>
                <w:lang w:val="en-US" w:eastAsia="zh-CN"/>
              </w:rPr>
              <w:t>10006421</w:t>
            </w:r>
          </w:p>
        </w:tc>
      </w:tr>
      <w:tr w14:paraId="00B027F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2" w:hRule="atLeast"/>
        </w:trPr>
        <w:tc>
          <w:tcPr>
            <w:tcW w:w="3239" w:type="dxa"/>
            <w:tcBorders>
              <w:top w:val="nil"/>
              <w:bottom w:val="nil"/>
            </w:tcBorders>
            <w:shd w:val="clear" w:color="auto" w:fill="FFFFFF"/>
            <w:vAlign w:val="center"/>
          </w:tcPr>
          <w:p w14:paraId="5681F606">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HI</w:t>
            </w:r>
            <w:r>
              <w:rPr>
                <w:rFonts w:hint="eastAsia" w:ascii="Arial" w:hAnsi="Arial" w:cs="Arial"/>
                <w:b w:val="0"/>
                <w:color w:val="000000"/>
                <w:sz w:val="20"/>
                <w:lang w:val="en-US" w:eastAsia="zh-CN"/>
              </w:rPr>
              <w:t>F-2</w:t>
            </w:r>
            <w:r>
              <w:rPr>
                <w:rFonts w:hint="default" w:ascii="Arial" w:hAnsi="Arial" w:cs="Arial"/>
                <w:b w:val="0"/>
                <w:color w:val="000000"/>
                <w:sz w:val="20"/>
                <w:lang w:val="en-US" w:eastAsia="zh-CN"/>
              </w:rPr>
              <w:t>A</w:t>
            </w:r>
            <w:r>
              <w:rPr>
                <w:rFonts w:hint="eastAsia" w:ascii="Arial" w:hAnsi="Arial" w:cs="Arial"/>
                <w:b w:val="0"/>
                <w:color w:val="000000"/>
                <w:sz w:val="20"/>
                <w:lang w:val="en-US" w:eastAsia="zh-CN"/>
              </w:rPr>
              <w:t xml:space="preserve"> (EPAS1)</w:t>
            </w:r>
          </w:p>
        </w:tc>
        <w:tc>
          <w:tcPr>
            <w:tcW w:w="2818" w:type="dxa"/>
            <w:tcBorders>
              <w:top w:val="nil"/>
              <w:bottom w:val="nil"/>
            </w:tcBorders>
            <w:shd w:val="clear" w:color="auto" w:fill="FFFFFF"/>
            <w:vAlign w:val="center"/>
          </w:tcPr>
          <w:p w14:paraId="21D5BE58">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Abcam</w:t>
            </w:r>
          </w:p>
        </w:tc>
        <w:tc>
          <w:tcPr>
            <w:tcW w:w="2603" w:type="dxa"/>
            <w:tcBorders>
              <w:top w:val="nil"/>
              <w:bottom w:val="nil"/>
            </w:tcBorders>
            <w:shd w:val="clear" w:color="auto" w:fill="FFFFFF"/>
            <w:vAlign w:val="center"/>
          </w:tcPr>
          <w:p w14:paraId="03C9FAE3">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w:t>
            </w:r>
            <w:r>
              <w:rPr>
                <w:rFonts w:hint="eastAsia" w:ascii="Arial" w:hAnsi="Arial" w:cs="Arial"/>
                <w:b w:val="0"/>
                <w:color w:val="000000"/>
                <w:sz w:val="20"/>
                <w:lang w:val="en-US" w:eastAsia="zh-CN"/>
              </w:rPr>
              <w:t xml:space="preserve"> BL-95-1A2</w:t>
            </w:r>
          </w:p>
        </w:tc>
      </w:tr>
      <w:tr w14:paraId="2A497E8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2DDC5542">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Col XVII</w:t>
            </w:r>
          </w:p>
        </w:tc>
        <w:tc>
          <w:tcPr>
            <w:tcW w:w="2818" w:type="dxa"/>
            <w:tcBorders>
              <w:top w:val="nil"/>
              <w:bottom w:val="nil"/>
            </w:tcBorders>
            <w:shd w:val="clear" w:color="auto" w:fill="FFFFFF"/>
            <w:vAlign w:val="center"/>
          </w:tcPr>
          <w:p w14:paraId="314BD41B">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Beyotime</w:t>
            </w:r>
          </w:p>
        </w:tc>
        <w:tc>
          <w:tcPr>
            <w:tcW w:w="2603" w:type="dxa"/>
            <w:tcBorders>
              <w:top w:val="nil"/>
              <w:bottom w:val="nil"/>
            </w:tcBorders>
            <w:shd w:val="clear" w:color="auto" w:fill="FFFFFF"/>
            <w:vAlign w:val="center"/>
          </w:tcPr>
          <w:p w14:paraId="462AA2A3">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w:t>
            </w:r>
            <w:r>
              <w:rPr>
                <w:rFonts w:hint="eastAsia" w:ascii="Arial" w:hAnsi="Arial" w:cs="Arial"/>
                <w:b w:val="0"/>
                <w:color w:val="000000"/>
                <w:sz w:val="20"/>
                <w:lang w:val="en-US" w:eastAsia="zh-CN"/>
              </w:rPr>
              <w:t xml:space="preserve"> </w:t>
            </w:r>
            <w:r>
              <w:rPr>
                <w:rFonts w:hint="default" w:ascii="Arial" w:hAnsi="Arial" w:cs="Arial"/>
                <w:b w:val="0"/>
                <w:color w:val="000000"/>
                <w:sz w:val="20"/>
                <w:lang w:val="en-US" w:eastAsia="zh-CN"/>
              </w:rPr>
              <w:t>AF1078</w:t>
            </w:r>
          </w:p>
        </w:tc>
      </w:tr>
      <w:tr w14:paraId="1906369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0971428F">
            <w:pPr>
              <w:widowControl w:val="0"/>
              <w:jc w:val="both"/>
              <w:rPr>
                <w:rFonts w:ascii="Arial" w:hAnsi="Arial" w:eastAsia="AdvPSA183" w:cs="Arial"/>
                <w:b w:val="0"/>
                <w:color w:val="000000" w:themeColor="text1"/>
                <w:sz w:val="20"/>
                <w:lang w:bidi="ar"/>
                <w14:textFill>
                  <w14:solidFill>
                    <w14:schemeClr w14:val="tx1"/>
                  </w14:solidFill>
                </w14:textFill>
              </w:rPr>
            </w:pPr>
            <w:r>
              <w:rPr>
                <w:rFonts w:ascii="Arial" w:hAnsi="Arial" w:eastAsia="AdvPSA183" w:cs="Arial"/>
                <w:b w:val="0"/>
                <w:color w:val="000000" w:themeColor="text1"/>
                <w:sz w:val="20"/>
                <w:lang w:bidi="ar"/>
                <w14:textFill>
                  <w14:solidFill>
                    <w14:schemeClr w14:val="tx1"/>
                  </w14:solidFill>
                </w14:textFill>
              </w:rPr>
              <w:t>KRT14</w:t>
            </w:r>
          </w:p>
        </w:tc>
        <w:tc>
          <w:tcPr>
            <w:tcW w:w="2818" w:type="dxa"/>
            <w:tcBorders>
              <w:top w:val="nil"/>
              <w:bottom w:val="nil"/>
            </w:tcBorders>
            <w:shd w:val="clear" w:color="auto" w:fill="FFFFFF"/>
            <w:vAlign w:val="center"/>
          </w:tcPr>
          <w:p w14:paraId="51274AB1">
            <w:pPr>
              <w:widowControl w:val="0"/>
              <w:jc w:val="both"/>
              <w:rPr>
                <w:rFonts w:ascii="Arial" w:hAnsi="Arial" w:eastAsia="AdvPSA183" w:cs="Arial"/>
                <w:b w:val="0"/>
                <w:color w:val="000000" w:themeColor="text1"/>
                <w:sz w:val="20"/>
                <w:lang w:bidi="ar"/>
                <w14:textFill>
                  <w14:solidFill>
                    <w14:schemeClr w14:val="tx1"/>
                  </w14:solidFill>
                </w14:textFill>
              </w:rPr>
            </w:pPr>
            <w:r>
              <w:rPr>
                <w:rFonts w:ascii="Arial" w:hAnsi="Arial" w:eastAsia="AdvPSA183" w:cs="Arial"/>
                <w:b w:val="0"/>
                <w:color w:val="000000" w:themeColor="text1"/>
                <w:sz w:val="20"/>
                <w:lang w:bidi="ar"/>
                <w14:textFill>
                  <w14:solidFill>
                    <w14:schemeClr w14:val="tx1"/>
                  </w14:solidFill>
                </w14:textFill>
              </w:rPr>
              <w:t>Boster</w:t>
            </w:r>
          </w:p>
        </w:tc>
        <w:tc>
          <w:tcPr>
            <w:tcW w:w="2603" w:type="dxa"/>
            <w:tcBorders>
              <w:top w:val="nil"/>
              <w:bottom w:val="nil"/>
            </w:tcBorders>
            <w:shd w:val="clear" w:color="auto" w:fill="FFFFFF"/>
            <w:vAlign w:val="center"/>
          </w:tcPr>
          <w:p w14:paraId="3952A4BC">
            <w:pPr>
              <w:widowControl w:val="0"/>
              <w:jc w:val="both"/>
              <w:rPr>
                <w:rFonts w:ascii="Arial" w:hAnsi="Arial" w:eastAsia="AdvPSA183" w:cs="Arial"/>
                <w:b w:val="0"/>
                <w:color w:val="000000" w:themeColor="text1"/>
                <w:sz w:val="20"/>
                <w:lang w:bidi="ar"/>
                <w14:textFill>
                  <w14:solidFill>
                    <w14:schemeClr w14:val="tx1"/>
                  </w14:solidFill>
                </w14:textFill>
              </w:rPr>
            </w:pPr>
            <w:r>
              <w:rPr>
                <w:rFonts w:ascii="Arial" w:hAnsi="Arial" w:eastAsia="AdvPSA183" w:cs="Arial"/>
                <w:b w:val="0"/>
                <w:color w:val="000000" w:themeColor="text1"/>
                <w:sz w:val="20"/>
                <w:lang w:bidi="ar"/>
                <w14:textFill>
                  <w14:solidFill>
                    <w14:schemeClr w14:val="tx1"/>
                  </w14:solidFill>
                </w14:textFill>
              </w:rPr>
              <w:t>Cat # A01432</w:t>
            </w:r>
          </w:p>
        </w:tc>
      </w:tr>
      <w:tr w14:paraId="0F577BA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05D38C49">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HBEGF</w:t>
            </w:r>
          </w:p>
        </w:tc>
        <w:tc>
          <w:tcPr>
            <w:tcW w:w="2818" w:type="dxa"/>
            <w:tcBorders>
              <w:top w:val="nil"/>
              <w:bottom w:val="nil"/>
            </w:tcBorders>
            <w:shd w:val="clear" w:color="auto" w:fill="FFFFFF"/>
            <w:vAlign w:val="center"/>
          </w:tcPr>
          <w:p w14:paraId="0A09256B">
            <w:pPr>
              <w:widowControl w:val="0"/>
              <w:jc w:val="both"/>
              <w:rPr>
                <w:rFonts w:hint="eastAsia" w:ascii="Arial" w:hAnsi="Arial" w:cs="Arial"/>
                <w:b w:val="0"/>
                <w:color w:val="000000"/>
                <w:sz w:val="20"/>
                <w:lang w:val="en-US" w:eastAsia="zh-CN"/>
              </w:rPr>
            </w:pPr>
            <w:r>
              <w:rPr>
                <w:rFonts w:hint="default" w:ascii="Arial" w:hAnsi="Arial" w:cs="Arial"/>
                <w:b w:val="0"/>
                <w:color w:val="000000"/>
                <w:sz w:val="20"/>
                <w:lang w:val="en-US" w:eastAsia="zh-CN"/>
              </w:rPr>
              <w:t>Beyotime</w:t>
            </w:r>
          </w:p>
        </w:tc>
        <w:tc>
          <w:tcPr>
            <w:tcW w:w="2603" w:type="dxa"/>
            <w:tcBorders>
              <w:top w:val="nil"/>
              <w:bottom w:val="nil"/>
            </w:tcBorders>
            <w:shd w:val="clear" w:color="auto" w:fill="FFFFFF"/>
            <w:vAlign w:val="center"/>
          </w:tcPr>
          <w:p w14:paraId="3A49B392">
            <w:pPr>
              <w:widowControl w:val="0"/>
              <w:jc w:val="both"/>
              <w:rPr>
                <w:rFonts w:hint="eastAsia" w:ascii="Arial" w:hAnsi="Arial" w:cs="Arial"/>
                <w:b w:val="0"/>
                <w:color w:val="000000"/>
                <w:sz w:val="20"/>
                <w:lang w:val="en-US" w:eastAsia="zh-CN"/>
              </w:rPr>
            </w:pPr>
            <w:r>
              <w:rPr>
                <w:rFonts w:hint="eastAsia" w:ascii="Arial" w:hAnsi="Arial" w:cs="Arial"/>
                <w:b w:val="0"/>
                <w:color w:val="000000"/>
                <w:sz w:val="20"/>
                <w:lang w:val="en-US" w:eastAsia="zh-CN"/>
              </w:rPr>
              <w:t>Cat # AF7062</w:t>
            </w:r>
          </w:p>
        </w:tc>
      </w:tr>
      <w:tr w14:paraId="4C534A2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1F2FAF8E">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EGFR</w:t>
            </w:r>
          </w:p>
        </w:tc>
        <w:tc>
          <w:tcPr>
            <w:tcW w:w="2818" w:type="dxa"/>
            <w:tcBorders>
              <w:top w:val="nil"/>
              <w:bottom w:val="nil"/>
            </w:tcBorders>
            <w:shd w:val="clear" w:color="auto" w:fill="FFFFFF"/>
            <w:vAlign w:val="center"/>
          </w:tcPr>
          <w:p w14:paraId="030B7638">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Beyotime</w:t>
            </w:r>
          </w:p>
        </w:tc>
        <w:tc>
          <w:tcPr>
            <w:tcW w:w="2603" w:type="dxa"/>
            <w:tcBorders>
              <w:top w:val="nil"/>
              <w:bottom w:val="nil"/>
            </w:tcBorders>
            <w:shd w:val="clear" w:color="auto" w:fill="FFFFFF"/>
            <w:vAlign w:val="center"/>
          </w:tcPr>
          <w:p w14:paraId="27750DCD">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 xml:space="preserve">Cat # </w:t>
            </w:r>
            <w:r>
              <w:rPr>
                <w:rFonts w:hint="eastAsia" w:ascii="Arial" w:hAnsi="Arial" w:cs="Arial"/>
                <w:b w:val="0"/>
                <w:color w:val="000000"/>
                <w:sz w:val="20"/>
                <w:lang w:val="en-US" w:eastAsia="zh-CN"/>
              </w:rPr>
              <w:t>AF1330</w:t>
            </w:r>
          </w:p>
        </w:tc>
      </w:tr>
      <w:tr w14:paraId="6C6358E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6C4E177C">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P63</w:t>
            </w:r>
          </w:p>
        </w:tc>
        <w:tc>
          <w:tcPr>
            <w:tcW w:w="2818" w:type="dxa"/>
            <w:tcBorders>
              <w:top w:val="nil"/>
              <w:bottom w:val="nil"/>
            </w:tcBorders>
            <w:shd w:val="clear" w:color="auto" w:fill="FFFFFF"/>
            <w:vAlign w:val="center"/>
          </w:tcPr>
          <w:p w14:paraId="74701EB4">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GeneTex</w:t>
            </w:r>
          </w:p>
        </w:tc>
        <w:tc>
          <w:tcPr>
            <w:tcW w:w="2603" w:type="dxa"/>
            <w:tcBorders>
              <w:top w:val="nil"/>
              <w:bottom w:val="nil"/>
            </w:tcBorders>
            <w:shd w:val="clear" w:color="auto" w:fill="FFFFFF"/>
            <w:vAlign w:val="center"/>
          </w:tcPr>
          <w:p w14:paraId="652B4297">
            <w:pPr>
              <w:widowControl w:val="0"/>
              <w:jc w:val="both"/>
              <w:rPr>
                <w:rFonts w:hint="default" w:ascii="Arial" w:hAnsi="Arial" w:cs="Arial"/>
                <w:b w:val="0"/>
                <w:color w:val="000000"/>
                <w:sz w:val="20"/>
                <w:lang w:val="en-US" w:eastAsia="zh-CN"/>
              </w:rPr>
            </w:pPr>
            <w:r>
              <w:rPr>
                <w:rFonts w:hint="default" w:ascii="Arial" w:hAnsi="Arial" w:cs="Arial"/>
                <w:b w:val="0"/>
                <w:color w:val="000000"/>
                <w:sz w:val="20"/>
                <w:lang w:val="en-US" w:eastAsia="zh-CN"/>
              </w:rPr>
              <w:t>Cat # GTX102425</w:t>
            </w:r>
          </w:p>
        </w:tc>
      </w:tr>
      <w:tr w14:paraId="2BAC2AC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7E694A82">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PCNA</w:t>
            </w:r>
          </w:p>
        </w:tc>
        <w:tc>
          <w:tcPr>
            <w:tcW w:w="2818" w:type="dxa"/>
            <w:tcBorders>
              <w:top w:val="nil"/>
              <w:bottom w:val="nil"/>
            </w:tcBorders>
            <w:shd w:val="clear" w:color="auto" w:fill="FFFFFF"/>
            <w:vAlign w:val="center"/>
          </w:tcPr>
          <w:p w14:paraId="5A0063BD">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Beyotime</w:t>
            </w:r>
          </w:p>
        </w:tc>
        <w:tc>
          <w:tcPr>
            <w:tcW w:w="2603" w:type="dxa"/>
            <w:tcBorders>
              <w:top w:val="nil"/>
              <w:bottom w:val="nil"/>
            </w:tcBorders>
            <w:shd w:val="clear" w:color="auto" w:fill="FFFFFF"/>
            <w:vAlign w:val="center"/>
          </w:tcPr>
          <w:p w14:paraId="4DF838E0">
            <w:pPr>
              <w:widowControl w:val="0"/>
              <w:jc w:val="both"/>
              <w:rPr>
                <w:rFonts w:hint="default" w:ascii="Arial" w:hAnsi="Arial" w:cs="Arial"/>
                <w:b w:val="0"/>
                <w:color w:val="000000"/>
                <w:sz w:val="20"/>
                <w:lang w:val="en-US" w:eastAsia="zh-CN"/>
              </w:rPr>
            </w:pPr>
            <w:r>
              <w:rPr>
                <w:rFonts w:hint="eastAsia" w:ascii="Arial" w:hAnsi="Arial" w:cs="Arial"/>
                <w:b w:val="0"/>
                <w:color w:val="000000"/>
                <w:sz w:val="20"/>
                <w:lang w:val="en-US" w:eastAsia="zh-CN"/>
              </w:rPr>
              <w:t>Cat # 13-3900</w:t>
            </w:r>
          </w:p>
        </w:tc>
      </w:tr>
      <w:tr w14:paraId="353CC2A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4E334A52">
            <w:pPr>
              <w:widowControl w:val="0"/>
              <w:jc w:val="both"/>
              <w:rPr>
                <w:rFonts w:ascii="Arial" w:hAnsi="Arial" w:cs="Arial"/>
                <w:b w:val="0"/>
                <w:color w:val="000000" w:themeColor="text1"/>
                <w:sz w:val="20"/>
                <w:lang w:eastAsia="zh-CN" w:bidi="ar"/>
                <w14:textFill>
                  <w14:solidFill>
                    <w14:schemeClr w14:val="tx1"/>
                  </w14:solidFill>
                </w14:textFill>
              </w:rPr>
            </w:pPr>
            <w:r>
              <w:rPr>
                <w:rFonts w:hint="eastAsia" w:ascii="Arial" w:hAnsi="Arial" w:cs="Arial"/>
                <w:b w:val="0"/>
                <w:color w:val="000000" w:themeColor="text1"/>
                <w:sz w:val="20"/>
                <w:lang w:eastAsia="zh-CN" w:bidi="ar"/>
                <w14:textFill>
                  <w14:solidFill>
                    <w14:schemeClr w14:val="tx1"/>
                  </w14:solidFill>
                </w14:textFill>
              </w:rPr>
              <w:t>RBP4</w:t>
            </w:r>
          </w:p>
        </w:tc>
        <w:tc>
          <w:tcPr>
            <w:tcW w:w="2818" w:type="dxa"/>
            <w:tcBorders>
              <w:top w:val="nil"/>
              <w:bottom w:val="nil"/>
            </w:tcBorders>
            <w:shd w:val="clear" w:color="auto" w:fill="FFFFFF"/>
            <w:vAlign w:val="center"/>
          </w:tcPr>
          <w:p w14:paraId="065A96C7">
            <w:pPr>
              <w:widowControl w:val="0"/>
              <w:jc w:val="both"/>
              <w:rPr>
                <w:rFonts w:ascii="Arial" w:hAnsi="Arial" w:eastAsia="AdvPSA183" w:cs="Arial"/>
                <w:b w:val="0"/>
                <w:color w:val="000000" w:themeColor="text1"/>
                <w:sz w:val="20"/>
                <w:lang w:bidi="ar"/>
                <w14:textFill>
                  <w14:solidFill>
                    <w14:schemeClr w14:val="tx1"/>
                  </w14:solidFill>
                </w14:textFill>
              </w:rPr>
            </w:pPr>
            <w:r>
              <w:rPr>
                <w:rFonts w:ascii="Arial" w:hAnsi="Arial" w:cs="Arial"/>
                <w:b w:val="0"/>
                <w:color w:val="000000" w:themeColor="text1"/>
                <w:sz w:val="20"/>
                <w14:textFill>
                  <w14:solidFill>
                    <w14:schemeClr w14:val="tx1"/>
                  </w14:solidFill>
                </w14:textFill>
              </w:rPr>
              <w:t>Proteintech</w:t>
            </w:r>
          </w:p>
        </w:tc>
        <w:tc>
          <w:tcPr>
            <w:tcW w:w="2603" w:type="dxa"/>
            <w:tcBorders>
              <w:top w:val="nil"/>
              <w:bottom w:val="nil"/>
            </w:tcBorders>
            <w:shd w:val="clear" w:color="auto" w:fill="FFFFFF"/>
            <w:vAlign w:val="center"/>
          </w:tcPr>
          <w:p w14:paraId="4C2C6F2E">
            <w:pPr>
              <w:widowControl w:val="0"/>
              <w:jc w:val="both"/>
              <w:rPr>
                <w:rFonts w:ascii="Arial" w:hAnsi="Arial" w:eastAsia="AdvPSA183" w:cs="Arial"/>
                <w:b w:val="0"/>
                <w:color w:val="000000" w:themeColor="text1"/>
                <w:sz w:val="20"/>
                <w:lang w:bidi="ar"/>
                <w14:textFill>
                  <w14:solidFill>
                    <w14:schemeClr w14:val="tx1"/>
                  </w14:solidFill>
                </w14:textFill>
              </w:rPr>
            </w:pPr>
            <w:r>
              <w:rPr>
                <w:rFonts w:ascii="Arial" w:hAnsi="Arial" w:eastAsia="AdvPSA183" w:cs="Arial"/>
                <w:b w:val="0"/>
                <w:color w:val="000000" w:themeColor="text1"/>
                <w:sz w:val="20"/>
                <w:lang w:bidi="ar"/>
                <w14:textFill>
                  <w14:solidFill>
                    <w14:schemeClr w14:val="tx1"/>
                  </w14:solidFill>
                </w14:textFill>
              </w:rPr>
              <w:t>Cat # 11774-1-AP</w:t>
            </w:r>
          </w:p>
        </w:tc>
      </w:tr>
      <w:tr w14:paraId="14879AA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451FB7C3">
            <w:pPr>
              <w:widowControl w:val="0"/>
              <w:jc w:val="both"/>
              <w:rPr>
                <w:rFonts w:ascii="Arial" w:hAnsi="Arial" w:eastAsia="AdvPSA183" w:cs="Arial"/>
                <w:b w:val="0"/>
                <w:color w:val="000000" w:themeColor="text1"/>
                <w:sz w:val="20"/>
                <w:lang w:bidi="ar"/>
                <w14:textFill>
                  <w14:solidFill>
                    <w14:schemeClr w14:val="tx1"/>
                  </w14:solidFill>
                </w14:textFill>
              </w:rPr>
            </w:pPr>
            <w:r>
              <w:rPr>
                <w:rFonts w:ascii="Arial" w:hAnsi="Arial" w:eastAsia="AdvPSA183" w:cs="Arial"/>
                <w:b w:val="0"/>
                <w:color w:val="000000" w:themeColor="text1"/>
                <w:sz w:val="20"/>
                <w:lang w:bidi="ar"/>
                <w14:textFill>
                  <w14:solidFill>
                    <w14:schemeClr w14:val="tx1"/>
                  </w14:solidFill>
                </w14:textFill>
              </w:rPr>
              <w:t>SPP1</w:t>
            </w:r>
          </w:p>
        </w:tc>
        <w:tc>
          <w:tcPr>
            <w:tcW w:w="2818" w:type="dxa"/>
            <w:tcBorders>
              <w:top w:val="nil"/>
              <w:bottom w:val="nil"/>
            </w:tcBorders>
            <w:shd w:val="clear" w:color="auto" w:fill="FFFFFF"/>
            <w:vAlign w:val="center"/>
          </w:tcPr>
          <w:p w14:paraId="686E5375">
            <w:pPr>
              <w:widowControl w:val="0"/>
              <w:jc w:val="both"/>
              <w:rPr>
                <w:rFonts w:ascii="Arial" w:hAnsi="Arial" w:eastAsia="AdvPSA183" w:cs="Arial"/>
                <w:b w:val="0"/>
                <w:color w:val="000000" w:themeColor="text1"/>
                <w:sz w:val="20"/>
                <w:lang w:bidi="ar"/>
                <w14:textFill>
                  <w14:solidFill>
                    <w14:schemeClr w14:val="tx1"/>
                  </w14:solidFill>
                </w14:textFill>
              </w:rPr>
            </w:pPr>
            <w:r>
              <w:rPr>
                <w:rFonts w:ascii="Arial" w:hAnsi="Arial" w:eastAsia="AdvPSA183" w:cs="Arial"/>
                <w:b w:val="0"/>
                <w:color w:val="000000" w:themeColor="text1"/>
                <w:sz w:val="20"/>
                <w:lang w:bidi="ar"/>
                <w14:textFill>
                  <w14:solidFill>
                    <w14:schemeClr w14:val="tx1"/>
                  </w14:solidFill>
                </w14:textFill>
              </w:rPr>
              <w:t>Beyotime</w:t>
            </w:r>
          </w:p>
        </w:tc>
        <w:tc>
          <w:tcPr>
            <w:tcW w:w="2603" w:type="dxa"/>
            <w:tcBorders>
              <w:top w:val="nil"/>
              <w:bottom w:val="nil"/>
            </w:tcBorders>
            <w:shd w:val="clear" w:color="auto" w:fill="FFFFFF"/>
            <w:vAlign w:val="center"/>
          </w:tcPr>
          <w:p w14:paraId="38BC733D">
            <w:pPr>
              <w:widowControl w:val="0"/>
              <w:jc w:val="both"/>
              <w:rPr>
                <w:rFonts w:ascii="Arial" w:hAnsi="Arial" w:eastAsia="AdvPSA183" w:cs="Arial"/>
                <w:b w:val="0"/>
                <w:color w:val="000000" w:themeColor="text1"/>
                <w:sz w:val="20"/>
                <w:lang w:bidi="ar"/>
                <w14:textFill>
                  <w14:solidFill>
                    <w14:schemeClr w14:val="tx1"/>
                  </w14:solidFill>
                </w14:textFill>
              </w:rPr>
            </w:pPr>
            <w:r>
              <w:rPr>
                <w:rFonts w:ascii="Arial" w:hAnsi="Arial" w:eastAsia="AdvPSA183" w:cs="Arial"/>
                <w:b w:val="0"/>
                <w:color w:val="000000" w:themeColor="text1"/>
                <w:sz w:val="20"/>
                <w:lang w:bidi="ar"/>
                <w14:textFill>
                  <w14:solidFill>
                    <w14:schemeClr w14:val="tx1"/>
                  </w14:solidFill>
                </w14:textFill>
              </w:rPr>
              <w:t>Cat # AF1651</w:t>
            </w:r>
          </w:p>
        </w:tc>
      </w:tr>
      <w:tr w14:paraId="6DC1D42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5F08E566">
            <w:pPr>
              <w:widowControl w:val="0"/>
              <w:jc w:val="both"/>
              <w:rPr>
                <w:rFonts w:hint="default" w:ascii="Arial" w:hAnsi="Arial" w:eastAsia="宋体" w:cs="Arial"/>
                <w:b w:val="0"/>
                <w:color w:val="000000" w:themeColor="text1"/>
                <w:sz w:val="20"/>
                <w:lang w:val="en-US" w:eastAsia="zh-CN" w:bidi="ar"/>
                <w14:textFill>
                  <w14:solidFill>
                    <w14:schemeClr w14:val="tx1"/>
                  </w14:solidFill>
                </w14:textFill>
              </w:rPr>
            </w:pPr>
            <w:r>
              <w:rPr>
                <w:rFonts w:hint="eastAsia" w:ascii="Arial" w:hAnsi="Arial" w:eastAsia="宋体" w:cs="Arial"/>
                <w:b w:val="0"/>
                <w:color w:val="000000" w:themeColor="text1"/>
                <w:sz w:val="20"/>
                <w:lang w:val="en-US" w:eastAsia="zh-CN" w:bidi="ar"/>
                <w14:textFill>
                  <w14:solidFill>
                    <w14:schemeClr w14:val="tx1"/>
                  </w14:solidFill>
                </w14:textFill>
              </w:rPr>
              <w:t>BrdU</w:t>
            </w:r>
          </w:p>
        </w:tc>
        <w:tc>
          <w:tcPr>
            <w:tcW w:w="2818" w:type="dxa"/>
            <w:tcBorders>
              <w:top w:val="nil"/>
              <w:bottom w:val="nil"/>
            </w:tcBorders>
            <w:shd w:val="clear" w:color="auto" w:fill="FFFFFF"/>
            <w:vAlign w:val="center"/>
          </w:tcPr>
          <w:p w14:paraId="500E9295">
            <w:pPr>
              <w:widowControl w:val="0"/>
              <w:jc w:val="both"/>
              <w:rPr>
                <w:rFonts w:hint="default" w:ascii="Arial" w:hAnsi="Arial" w:eastAsia="宋体" w:cs="Arial"/>
                <w:b w:val="0"/>
                <w:color w:val="000000" w:themeColor="text1"/>
                <w:sz w:val="20"/>
                <w:lang w:val="en-US" w:eastAsia="zh-CN" w:bidi="ar"/>
                <w14:textFill>
                  <w14:solidFill>
                    <w14:schemeClr w14:val="tx1"/>
                  </w14:solidFill>
                </w14:textFill>
              </w:rPr>
            </w:pPr>
            <w:r>
              <w:rPr>
                <w:rFonts w:hint="eastAsia" w:ascii="Arial" w:hAnsi="Arial" w:eastAsia="宋体" w:cs="Arial"/>
                <w:b w:val="0"/>
                <w:color w:val="000000" w:themeColor="text1"/>
                <w:sz w:val="20"/>
                <w:lang w:val="en-US" w:eastAsia="zh-CN" w:bidi="ar"/>
                <w14:textFill>
                  <w14:solidFill>
                    <w14:schemeClr w14:val="tx1"/>
                  </w14:solidFill>
                </w14:textFill>
              </w:rPr>
              <w:t>Proteintech</w:t>
            </w:r>
          </w:p>
        </w:tc>
        <w:tc>
          <w:tcPr>
            <w:tcW w:w="2603" w:type="dxa"/>
            <w:tcBorders>
              <w:top w:val="nil"/>
              <w:bottom w:val="nil"/>
            </w:tcBorders>
            <w:shd w:val="clear" w:color="auto" w:fill="FFFFFF"/>
            <w:vAlign w:val="center"/>
          </w:tcPr>
          <w:p w14:paraId="018C306E">
            <w:pPr>
              <w:widowControl w:val="0"/>
              <w:jc w:val="both"/>
              <w:rPr>
                <w:rFonts w:ascii="Arial" w:hAnsi="Arial" w:eastAsia="AdvPSA183" w:cs="Arial"/>
                <w:b w:val="0"/>
                <w:color w:val="000000" w:themeColor="text1"/>
                <w:sz w:val="20"/>
                <w:lang w:bidi="ar"/>
                <w14:textFill>
                  <w14:solidFill>
                    <w14:schemeClr w14:val="tx1"/>
                  </w14:solidFill>
                </w14:textFill>
              </w:rPr>
            </w:pPr>
            <w:r>
              <w:rPr>
                <w:rFonts w:ascii="Arial" w:hAnsi="Arial" w:eastAsia="AdvPSA183" w:cs="Arial"/>
                <w:b w:val="0"/>
                <w:color w:val="000000" w:themeColor="text1"/>
                <w:sz w:val="20"/>
                <w:lang w:bidi="ar"/>
                <w14:textFill>
                  <w14:solidFill>
                    <w14:schemeClr w14:val="tx1"/>
                  </w14:solidFill>
                </w14:textFill>
              </w:rPr>
              <w:t>Cat #</w:t>
            </w:r>
            <w:r>
              <w:rPr>
                <w:rFonts w:hint="eastAsia" w:ascii="Arial" w:hAnsi="Arial" w:eastAsia="宋体" w:cs="Arial"/>
                <w:b w:val="0"/>
                <w:color w:val="000000" w:themeColor="text1"/>
                <w:sz w:val="20"/>
                <w:lang w:val="en-US" w:eastAsia="zh-CN" w:bidi="ar"/>
                <w14:textFill>
                  <w14:solidFill>
                    <w14:schemeClr w14:val="tx1"/>
                  </w14:solidFill>
                </w14:textFill>
              </w:rPr>
              <w:t xml:space="preserve"> </w:t>
            </w:r>
            <w:r>
              <w:rPr>
                <w:rFonts w:hint="eastAsia" w:ascii="Arial" w:hAnsi="Arial" w:eastAsia="AdvPSA183" w:cs="Arial"/>
                <w:b w:val="0"/>
                <w:color w:val="000000" w:themeColor="text1"/>
                <w:sz w:val="20"/>
                <w:lang w:bidi="ar"/>
                <w14:textFill>
                  <w14:solidFill>
                    <w14:schemeClr w14:val="tx1"/>
                  </w14:solidFill>
                </w14:textFill>
              </w:rPr>
              <w:t>66241-1-Ig</w:t>
            </w:r>
          </w:p>
        </w:tc>
      </w:tr>
      <w:tr w14:paraId="3E30DF2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7" w:hRule="atLeast"/>
        </w:trPr>
        <w:tc>
          <w:tcPr>
            <w:tcW w:w="3239" w:type="dxa"/>
            <w:tcBorders>
              <w:top w:val="nil"/>
              <w:bottom w:val="nil"/>
            </w:tcBorders>
            <w:shd w:val="clear" w:color="auto" w:fill="FFFFFF"/>
            <w:vAlign w:val="center"/>
          </w:tcPr>
          <w:p w14:paraId="72E7D03E">
            <w:pPr>
              <w:widowControl w:val="0"/>
              <w:jc w:val="both"/>
              <w:rPr>
                <w:rFonts w:hint="default" w:ascii="Arial" w:hAnsi="Arial" w:eastAsia="宋体" w:cs="Arial"/>
                <w:b w:val="0"/>
                <w:color w:val="000000" w:themeColor="text1"/>
                <w:sz w:val="20"/>
                <w:lang w:val="en-US" w:eastAsia="zh-CN" w:bidi="ar"/>
                <w14:textFill>
                  <w14:solidFill>
                    <w14:schemeClr w14:val="tx1"/>
                  </w14:solidFill>
                </w14:textFill>
              </w:rPr>
            </w:pPr>
            <w:r>
              <w:rPr>
                <w:rFonts w:hint="eastAsia" w:ascii="Arial" w:hAnsi="Arial" w:eastAsia="宋体" w:cs="Arial"/>
                <w:b w:val="0"/>
                <w:color w:val="000000" w:themeColor="text1"/>
                <w:sz w:val="20"/>
                <w:lang w:val="en-US" w:eastAsia="zh-CN" w:bidi="ar"/>
                <w14:textFill>
                  <w14:solidFill>
                    <w14:schemeClr w14:val="tx1"/>
                  </w14:solidFill>
                </w14:textFill>
              </w:rPr>
              <w:t>CD45</w:t>
            </w:r>
          </w:p>
        </w:tc>
        <w:tc>
          <w:tcPr>
            <w:tcW w:w="2818" w:type="dxa"/>
            <w:tcBorders>
              <w:top w:val="nil"/>
              <w:bottom w:val="nil"/>
            </w:tcBorders>
            <w:shd w:val="clear" w:color="auto" w:fill="FFFFFF"/>
            <w:vAlign w:val="center"/>
          </w:tcPr>
          <w:p w14:paraId="0D805A9A">
            <w:pPr>
              <w:widowControl w:val="0"/>
              <w:jc w:val="both"/>
              <w:rPr>
                <w:rFonts w:ascii="Arial" w:hAnsi="Arial" w:eastAsia="AdvPSA183" w:cs="Arial"/>
                <w:b w:val="0"/>
                <w:color w:val="000000"/>
                <w:sz w:val="20"/>
                <w:lang w:bidi="ar"/>
              </w:rPr>
            </w:pPr>
            <w:r>
              <w:rPr>
                <w:rFonts w:hint="eastAsia" w:ascii="Arial" w:hAnsi="Arial" w:cs="Arial"/>
                <w:b w:val="0"/>
                <w:color w:val="000000"/>
                <w:sz w:val="20"/>
                <w:lang w:val="en-US" w:eastAsia="zh-CN"/>
              </w:rPr>
              <w:t>ThermoFisher</w:t>
            </w:r>
          </w:p>
        </w:tc>
        <w:tc>
          <w:tcPr>
            <w:tcW w:w="2603" w:type="dxa"/>
            <w:tcBorders>
              <w:top w:val="nil"/>
              <w:bottom w:val="nil"/>
            </w:tcBorders>
            <w:shd w:val="clear" w:color="auto" w:fill="FFFFFF"/>
            <w:vAlign w:val="center"/>
          </w:tcPr>
          <w:p w14:paraId="57D85E7A">
            <w:pPr>
              <w:widowControl w:val="0"/>
              <w:jc w:val="both"/>
              <w:rPr>
                <w:rFonts w:ascii="Arial" w:hAnsi="Arial" w:eastAsia="AdvPSA183" w:cs="Arial"/>
                <w:b w:val="0"/>
                <w:color w:val="000000" w:themeColor="text1"/>
                <w:sz w:val="20"/>
                <w:lang w:bidi="ar"/>
                <w14:textFill>
                  <w14:solidFill>
                    <w14:schemeClr w14:val="tx1"/>
                  </w14:solidFill>
                </w14:textFill>
              </w:rPr>
            </w:pPr>
            <w:r>
              <w:rPr>
                <w:rFonts w:ascii="Arial" w:hAnsi="Arial" w:eastAsia="AdvPSA183" w:cs="Arial"/>
                <w:b w:val="0"/>
                <w:color w:val="000000" w:themeColor="text1"/>
                <w:sz w:val="20"/>
                <w:lang w:bidi="ar"/>
                <w14:textFill>
                  <w14:solidFill>
                    <w14:schemeClr w14:val="tx1"/>
                  </w14:solidFill>
                </w14:textFill>
              </w:rPr>
              <w:t>Cat #</w:t>
            </w:r>
            <w:r>
              <w:rPr>
                <w:rFonts w:hint="eastAsia" w:ascii="Arial" w:hAnsi="Arial" w:eastAsia="AdvPSA183" w:cs="Arial"/>
                <w:b w:val="0"/>
                <w:color w:val="000000" w:themeColor="text1"/>
                <w:sz w:val="20"/>
                <w:lang w:val="en-US" w:eastAsia="zh-CN" w:bidi="ar"/>
                <w14:textFill>
                  <w14:solidFill>
                    <w14:schemeClr w14:val="tx1"/>
                  </w14:solidFill>
                </w14:textFill>
              </w:rPr>
              <w:t xml:space="preserve"> 11-0451-82</w:t>
            </w:r>
          </w:p>
        </w:tc>
      </w:tr>
      <w:tr w14:paraId="0FB0E2F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98" w:hRule="atLeast"/>
        </w:trPr>
        <w:tc>
          <w:tcPr>
            <w:tcW w:w="3239" w:type="dxa"/>
            <w:tcBorders>
              <w:top w:val="nil"/>
              <w:bottom w:val="single" w:color="000000" w:sz="12" w:space="0"/>
            </w:tcBorders>
            <w:shd w:val="clear" w:color="auto" w:fill="FFFFFF"/>
            <w:vAlign w:val="center"/>
          </w:tcPr>
          <w:p w14:paraId="57FBBFED">
            <w:pPr>
              <w:widowControl w:val="0"/>
              <w:jc w:val="both"/>
              <w:rPr>
                <w:rFonts w:hint="default" w:ascii="Arial" w:hAnsi="Arial" w:eastAsia="宋体" w:cs="Arial"/>
                <w:b w:val="0"/>
                <w:color w:val="000000" w:themeColor="text1"/>
                <w:sz w:val="20"/>
                <w:lang w:val="en-US" w:eastAsia="zh-CN" w:bidi="ar"/>
                <w14:textFill>
                  <w14:solidFill>
                    <w14:schemeClr w14:val="tx1"/>
                  </w14:solidFill>
                </w14:textFill>
              </w:rPr>
            </w:pPr>
            <w:r>
              <w:rPr>
                <w:rFonts w:hint="eastAsia" w:ascii="Arial" w:hAnsi="Arial" w:eastAsia="宋体" w:cs="Arial"/>
                <w:b w:val="0"/>
                <w:color w:val="000000" w:themeColor="text1"/>
                <w:sz w:val="20"/>
                <w:lang w:val="en-US" w:eastAsia="zh-CN" w:bidi="ar"/>
                <w14:textFill>
                  <w14:solidFill>
                    <w14:schemeClr w14:val="tx1"/>
                  </w14:solidFill>
                </w14:textFill>
              </w:rPr>
              <w:t>IL17</w:t>
            </w:r>
          </w:p>
        </w:tc>
        <w:tc>
          <w:tcPr>
            <w:tcW w:w="2818" w:type="dxa"/>
            <w:tcBorders>
              <w:top w:val="nil"/>
              <w:bottom w:val="single" w:color="000000" w:sz="12" w:space="0"/>
            </w:tcBorders>
            <w:shd w:val="clear" w:color="auto" w:fill="FFFFFF"/>
            <w:vAlign w:val="center"/>
          </w:tcPr>
          <w:p w14:paraId="45D4E90D">
            <w:pPr>
              <w:widowControl w:val="0"/>
              <w:jc w:val="both"/>
              <w:rPr>
                <w:rFonts w:ascii="Arial" w:hAnsi="Arial" w:eastAsia="AdvPSA183" w:cs="Arial"/>
                <w:b w:val="0"/>
                <w:color w:val="000000"/>
                <w:sz w:val="20"/>
                <w:lang w:bidi="ar"/>
              </w:rPr>
            </w:pPr>
            <w:r>
              <w:rPr>
                <w:rFonts w:hint="eastAsia" w:ascii="Arial" w:hAnsi="Arial" w:cs="Arial"/>
                <w:b w:val="0"/>
                <w:color w:val="000000"/>
                <w:sz w:val="20"/>
                <w:lang w:val="en-US" w:eastAsia="zh-CN"/>
              </w:rPr>
              <w:t>ThermoFisher</w:t>
            </w:r>
          </w:p>
        </w:tc>
        <w:tc>
          <w:tcPr>
            <w:tcW w:w="2603" w:type="dxa"/>
            <w:tcBorders>
              <w:top w:val="nil"/>
              <w:bottom w:val="single" w:color="000000" w:sz="12" w:space="0"/>
            </w:tcBorders>
            <w:shd w:val="clear" w:color="auto" w:fill="FFFFFF"/>
            <w:vAlign w:val="center"/>
          </w:tcPr>
          <w:p w14:paraId="3565AF5B">
            <w:pPr>
              <w:widowControl w:val="0"/>
              <w:jc w:val="both"/>
              <w:rPr>
                <w:rFonts w:ascii="Arial" w:hAnsi="Arial" w:eastAsia="AdvPSA183" w:cs="Arial"/>
                <w:b w:val="0"/>
                <w:color w:val="000000" w:themeColor="text1"/>
                <w:sz w:val="20"/>
                <w:lang w:bidi="ar"/>
                <w14:textFill>
                  <w14:solidFill>
                    <w14:schemeClr w14:val="tx1"/>
                  </w14:solidFill>
                </w14:textFill>
              </w:rPr>
            </w:pPr>
            <w:r>
              <w:rPr>
                <w:rFonts w:ascii="Arial" w:hAnsi="Arial" w:eastAsia="AdvPSA183" w:cs="Arial"/>
                <w:b w:val="0"/>
                <w:color w:val="000000" w:themeColor="text1"/>
                <w:sz w:val="20"/>
                <w:lang w:bidi="ar"/>
                <w14:textFill>
                  <w14:solidFill>
                    <w14:schemeClr w14:val="tx1"/>
                  </w14:solidFill>
                </w14:textFill>
              </w:rPr>
              <w:t>Cat #</w:t>
            </w:r>
            <w:r>
              <w:rPr>
                <w:rFonts w:hint="eastAsia" w:ascii="Arial" w:hAnsi="Arial" w:eastAsia="AdvPSA183" w:cs="Arial"/>
                <w:b w:val="0"/>
                <w:color w:val="000000" w:themeColor="text1"/>
                <w:sz w:val="20"/>
                <w:lang w:val="en-US" w:eastAsia="zh-CN" w:bidi="ar"/>
                <w14:textFill>
                  <w14:solidFill>
                    <w14:schemeClr w14:val="tx1"/>
                  </w14:solidFill>
                </w14:textFill>
              </w:rPr>
              <w:t xml:space="preserve"> </w:t>
            </w:r>
            <w:r>
              <w:rPr>
                <w:rFonts w:ascii="Arial" w:hAnsi="Arial" w:eastAsia="AdvPSA183" w:cs="Arial"/>
                <w:b w:val="0"/>
                <w:color w:val="000000" w:themeColor="text1"/>
                <w:sz w:val="20"/>
                <w:lang w:bidi="ar"/>
                <w14:textFill>
                  <w14:solidFill>
                    <w14:schemeClr w14:val="tx1"/>
                  </w14:solidFill>
                </w14:textFill>
              </w:rPr>
              <w:t>740021M</w:t>
            </w:r>
          </w:p>
        </w:tc>
      </w:tr>
    </w:tbl>
    <w:p w14:paraId="533D193C">
      <w:pPr>
        <w:adjustRightInd w:val="0"/>
        <w:snapToGrid w:val="0"/>
        <w:spacing w:line="360" w:lineRule="auto"/>
        <w:jc w:val="both"/>
        <w:rPr>
          <w:rFonts w:ascii="Arial" w:hAnsi="Arial" w:cs="Arial"/>
          <w:b/>
          <w:bCs/>
          <w:color w:val="000000" w:themeColor="text1"/>
          <w:sz w:val="22"/>
          <w:szCs w:val="22"/>
          <w14:textFill>
            <w14:solidFill>
              <w14:schemeClr w14:val="tx1"/>
            </w14:solidFill>
          </w14:textFill>
        </w:rPr>
      </w:pPr>
    </w:p>
    <w:p w14:paraId="520DCDAC">
      <w:pPr>
        <w:adjustRightInd w:val="0"/>
        <w:snapToGrid w:val="0"/>
        <w:spacing w:line="360" w:lineRule="auto"/>
        <w:jc w:val="both"/>
        <w:rPr>
          <w:rFonts w:ascii="Arial" w:hAnsi="Arial" w:cs="Arial"/>
          <w:color w:val="000000" w:themeColor="text1"/>
          <w:sz w:val="22"/>
          <w:szCs w:val="22"/>
          <w14:textFill>
            <w14:solidFill>
              <w14:schemeClr w14:val="tx1"/>
            </w14:solidFill>
          </w14:textFill>
        </w:rPr>
      </w:pPr>
    </w:p>
    <w:p w14:paraId="4E127FFA">
      <w:pPr>
        <w:adjustRightInd w:val="0"/>
        <w:snapToGrid w:val="0"/>
        <w:spacing w:line="360" w:lineRule="auto"/>
        <w:jc w:val="both"/>
        <w:rPr>
          <w:rFonts w:ascii="Arial" w:hAnsi="Arial" w:cs="Arial"/>
          <w:color w:val="000000" w:themeColor="text1"/>
          <w:sz w:val="22"/>
          <w:szCs w:val="22"/>
          <w14:textFill>
            <w14:solidFill>
              <w14:schemeClr w14:val="tx1"/>
            </w14:solidFill>
          </w14:textFill>
        </w:rPr>
      </w:pPr>
      <w:r>
        <w:rPr>
          <w:rFonts w:hint="eastAsia" w:ascii="Arial" w:hAnsi="Arial" w:cs="Arial"/>
          <w:b/>
          <w:bCs/>
          <w:color w:val="000000" w:themeColor="text1"/>
          <w:sz w:val="22"/>
          <w:szCs w:val="22"/>
          <w14:textFill>
            <w14:solidFill>
              <w14:schemeClr w14:val="tx1"/>
            </w14:solidFill>
          </w14:textFill>
        </w:rPr>
        <w:t xml:space="preserve">Extended Data </w:t>
      </w:r>
      <w:r>
        <w:rPr>
          <w:rFonts w:hint="eastAsia" w:ascii="Arial" w:hAnsi="Arial" w:cs="Arial"/>
          <w:b/>
          <w:bCs/>
          <w:color w:val="000000" w:themeColor="text1"/>
          <w:sz w:val="22"/>
          <w:szCs w:val="22"/>
          <w:lang w:val="en-US" w:eastAsia="zh-CN"/>
          <w14:textFill>
            <w14:solidFill>
              <w14:schemeClr w14:val="tx1"/>
            </w14:solidFill>
          </w14:textFill>
        </w:rPr>
        <w:t>Table</w:t>
      </w:r>
      <w:r>
        <w:rPr>
          <w:rFonts w:hint="eastAsia" w:ascii="Arial" w:hAnsi="Arial" w:cs="Arial"/>
          <w:b/>
          <w:bCs/>
          <w:color w:val="000000" w:themeColor="text1"/>
          <w:sz w:val="22"/>
          <w:szCs w:val="22"/>
          <w14:textFill>
            <w14:solidFill>
              <w14:schemeClr w14:val="tx1"/>
            </w14:solidFill>
          </w14:textFill>
        </w:rPr>
        <w:t xml:space="preserve"> </w:t>
      </w:r>
      <w:r>
        <w:rPr>
          <w:rFonts w:hint="eastAsia" w:ascii="Arial" w:hAnsi="Arial" w:cs="Arial"/>
          <w:b/>
          <w:bCs/>
          <w:color w:val="000000" w:themeColor="text1"/>
          <w:sz w:val="22"/>
          <w:szCs w:val="22"/>
          <w:lang w:val="en-US" w:eastAsia="zh-CN"/>
          <w14:textFill>
            <w14:solidFill>
              <w14:schemeClr w14:val="tx1"/>
            </w14:solidFill>
          </w14:textFill>
        </w:rPr>
        <w:t>3</w:t>
      </w:r>
      <w:r>
        <w:rPr>
          <w:rFonts w:hint="eastAsia" w:ascii="Arial" w:hAnsi="Arial" w:cs="Arial"/>
          <w:b/>
          <w:bCs/>
          <w:color w:val="000000" w:themeColor="text1"/>
          <w:sz w:val="22"/>
          <w:szCs w:val="22"/>
          <w14:textFill>
            <w14:solidFill>
              <w14:schemeClr w14:val="tx1"/>
            </w14:solidFill>
          </w14:textFill>
        </w:rPr>
        <w:t>:</w:t>
      </w:r>
      <w:r>
        <w:rPr>
          <w:rFonts w:hint="eastAsia" w:ascii="Arial" w:hAnsi="Arial" w:cs="Arial"/>
          <w:color w:val="000000" w:themeColor="text1"/>
          <w:sz w:val="22"/>
          <w:szCs w:val="22"/>
          <w:lang w:eastAsia="zh-CN"/>
          <w14:textFill>
            <w14:solidFill>
              <w14:schemeClr w14:val="tx1"/>
            </w14:solidFill>
          </w14:textFill>
        </w:rPr>
        <w:t xml:space="preserve">  The information of primer for RT-qPCR</w:t>
      </w:r>
    </w:p>
    <w:tbl>
      <w:tblPr>
        <w:tblStyle w:val="3"/>
        <w:tblW w:w="8522" w:type="dxa"/>
        <w:tblInd w:w="0" w:type="dxa"/>
        <w:tblLayout w:type="fixed"/>
        <w:tblCellMar>
          <w:top w:w="0" w:type="dxa"/>
          <w:left w:w="108" w:type="dxa"/>
          <w:bottom w:w="0" w:type="dxa"/>
          <w:right w:w="108" w:type="dxa"/>
        </w:tblCellMar>
      </w:tblPr>
      <w:tblGrid>
        <w:gridCol w:w="1825"/>
        <w:gridCol w:w="3188"/>
        <w:gridCol w:w="3509"/>
      </w:tblGrid>
      <w:tr w14:paraId="2218BDD4">
        <w:tblPrEx>
          <w:tblCellMar>
            <w:top w:w="0" w:type="dxa"/>
            <w:left w:w="108" w:type="dxa"/>
            <w:bottom w:w="0" w:type="dxa"/>
            <w:right w:w="108" w:type="dxa"/>
          </w:tblCellMar>
        </w:tblPrEx>
        <w:trPr>
          <w:trHeight w:val="168" w:hRule="atLeast"/>
        </w:trPr>
        <w:tc>
          <w:tcPr>
            <w:tcW w:w="1825" w:type="dxa"/>
            <w:tcBorders>
              <w:top w:val="single" w:color="000000" w:sz="12" w:space="0"/>
              <w:left w:val="nil"/>
              <w:bottom w:val="single" w:color="000000" w:sz="4" w:space="0"/>
              <w:right w:val="nil"/>
              <w:tl2br w:val="nil"/>
            </w:tcBorders>
            <w:shd w:val="clear" w:color="auto" w:fill="FFFFFF"/>
            <w:noWrap/>
            <w:vAlign w:val="center"/>
          </w:tcPr>
          <w:p w14:paraId="398449B6">
            <w:pPr>
              <w:jc w:val="both"/>
              <w:textAlignment w:val="center"/>
              <w:rPr>
                <w:rFonts w:ascii="Arial" w:hAnsi="Arial" w:cs="Arial"/>
                <w:b w:val="0"/>
                <w:bCs/>
                <w:color w:val="000000" w:themeColor="text1"/>
                <w:sz w:val="20"/>
                <w:lang w:eastAsia="zh-CN" w:bidi="ar"/>
                <w14:textFill>
                  <w14:solidFill>
                    <w14:schemeClr w14:val="tx1"/>
                  </w14:solidFill>
                </w14:textFill>
              </w:rPr>
            </w:pPr>
            <w:r>
              <w:rPr>
                <w:rFonts w:ascii="Arial" w:hAnsi="Arial" w:cs="Arial"/>
                <w:b w:val="0"/>
                <w:bCs/>
                <w:color w:val="000000" w:themeColor="text1"/>
                <w:sz w:val="20"/>
                <w:lang w:eastAsia="zh-CN" w:bidi="ar"/>
                <w14:textFill>
                  <w14:solidFill>
                    <w14:schemeClr w14:val="tx1"/>
                  </w14:solidFill>
                </w14:textFill>
              </w:rPr>
              <w:t>Gene</w:t>
            </w:r>
          </w:p>
        </w:tc>
        <w:tc>
          <w:tcPr>
            <w:tcW w:w="3188" w:type="dxa"/>
            <w:tcBorders>
              <w:top w:val="single" w:color="000000" w:sz="12" w:space="0"/>
              <w:left w:val="nil"/>
              <w:bottom w:val="single" w:color="000000" w:sz="4" w:space="0"/>
              <w:right w:val="nil"/>
            </w:tcBorders>
            <w:shd w:val="clear" w:color="auto" w:fill="FFFFFF"/>
            <w:noWrap/>
            <w:vAlign w:val="center"/>
          </w:tcPr>
          <w:p w14:paraId="4B52A425">
            <w:pPr>
              <w:jc w:val="both"/>
              <w:textAlignment w:val="center"/>
              <w:rPr>
                <w:rFonts w:ascii="Arial" w:hAnsi="Arial" w:cs="Arial"/>
                <w:b w:val="0"/>
                <w:bCs/>
                <w:color w:val="000000" w:themeColor="text1"/>
                <w:sz w:val="20"/>
                <w:lang w:eastAsia="zh-CN" w:bidi="ar"/>
                <w14:textFill>
                  <w14:solidFill>
                    <w14:schemeClr w14:val="tx1"/>
                  </w14:solidFill>
                </w14:textFill>
              </w:rPr>
            </w:pPr>
            <w:r>
              <w:rPr>
                <w:rFonts w:ascii="Arial" w:hAnsi="Arial" w:cs="Arial"/>
                <w:b w:val="0"/>
                <w:bCs/>
                <w:color w:val="000000" w:themeColor="text1"/>
                <w:sz w:val="20"/>
                <w:lang w:eastAsia="zh-CN" w:bidi="ar"/>
                <w14:textFill>
                  <w14:solidFill>
                    <w14:schemeClr w14:val="tx1"/>
                  </w14:solidFill>
                </w14:textFill>
              </w:rPr>
              <w:t>Forward</w:t>
            </w:r>
          </w:p>
        </w:tc>
        <w:tc>
          <w:tcPr>
            <w:tcW w:w="3509" w:type="dxa"/>
            <w:tcBorders>
              <w:top w:val="single" w:color="000000" w:sz="12" w:space="0"/>
              <w:left w:val="nil"/>
              <w:bottom w:val="single" w:color="000000" w:sz="4" w:space="0"/>
              <w:right w:val="nil"/>
            </w:tcBorders>
            <w:shd w:val="clear" w:color="auto" w:fill="FFFFFF"/>
            <w:noWrap/>
            <w:vAlign w:val="center"/>
          </w:tcPr>
          <w:p w14:paraId="3BB550D6">
            <w:pPr>
              <w:jc w:val="both"/>
              <w:textAlignment w:val="center"/>
              <w:rPr>
                <w:rFonts w:ascii="Arial" w:hAnsi="Arial" w:cs="Arial"/>
                <w:b w:val="0"/>
                <w:bCs/>
                <w:color w:val="000000" w:themeColor="text1"/>
                <w:sz w:val="20"/>
                <w:lang w:eastAsia="zh-CN" w:bidi="ar"/>
                <w14:textFill>
                  <w14:solidFill>
                    <w14:schemeClr w14:val="tx1"/>
                  </w14:solidFill>
                </w14:textFill>
              </w:rPr>
            </w:pPr>
            <w:r>
              <w:rPr>
                <w:rFonts w:ascii="Arial" w:hAnsi="Arial" w:cs="Arial"/>
                <w:b w:val="0"/>
                <w:bCs/>
                <w:color w:val="000000" w:themeColor="text1"/>
                <w:sz w:val="20"/>
                <w:lang w:eastAsia="zh-CN" w:bidi="ar"/>
                <w14:textFill>
                  <w14:solidFill>
                    <w14:schemeClr w14:val="tx1"/>
                  </w14:solidFill>
                </w14:textFill>
              </w:rPr>
              <w:t>Reverse</w:t>
            </w:r>
          </w:p>
        </w:tc>
      </w:tr>
      <w:tr w14:paraId="7E7B04FF">
        <w:tblPrEx>
          <w:tblCellMar>
            <w:top w:w="0" w:type="dxa"/>
            <w:left w:w="108" w:type="dxa"/>
            <w:bottom w:w="0" w:type="dxa"/>
            <w:right w:w="108" w:type="dxa"/>
          </w:tblCellMar>
        </w:tblPrEx>
        <w:trPr>
          <w:trHeight w:val="362" w:hRule="atLeast"/>
        </w:trPr>
        <w:tc>
          <w:tcPr>
            <w:tcW w:w="1825" w:type="dxa"/>
            <w:tcBorders>
              <w:top w:val="single" w:color="000000" w:sz="4" w:space="0"/>
              <w:left w:val="nil"/>
              <w:bottom w:val="nil"/>
              <w:right w:val="nil"/>
            </w:tcBorders>
            <w:shd w:val="clear" w:color="auto" w:fill="FFFFFF"/>
            <w:noWrap/>
            <w:vAlign w:val="center"/>
          </w:tcPr>
          <w:p w14:paraId="524DC85E">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sz w:val="20"/>
                <w:lang w:val="en-US" w:eastAsia="zh-CN" w:bidi="ar"/>
                <w14:textFill>
                  <w14:solidFill>
                    <w14:schemeClr w14:val="tx1"/>
                  </w14:solidFill>
                </w14:textFill>
              </w:rPr>
              <w:t>HIF1A (human)</w:t>
            </w:r>
          </w:p>
        </w:tc>
        <w:tc>
          <w:tcPr>
            <w:tcW w:w="3188" w:type="dxa"/>
            <w:tcBorders>
              <w:top w:val="single" w:color="000000" w:sz="4" w:space="0"/>
              <w:left w:val="nil"/>
              <w:bottom w:val="nil"/>
              <w:right w:val="nil"/>
            </w:tcBorders>
            <w:shd w:val="clear" w:color="auto" w:fill="FFFFFF"/>
            <w:noWrap/>
            <w:vAlign w:val="center"/>
          </w:tcPr>
          <w:p w14:paraId="599F0804">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GAACGTCGAAAAGAAAAGTCTCG</w:t>
            </w:r>
          </w:p>
        </w:tc>
        <w:tc>
          <w:tcPr>
            <w:tcW w:w="3509" w:type="dxa"/>
            <w:tcBorders>
              <w:top w:val="single" w:color="000000" w:sz="4" w:space="0"/>
              <w:left w:val="nil"/>
              <w:bottom w:val="nil"/>
              <w:right w:val="nil"/>
            </w:tcBorders>
            <w:shd w:val="clear" w:color="auto" w:fill="FFFFFF"/>
            <w:noWrap/>
            <w:vAlign w:val="center"/>
          </w:tcPr>
          <w:p w14:paraId="3F143B2F">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CCTTATCAAGATGCGAACTCACA</w:t>
            </w:r>
            <w:r>
              <w:rPr>
                <w:rFonts w:hint="eastAsia" w:ascii="Arial" w:hAnsi="Arial" w:cs="Arial"/>
                <w:b w:val="0"/>
                <w:color w:val="000000" w:themeColor="text1"/>
                <w:sz w:val="18"/>
                <w:szCs w:val="22"/>
                <w:lang w:eastAsia="zh-CN" w:bidi="ar"/>
                <w14:textFill>
                  <w14:solidFill>
                    <w14:schemeClr w14:val="tx1"/>
                  </w14:solidFill>
                </w14:textFill>
              </w:rPr>
              <w:tab/>
            </w:r>
          </w:p>
        </w:tc>
      </w:tr>
      <w:tr w14:paraId="3C981DAB">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1F5C2DEC">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sz w:val="20"/>
                <w:lang w:val="en-US" w:eastAsia="zh-CN" w:bidi="ar"/>
                <w14:textFill>
                  <w14:solidFill>
                    <w14:schemeClr w14:val="tx1"/>
                  </w14:solidFill>
                </w14:textFill>
              </w:rPr>
              <w:t>EPAS1 (human)</w:t>
            </w:r>
          </w:p>
        </w:tc>
        <w:tc>
          <w:tcPr>
            <w:tcW w:w="3188" w:type="dxa"/>
            <w:tcBorders>
              <w:top w:val="nil"/>
              <w:left w:val="nil"/>
              <w:bottom w:val="nil"/>
              <w:right w:val="nil"/>
            </w:tcBorders>
            <w:shd w:val="clear" w:color="auto" w:fill="FFFFFF"/>
            <w:noWrap/>
            <w:vAlign w:val="center"/>
          </w:tcPr>
          <w:p w14:paraId="31C07F6E">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CGGAGGTGTTCTATGAGCTGG</w:t>
            </w:r>
          </w:p>
        </w:tc>
        <w:tc>
          <w:tcPr>
            <w:tcW w:w="3509" w:type="dxa"/>
            <w:tcBorders>
              <w:top w:val="nil"/>
              <w:left w:val="nil"/>
              <w:bottom w:val="nil"/>
              <w:right w:val="nil"/>
            </w:tcBorders>
            <w:shd w:val="clear" w:color="auto" w:fill="FFFFFF"/>
            <w:noWrap/>
            <w:vAlign w:val="center"/>
          </w:tcPr>
          <w:p w14:paraId="56CCB888">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AGCTTGTGTGTTCGCAGGAA</w:t>
            </w:r>
            <w:r>
              <w:rPr>
                <w:rFonts w:hint="eastAsia" w:ascii="Arial" w:hAnsi="Arial" w:cs="Arial"/>
                <w:b w:val="0"/>
                <w:color w:val="000000" w:themeColor="text1"/>
                <w:sz w:val="18"/>
                <w:szCs w:val="22"/>
                <w:lang w:eastAsia="zh-CN" w:bidi="ar"/>
                <w14:textFill>
                  <w14:solidFill>
                    <w14:schemeClr w14:val="tx1"/>
                  </w14:solidFill>
                </w14:textFill>
              </w:rPr>
              <w:tab/>
            </w:r>
          </w:p>
        </w:tc>
      </w:tr>
      <w:tr w14:paraId="1633EC2C">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2985F95E">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sz w:val="20"/>
                <w:lang w:val="en-US" w:eastAsia="zh-CN" w:bidi="ar"/>
                <w14:textFill>
                  <w14:solidFill>
                    <w14:schemeClr w14:val="tx1"/>
                  </w14:solidFill>
                </w14:textFill>
              </w:rPr>
              <w:t>NAMPT (human)</w:t>
            </w:r>
          </w:p>
        </w:tc>
        <w:tc>
          <w:tcPr>
            <w:tcW w:w="3188" w:type="dxa"/>
            <w:tcBorders>
              <w:top w:val="nil"/>
              <w:left w:val="nil"/>
              <w:bottom w:val="nil"/>
              <w:right w:val="nil"/>
            </w:tcBorders>
            <w:shd w:val="clear" w:color="auto" w:fill="FFFFFF"/>
            <w:noWrap/>
            <w:vAlign w:val="center"/>
          </w:tcPr>
          <w:p w14:paraId="6F435B94">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CGGCAGAAGCCGAGTTCAA</w:t>
            </w:r>
          </w:p>
        </w:tc>
        <w:tc>
          <w:tcPr>
            <w:tcW w:w="3509" w:type="dxa"/>
            <w:tcBorders>
              <w:top w:val="nil"/>
              <w:left w:val="nil"/>
              <w:bottom w:val="nil"/>
              <w:right w:val="nil"/>
            </w:tcBorders>
            <w:shd w:val="clear" w:color="auto" w:fill="FFFFFF"/>
            <w:noWrap/>
            <w:vAlign w:val="center"/>
          </w:tcPr>
          <w:p w14:paraId="45D5D170">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GCTTGTGTTGGGTGGATATTGTT</w:t>
            </w:r>
          </w:p>
        </w:tc>
      </w:tr>
      <w:tr w14:paraId="7E5EAD35">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13727307">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sz w:val="20"/>
                <w:lang w:val="en-US" w:eastAsia="zh-CN" w:bidi="ar"/>
                <w14:textFill>
                  <w14:solidFill>
                    <w14:schemeClr w14:val="tx1"/>
                  </w14:solidFill>
                </w14:textFill>
              </w:rPr>
              <w:t>INSR (human)</w:t>
            </w:r>
          </w:p>
        </w:tc>
        <w:tc>
          <w:tcPr>
            <w:tcW w:w="3188" w:type="dxa"/>
            <w:tcBorders>
              <w:top w:val="nil"/>
              <w:left w:val="nil"/>
              <w:bottom w:val="nil"/>
              <w:right w:val="nil"/>
            </w:tcBorders>
            <w:shd w:val="clear" w:color="auto" w:fill="FFFFFF"/>
            <w:noWrap/>
            <w:vAlign w:val="center"/>
          </w:tcPr>
          <w:p w14:paraId="7DF5045E">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AAAACGAGGCCCGAAGATTTC</w:t>
            </w:r>
          </w:p>
        </w:tc>
        <w:tc>
          <w:tcPr>
            <w:tcW w:w="3509" w:type="dxa"/>
            <w:tcBorders>
              <w:top w:val="nil"/>
              <w:left w:val="nil"/>
              <w:bottom w:val="nil"/>
              <w:right w:val="nil"/>
            </w:tcBorders>
            <w:shd w:val="clear" w:color="auto" w:fill="FFFFFF"/>
            <w:noWrap/>
            <w:vAlign w:val="center"/>
          </w:tcPr>
          <w:p w14:paraId="3DB03070">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GAGCCCATAGACCCGGAAG</w:t>
            </w:r>
          </w:p>
        </w:tc>
      </w:tr>
      <w:tr w14:paraId="474D9603">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2B730947">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kern w:val="2"/>
                <w:sz w:val="20"/>
                <w:lang w:val="en-US" w:eastAsia="zh-CN"/>
                <w14:textFill>
                  <w14:solidFill>
                    <w14:schemeClr w14:val="tx1"/>
                  </w14:solidFill>
                </w14:textFill>
              </w:rPr>
              <w:t>Vegfa (mouse)</w:t>
            </w:r>
          </w:p>
        </w:tc>
        <w:tc>
          <w:tcPr>
            <w:tcW w:w="3188" w:type="dxa"/>
            <w:tcBorders>
              <w:top w:val="nil"/>
              <w:left w:val="nil"/>
              <w:bottom w:val="nil"/>
              <w:right w:val="nil"/>
            </w:tcBorders>
            <w:shd w:val="clear" w:color="auto" w:fill="FFFFFF"/>
            <w:noWrap/>
            <w:vAlign w:val="center"/>
          </w:tcPr>
          <w:p w14:paraId="3A6A5B3A">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CTGCCGTCCGATTGAGACC</w:t>
            </w:r>
          </w:p>
        </w:tc>
        <w:tc>
          <w:tcPr>
            <w:tcW w:w="3509" w:type="dxa"/>
            <w:tcBorders>
              <w:top w:val="nil"/>
              <w:left w:val="nil"/>
              <w:bottom w:val="nil"/>
              <w:right w:val="nil"/>
            </w:tcBorders>
            <w:shd w:val="clear" w:color="auto" w:fill="FFFFFF"/>
            <w:noWrap/>
            <w:vAlign w:val="center"/>
          </w:tcPr>
          <w:p w14:paraId="3C074036">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CCCCTCCTTGTACCACTGTC</w:t>
            </w:r>
          </w:p>
        </w:tc>
      </w:tr>
      <w:tr w14:paraId="7E4CFCA9">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114D8718">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kern w:val="2"/>
                <w:sz w:val="20"/>
                <w:lang w:val="en-US" w:eastAsia="zh-CN"/>
                <w14:textFill>
                  <w14:solidFill>
                    <w14:schemeClr w14:val="tx1"/>
                  </w14:solidFill>
                </w14:textFill>
              </w:rPr>
              <w:t>Angptl2 (mouse)</w:t>
            </w:r>
          </w:p>
        </w:tc>
        <w:tc>
          <w:tcPr>
            <w:tcW w:w="3188" w:type="dxa"/>
            <w:tcBorders>
              <w:top w:val="nil"/>
              <w:left w:val="nil"/>
              <w:bottom w:val="nil"/>
              <w:right w:val="nil"/>
            </w:tcBorders>
            <w:shd w:val="clear" w:color="auto" w:fill="FFFFFF"/>
            <w:noWrap/>
            <w:vAlign w:val="center"/>
          </w:tcPr>
          <w:p w14:paraId="04F14B5C">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AGCCTGAGAATACCAACCGC</w:t>
            </w:r>
          </w:p>
        </w:tc>
        <w:tc>
          <w:tcPr>
            <w:tcW w:w="3509" w:type="dxa"/>
            <w:tcBorders>
              <w:top w:val="nil"/>
              <w:left w:val="nil"/>
              <w:bottom w:val="nil"/>
              <w:right w:val="nil"/>
            </w:tcBorders>
            <w:shd w:val="clear" w:color="auto" w:fill="FFFFFF"/>
            <w:noWrap/>
            <w:vAlign w:val="center"/>
          </w:tcPr>
          <w:p w14:paraId="272B1BAB">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CCCTTGCTTATAGGTCTCCCAG</w:t>
            </w:r>
          </w:p>
        </w:tc>
      </w:tr>
      <w:tr w14:paraId="23D23456">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3F592C8F">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sz w:val="20"/>
                <w:lang w:val="en-US" w:eastAsia="zh-CN" w:bidi="ar"/>
                <w14:textFill>
                  <w14:solidFill>
                    <w14:schemeClr w14:val="tx1"/>
                  </w14:solidFill>
                </w14:textFill>
              </w:rPr>
              <w:t xml:space="preserve">IL-1b </w:t>
            </w:r>
            <w:r>
              <w:rPr>
                <w:rFonts w:hint="eastAsia" w:ascii="Arial" w:hAnsi="Arial" w:cs="Arial"/>
                <w:b w:val="0"/>
                <w:color w:val="000000" w:themeColor="text1"/>
                <w:kern w:val="2"/>
                <w:sz w:val="20"/>
                <w:lang w:val="en-US" w:eastAsia="zh-CN"/>
                <w14:textFill>
                  <w14:solidFill>
                    <w14:schemeClr w14:val="tx1"/>
                  </w14:solidFill>
                </w14:textFill>
              </w:rPr>
              <w:t>(mouse)</w:t>
            </w:r>
          </w:p>
        </w:tc>
        <w:tc>
          <w:tcPr>
            <w:tcW w:w="3188" w:type="dxa"/>
            <w:tcBorders>
              <w:top w:val="nil"/>
              <w:left w:val="nil"/>
              <w:bottom w:val="nil"/>
              <w:right w:val="nil"/>
            </w:tcBorders>
            <w:shd w:val="clear" w:color="auto" w:fill="FFFFFF"/>
            <w:noWrap/>
            <w:vAlign w:val="center"/>
          </w:tcPr>
          <w:p w14:paraId="737621F4">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GCAACTGTTCCTGAACTCAACT</w:t>
            </w:r>
          </w:p>
        </w:tc>
        <w:tc>
          <w:tcPr>
            <w:tcW w:w="3509" w:type="dxa"/>
            <w:tcBorders>
              <w:top w:val="nil"/>
              <w:left w:val="nil"/>
              <w:bottom w:val="nil"/>
              <w:right w:val="nil"/>
            </w:tcBorders>
            <w:shd w:val="clear" w:color="auto" w:fill="FFFFFF"/>
            <w:noWrap/>
            <w:vAlign w:val="center"/>
          </w:tcPr>
          <w:p w14:paraId="34946251">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ATCTTTTGGGGTCCGTCAACT</w:t>
            </w:r>
          </w:p>
        </w:tc>
      </w:tr>
      <w:tr w14:paraId="17D9DEC9">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0CACBFE5">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sz w:val="20"/>
                <w:lang w:val="en-US" w:eastAsia="zh-CN" w:bidi="ar"/>
                <w14:textFill>
                  <w14:solidFill>
                    <w14:schemeClr w14:val="tx1"/>
                  </w14:solidFill>
                </w14:textFill>
              </w:rPr>
              <w:t xml:space="preserve">IL-17a </w:t>
            </w:r>
            <w:r>
              <w:rPr>
                <w:rFonts w:hint="eastAsia" w:ascii="Arial" w:hAnsi="Arial" w:cs="Arial"/>
                <w:b w:val="0"/>
                <w:color w:val="000000" w:themeColor="text1"/>
                <w:kern w:val="2"/>
                <w:sz w:val="20"/>
                <w:lang w:val="en-US" w:eastAsia="zh-CN"/>
                <w14:textFill>
                  <w14:solidFill>
                    <w14:schemeClr w14:val="tx1"/>
                  </w14:solidFill>
                </w14:textFill>
              </w:rPr>
              <w:t>(mouse)</w:t>
            </w:r>
          </w:p>
        </w:tc>
        <w:tc>
          <w:tcPr>
            <w:tcW w:w="3188" w:type="dxa"/>
            <w:tcBorders>
              <w:top w:val="nil"/>
              <w:left w:val="nil"/>
              <w:bottom w:val="nil"/>
              <w:right w:val="nil"/>
            </w:tcBorders>
            <w:shd w:val="clear" w:color="auto" w:fill="FFFFFF"/>
            <w:noWrap/>
            <w:vAlign w:val="center"/>
          </w:tcPr>
          <w:p w14:paraId="12EC9F1A">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TTTAACTCCCTTGGCGCAAAA</w:t>
            </w:r>
          </w:p>
        </w:tc>
        <w:tc>
          <w:tcPr>
            <w:tcW w:w="3509" w:type="dxa"/>
            <w:tcBorders>
              <w:top w:val="nil"/>
              <w:left w:val="nil"/>
              <w:bottom w:val="nil"/>
              <w:right w:val="nil"/>
            </w:tcBorders>
            <w:shd w:val="clear" w:color="auto" w:fill="FFFFFF"/>
            <w:noWrap/>
            <w:vAlign w:val="center"/>
          </w:tcPr>
          <w:p w14:paraId="380F5DD3">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CTTTCCCTCCGCATTGACAC</w:t>
            </w:r>
          </w:p>
        </w:tc>
      </w:tr>
      <w:tr w14:paraId="34037830">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11BC75F4">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kern w:val="2"/>
                <w:sz w:val="20"/>
                <w:lang w:val="en-US" w:eastAsia="zh-CN"/>
                <w14:textFill>
                  <w14:solidFill>
                    <w14:schemeClr w14:val="tx1"/>
                  </w14:solidFill>
                </w14:textFill>
              </w:rPr>
              <w:t>Nampt (mouse)</w:t>
            </w:r>
          </w:p>
        </w:tc>
        <w:tc>
          <w:tcPr>
            <w:tcW w:w="3188" w:type="dxa"/>
            <w:tcBorders>
              <w:top w:val="nil"/>
              <w:left w:val="nil"/>
              <w:bottom w:val="nil"/>
              <w:right w:val="nil"/>
            </w:tcBorders>
            <w:shd w:val="clear" w:color="auto" w:fill="FFFFFF"/>
            <w:noWrap/>
            <w:vAlign w:val="center"/>
          </w:tcPr>
          <w:p w14:paraId="3E816FA9">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GCAGAAGCCGAGTTCAACATC</w:t>
            </w:r>
          </w:p>
        </w:tc>
        <w:tc>
          <w:tcPr>
            <w:tcW w:w="3509" w:type="dxa"/>
            <w:tcBorders>
              <w:top w:val="nil"/>
              <w:left w:val="nil"/>
              <w:bottom w:val="nil"/>
              <w:right w:val="nil"/>
            </w:tcBorders>
            <w:shd w:val="clear" w:color="auto" w:fill="FFFFFF"/>
            <w:noWrap/>
            <w:vAlign w:val="center"/>
          </w:tcPr>
          <w:p w14:paraId="49272D49">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TTTTCACGGCATTCAAAGTAGGA</w:t>
            </w:r>
          </w:p>
        </w:tc>
      </w:tr>
      <w:tr w14:paraId="18E57E08">
        <w:tblPrEx>
          <w:tblCellMar>
            <w:top w:w="0" w:type="dxa"/>
            <w:left w:w="108" w:type="dxa"/>
            <w:bottom w:w="0" w:type="dxa"/>
            <w:right w:w="108" w:type="dxa"/>
          </w:tblCellMar>
        </w:tblPrEx>
        <w:trPr>
          <w:trHeight w:val="339" w:hRule="atLeast"/>
        </w:trPr>
        <w:tc>
          <w:tcPr>
            <w:tcW w:w="1825" w:type="dxa"/>
            <w:tcBorders>
              <w:top w:val="nil"/>
              <w:left w:val="nil"/>
              <w:bottom w:val="nil"/>
              <w:right w:val="nil"/>
            </w:tcBorders>
            <w:shd w:val="clear" w:color="auto" w:fill="FFFFFF"/>
            <w:noWrap/>
            <w:vAlign w:val="center"/>
          </w:tcPr>
          <w:p w14:paraId="20F8C6F9">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sz w:val="20"/>
                <w:lang w:val="en-US" w:eastAsia="zh-CN" w:bidi="ar"/>
                <w14:textFill>
                  <w14:solidFill>
                    <w14:schemeClr w14:val="tx1"/>
                  </w14:solidFill>
                </w14:textFill>
              </w:rPr>
              <w:t>Insr (mouse)</w:t>
            </w:r>
          </w:p>
        </w:tc>
        <w:tc>
          <w:tcPr>
            <w:tcW w:w="3188" w:type="dxa"/>
            <w:tcBorders>
              <w:top w:val="nil"/>
              <w:left w:val="nil"/>
              <w:bottom w:val="nil"/>
              <w:right w:val="nil"/>
            </w:tcBorders>
            <w:shd w:val="clear" w:color="auto" w:fill="FFFFFF"/>
            <w:noWrap/>
            <w:vAlign w:val="center"/>
          </w:tcPr>
          <w:p w14:paraId="450D4CF6">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ATGGGCTTCGGGAGAGGAT</w:t>
            </w:r>
          </w:p>
        </w:tc>
        <w:tc>
          <w:tcPr>
            <w:tcW w:w="3509" w:type="dxa"/>
            <w:tcBorders>
              <w:top w:val="nil"/>
              <w:left w:val="nil"/>
              <w:bottom w:val="nil"/>
              <w:right w:val="nil"/>
            </w:tcBorders>
            <w:shd w:val="clear" w:color="auto" w:fill="FFFFFF"/>
            <w:noWrap/>
            <w:vAlign w:val="center"/>
          </w:tcPr>
          <w:p w14:paraId="08BE8DEE">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GGATGTCCATACCAGGGCAC</w:t>
            </w:r>
          </w:p>
        </w:tc>
      </w:tr>
      <w:tr w14:paraId="6080FAE9">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64553F97">
            <w:pPr>
              <w:jc w:val="both"/>
              <w:textAlignment w:val="center"/>
              <w:rPr>
                <w:rFonts w:hint="default" w:ascii="Arial" w:hAnsi="Arial" w:cs="Arial"/>
                <w:b w:val="0"/>
                <w:color w:val="000000" w:themeColor="text1"/>
                <w:sz w:val="18"/>
                <w:szCs w:val="22"/>
                <w:lang w:val="en-US" w:eastAsia="zh-CN" w:bidi="ar"/>
                <w14:textFill>
                  <w14:solidFill>
                    <w14:schemeClr w14:val="tx1"/>
                  </w14:solidFill>
                </w14:textFill>
              </w:rPr>
            </w:pPr>
            <w:r>
              <w:rPr>
                <w:rFonts w:hint="eastAsia" w:ascii="Arial" w:hAnsi="Arial" w:cs="Arial"/>
                <w:b w:val="0"/>
                <w:color w:val="000000" w:themeColor="text1"/>
                <w:sz w:val="18"/>
                <w:szCs w:val="22"/>
                <w:lang w:val="en-US" w:eastAsia="zh-CN" w:bidi="ar"/>
                <w14:textFill>
                  <w14:solidFill>
                    <w14:schemeClr w14:val="tx1"/>
                  </w14:solidFill>
                </w14:textFill>
              </w:rPr>
              <w:t>HBEGF (human)</w:t>
            </w:r>
          </w:p>
        </w:tc>
        <w:tc>
          <w:tcPr>
            <w:tcW w:w="3188" w:type="dxa"/>
            <w:tcBorders>
              <w:top w:val="nil"/>
              <w:left w:val="nil"/>
              <w:bottom w:val="nil"/>
              <w:right w:val="nil"/>
            </w:tcBorders>
            <w:shd w:val="clear" w:color="auto" w:fill="FFFFFF"/>
            <w:noWrap/>
            <w:vAlign w:val="center"/>
          </w:tcPr>
          <w:p w14:paraId="36FE057B">
            <w:pPr>
              <w:jc w:val="both"/>
              <w:textAlignment w:val="center"/>
              <w:rPr>
                <w:rFonts w:hint="eastAsia" w:ascii="Arial" w:hAnsi="Arial" w:cs="Arial"/>
                <w:b w:val="0"/>
                <w:color w:val="000000" w:themeColor="text1"/>
                <w:sz w:val="18"/>
                <w:szCs w:val="22"/>
                <w:lang w:eastAsia="zh-CN" w:bidi="ar"/>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ATCGTGGGGCTTCTCATGTTT</w:t>
            </w:r>
          </w:p>
        </w:tc>
        <w:tc>
          <w:tcPr>
            <w:tcW w:w="3509" w:type="dxa"/>
            <w:tcBorders>
              <w:top w:val="nil"/>
              <w:left w:val="nil"/>
              <w:bottom w:val="nil"/>
              <w:right w:val="nil"/>
            </w:tcBorders>
            <w:shd w:val="clear" w:color="auto" w:fill="FFFFFF"/>
            <w:noWrap/>
            <w:vAlign w:val="center"/>
          </w:tcPr>
          <w:p w14:paraId="08216370">
            <w:pPr>
              <w:jc w:val="both"/>
              <w:textAlignment w:val="center"/>
              <w:rPr>
                <w:rFonts w:hint="eastAsia" w:ascii="Arial" w:hAnsi="Arial" w:cs="Arial"/>
                <w:b w:val="0"/>
                <w:color w:val="000000" w:themeColor="text1"/>
                <w:sz w:val="18"/>
                <w:szCs w:val="22"/>
                <w:lang w:eastAsia="zh-CN" w:bidi="ar"/>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TTAGTCATGCCCAACTTCACTTT</w:t>
            </w:r>
          </w:p>
        </w:tc>
      </w:tr>
      <w:tr w14:paraId="029669B8">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11D3C83E">
            <w:pPr>
              <w:jc w:val="both"/>
              <w:textAlignment w:val="center"/>
              <w:rPr>
                <w:rFonts w:hint="default" w:ascii="Arial" w:hAnsi="Arial" w:cs="Arial"/>
                <w:b w:val="0"/>
                <w:color w:val="000000" w:themeColor="text1"/>
                <w:sz w:val="18"/>
                <w:szCs w:val="22"/>
                <w:lang w:val="en-US" w:eastAsia="zh-CN" w:bidi="ar"/>
                <w14:textFill>
                  <w14:solidFill>
                    <w14:schemeClr w14:val="tx1"/>
                  </w14:solidFill>
                </w14:textFill>
              </w:rPr>
            </w:pPr>
            <w:r>
              <w:rPr>
                <w:rFonts w:hint="eastAsia" w:ascii="Arial" w:hAnsi="Arial" w:cs="Arial"/>
                <w:b w:val="0"/>
                <w:color w:val="000000" w:themeColor="text1"/>
                <w:sz w:val="18"/>
                <w:szCs w:val="22"/>
                <w:lang w:val="en-US" w:eastAsia="zh-CN" w:bidi="ar"/>
                <w14:textFill>
                  <w14:solidFill>
                    <w14:schemeClr w14:val="tx1"/>
                  </w14:solidFill>
                </w14:textFill>
              </w:rPr>
              <w:t>EGFR (human)</w:t>
            </w:r>
          </w:p>
        </w:tc>
        <w:tc>
          <w:tcPr>
            <w:tcW w:w="3188" w:type="dxa"/>
            <w:tcBorders>
              <w:top w:val="nil"/>
              <w:left w:val="nil"/>
              <w:bottom w:val="nil"/>
              <w:right w:val="nil"/>
            </w:tcBorders>
            <w:shd w:val="clear" w:color="auto" w:fill="FFFFFF"/>
            <w:noWrap/>
            <w:vAlign w:val="center"/>
          </w:tcPr>
          <w:p w14:paraId="602A5C43">
            <w:pPr>
              <w:jc w:val="both"/>
              <w:textAlignment w:val="center"/>
              <w:rPr>
                <w:rFonts w:hint="eastAsia" w:ascii="Arial" w:hAnsi="Arial" w:cs="Arial"/>
                <w:b w:val="0"/>
                <w:color w:val="000000" w:themeColor="text1"/>
                <w:sz w:val="18"/>
                <w:szCs w:val="22"/>
                <w:lang w:eastAsia="zh-CN" w:bidi="ar"/>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AGGCACGAGTAACAAGCTCAC</w:t>
            </w:r>
          </w:p>
        </w:tc>
        <w:tc>
          <w:tcPr>
            <w:tcW w:w="3509" w:type="dxa"/>
            <w:tcBorders>
              <w:top w:val="nil"/>
              <w:left w:val="nil"/>
              <w:bottom w:val="nil"/>
              <w:right w:val="nil"/>
            </w:tcBorders>
            <w:shd w:val="clear" w:color="auto" w:fill="FFFFFF"/>
            <w:noWrap/>
            <w:vAlign w:val="center"/>
          </w:tcPr>
          <w:p w14:paraId="69534214">
            <w:pPr>
              <w:jc w:val="both"/>
              <w:textAlignment w:val="center"/>
              <w:rPr>
                <w:rFonts w:hint="eastAsia" w:ascii="Arial" w:hAnsi="Arial" w:cs="Arial"/>
                <w:b w:val="0"/>
                <w:color w:val="000000" w:themeColor="text1"/>
                <w:sz w:val="18"/>
                <w:szCs w:val="22"/>
                <w:lang w:eastAsia="zh-CN" w:bidi="ar"/>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ATGAGGACATAACCAGCCACC</w:t>
            </w:r>
          </w:p>
        </w:tc>
      </w:tr>
      <w:tr w14:paraId="3C6F4853">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1C39256E">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sz w:val="20"/>
                <w:lang w:val="en-US" w:eastAsia="zh-CN" w:bidi="ar"/>
                <w14:textFill>
                  <w14:solidFill>
                    <w14:schemeClr w14:val="tx1"/>
                  </w14:solidFill>
                </w14:textFill>
              </w:rPr>
              <w:t xml:space="preserve">Hbegf </w:t>
            </w:r>
            <w:r>
              <w:rPr>
                <w:rFonts w:hint="eastAsia" w:ascii="Arial" w:hAnsi="Arial" w:cs="Arial"/>
                <w:b w:val="0"/>
                <w:color w:val="000000" w:themeColor="text1"/>
                <w:kern w:val="2"/>
                <w:sz w:val="20"/>
                <w:lang w:val="en-US" w:eastAsia="zh-CN"/>
                <w14:textFill>
                  <w14:solidFill>
                    <w14:schemeClr w14:val="tx1"/>
                  </w14:solidFill>
                </w14:textFill>
              </w:rPr>
              <w:t>(mouse)</w:t>
            </w:r>
          </w:p>
        </w:tc>
        <w:tc>
          <w:tcPr>
            <w:tcW w:w="3188" w:type="dxa"/>
            <w:tcBorders>
              <w:top w:val="nil"/>
              <w:left w:val="nil"/>
              <w:bottom w:val="nil"/>
              <w:right w:val="nil"/>
            </w:tcBorders>
            <w:shd w:val="clear" w:color="auto" w:fill="FFFFFF"/>
            <w:noWrap/>
            <w:vAlign w:val="center"/>
          </w:tcPr>
          <w:p w14:paraId="0F9CD435">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CGGGGAGTGCAGATACCTG</w:t>
            </w:r>
          </w:p>
        </w:tc>
        <w:tc>
          <w:tcPr>
            <w:tcW w:w="3509" w:type="dxa"/>
            <w:tcBorders>
              <w:top w:val="nil"/>
              <w:left w:val="nil"/>
              <w:bottom w:val="nil"/>
              <w:right w:val="nil"/>
            </w:tcBorders>
            <w:shd w:val="clear" w:color="auto" w:fill="FFFFFF"/>
            <w:noWrap/>
            <w:vAlign w:val="center"/>
          </w:tcPr>
          <w:p w14:paraId="6B027EF8">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TTCTCCACTGGTAGAGTCAGC</w:t>
            </w:r>
          </w:p>
        </w:tc>
      </w:tr>
      <w:tr w14:paraId="11A028E5">
        <w:tblPrEx>
          <w:tblCellMar>
            <w:top w:w="0" w:type="dxa"/>
            <w:left w:w="108" w:type="dxa"/>
            <w:bottom w:w="0" w:type="dxa"/>
            <w:right w:w="108" w:type="dxa"/>
          </w:tblCellMar>
        </w:tblPrEx>
        <w:trPr>
          <w:trHeight w:val="277" w:hRule="atLeast"/>
        </w:trPr>
        <w:tc>
          <w:tcPr>
            <w:tcW w:w="1825" w:type="dxa"/>
            <w:tcBorders>
              <w:top w:val="nil"/>
              <w:left w:val="nil"/>
              <w:bottom w:val="nil"/>
              <w:right w:val="nil"/>
            </w:tcBorders>
            <w:shd w:val="clear" w:color="auto" w:fill="FFFFFF"/>
            <w:noWrap/>
            <w:vAlign w:val="center"/>
          </w:tcPr>
          <w:p w14:paraId="3AAEA81D">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sz w:val="20"/>
                <w:lang w:val="en-US" w:eastAsia="zh-CN" w:bidi="ar"/>
                <w14:textFill>
                  <w14:solidFill>
                    <w14:schemeClr w14:val="tx1"/>
                  </w14:solidFill>
                </w14:textFill>
              </w:rPr>
              <w:t xml:space="preserve">Egfr </w:t>
            </w:r>
            <w:r>
              <w:rPr>
                <w:rFonts w:hint="eastAsia" w:ascii="Arial" w:hAnsi="Arial" w:cs="Arial"/>
                <w:b w:val="0"/>
                <w:color w:val="000000" w:themeColor="text1"/>
                <w:kern w:val="2"/>
                <w:sz w:val="20"/>
                <w:lang w:val="en-US" w:eastAsia="zh-CN"/>
                <w14:textFill>
                  <w14:solidFill>
                    <w14:schemeClr w14:val="tx1"/>
                  </w14:solidFill>
                </w14:textFill>
              </w:rPr>
              <w:t>(mouse)</w:t>
            </w:r>
          </w:p>
        </w:tc>
        <w:tc>
          <w:tcPr>
            <w:tcW w:w="3188" w:type="dxa"/>
            <w:tcBorders>
              <w:top w:val="nil"/>
              <w:left w:val="nil"/>
              <w:bottom w:val="nil"/>
              <w:right w:val="nil"/>
            </w:tcBorders>
            <w:shd w:val="clear" w:color="auto" w:fill="FFFFFF"/>
            <w:noWrap/>
            <w:vAlign w:val="center"/>
          </w:tcPr>
          <w:p w14:paraId="5A4B506B">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GCCATCTGGGCCAAAGATACC</w:t>
            </w:r>
          </w:p>
        </w:tc>
        <w:tc>
          <w:tcPr>
            <w:tcW w:w="3509" w:type="dxa"/>
            <w:tcBorders>
              <w:top w:val="nil"/>
              <w:left w:val="nil"/>
              <w:bottom w:val="nil"/>
              <w:right w:val="nil"/>
            </w:tcBorders>
            <w:shd w:val="clear" w:color="auto" w:fill="FFFFFF"/>
            <w:noWrap/>
            <w:vAlign w:val="center"/>
          </w:tcPr>
          <w:p w14:paraId="052F03F2">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GTCTTCGCATGAATAGGCCAAT</w:t>
            </w:r>
          </w:p>
        </w:tc>
      </w:tr>
      <w:tr w14:paraId="4381921B">
        <w:tblPrEx>
          <w:tblCellMar>
            <w:top w:w="0" w:type="dxa"/>
            <w:left w:w="108" w:type="dxa"/>
            <w:bottom w:w="0" w:type="dxa"/>
            <w:right w:w="108" w:type="dxa"/>
          </w:tblCellMar>
        </w:tblPrEx>
        <w:trPr>
          <w:trHeight w:val="277" w:hRule="atLeast"/>
        </w:trPr>
        <w:tc>
          <w:tcPr>
            <w:tcW w:w="1825" w:type="dxa"/>
            <w:tcBorders>
              <w:top w:val="nil"/>
              <w:left w:val="nil"/>
              <w:bottom w:val="single" w:color="000000" w:sz="12" w:space="0"/>
              <w:right w:val="nil"/>
            </w:tcBorders>
            <w:shd w:val="clear" w:color="auto" w:fill="FFFFFF"/>
            <w:noWrap/>
            <w:vAlign w:val="center"/>
          </w:tcPr>
          <w:p w14:paraId="56C989ED">
            <w:pPr>
              <w:jc w:val="both"/>
              <w:textAlignment w:val="center"/>
              <w:rPr>
                <w:rFonts w:hint="default" w:ascii="Arial" w:hAnsi="Arial" w:cs="Arial"/>
                <w:b w:val="0"/>
                <w:color w:val="000000" w:themeColor="text1"/>
                <w:kern w:val="2"/>
                <w:sz w:val="20"/>
                <w:lang w:val="en-US" w:eastAsia="zh-CN"/>
                <w14:textFill>
                  <w14:solidFill>
                    <w14:schemeClr w14:val="tx1"/>
                  </w14:solidFill>
                </w14:textFill>
              </w:rPr>
            </w:pPr>
            <w:r>
              <w:rPr>
                <w:rFonts w:hint="eastAsia" w:ascii="Arial" w:hAnsi="Arial" w:cs="Arial"/>
                <w:b w:val="0"/>
                <w:color w:val="000000" w:themeColor="text1"/>
                <w:sz w:val="20"/>
                <w:lang w:val="en-US" w:eastAsia="zh-CN" w:bidi="ar"/>
                <w14:textFill>
                  <w14:solidFill>
                    <w14:schemeClr w14:val="tx1"/>
                  </w14:solidFill>
                </w14:textFill>
              </w:rPr>
              <w:t xml:space="preserve">IL-23a </w:t>
            </w:r>
            <w:r>
              <w:rPr>
                <w:rFonts w:hint="eastAsia" w:ascii="Arial" w:hAnsi="Arial" w:cs="Arial"/>
                <w:b w:val="0"/>
                <w:color w:val="000000" w:themeColor="text1"/>
                <w:kern w:val="2"/>
                <w:sz w:val="20"/>
                <w:lang w:val="en-US" w:eastAsia="zh-CN"/>
                <w14:textFill>
                  <w14:solidFill>
                    <w14:schemeClr w14:val="tx1"/>
                  </w14:solidFill>
                </w14:textFill>
              </w:rPr>
              <w:t>(mouse)</w:t>
            </w:r>
          </w:p>
        </w:tc>
        <w:tc>
          <w:tcPr>
            <w:tcW w:w="3188" w:type="dxa"/>
            <w:tcBorders>
              <w:top w:val="nil"/>
              <w:left w:val="nil"/>
              <w:bottom w:val="single" w:color="000000" w:sz="12" w:space="0"/>
              <w:right w:val="nil"/>
            </w:tcBorders>
            <w:shd w:val="clear" w:color="auto" w:fill="FFFFFF"/>
            <w:noWrap/>
            <w:vAlign w:val="center"/>
          </w:tcPr>
          <w:p w14:paraId="47680B89">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ATGCTGGATTGCAGAGCAGTA</w:t>
            </w:r>
          </w:p>
        </w:tc>
        <w:tc>
          <w:tcPr>
            <w:tcW w:w="3509" w:type="dxa"/>
            <w:tcBorders>
              <w:top w:val="nil"/>
              <w:left w:val="nil"/>
              <w:bottom w:val="single" w:color="000000" w:sz="12" w:space="0"/>
              <w:right w:val="nil"/>
            </w:tcBorders>
            <w:shd w:val="clear" w:color="auto" w:fill="FFFFFF"/>
            <w:noWrap/>
            <w:vAlign w:val="center"/>
          </w:tcPr>
          <w:p w14:paraId="005285C8">
            <w:pPr>
              <w:jc w:val="both"/>
              <w:textAlignment w:val="center"/>
              <w:rPr>
                <w:rFonts w:ascii="Arial" w:hAnsi="Arial" w:cs="Arial"/>
                <w:b w:val="0"/>
                <w:color w:val="000000" w:themeColor="text1"/>
                <w:kern w:val="2"/>
                <w:sz w:val="18"/>
                <w:szCs w:val="22"/>
                <w:lang w:eastAsia="zh-CN"/>
                <w14:textFill>
                  <w14:solidFill>
                    <w14:schemeClr w14:val="tx1"/>
                  </w14:solidFill>
                </w14:textFill>
              </w:rPr>
            </w:pPr>
            <w:r>
              <w:rPr>
                <w:rFonts w:hint="eastAsia" w:ascii="Arial" w:hAnsi="Arial" w:cs="Arial"/>
                <w:b w:val="0"/>
                <w:color w:val="000000" w:themeColor="text1"/>
                <w:sz w:val="18"/>
                <w:szCs w:val="22"/>
                <w:lang w:eastAsia="zh-CN" w:bidi="ar"/>
                <w14:textFill>
                  <w14:solidFill>
                    <w14:schemeClr w14:val="tx1"/>
                  </w14:solidFill>
                </w14:textFill>
              </w:rPr>
              <w:t>ACGGGGCACATTATTTTTAGTCT</w:t>
            </w:r>
          </w:p>
        </w:tc>
      </w:tr>
    </w:tbl>
    <w:p w14:paraId="6AE0239D">
      <w:pPr>
        <w:adjustRightInd w:val="0"/>
        <w:snapToGrid w:val="0"/>
        <w:spacing w:line="360" w:lineRule="auto"/>
        <w:jc w:val="both"/>
        <w:rPr>
          <w:rFonts w:ascii="Arial" w:hAnsi="Arial" w:cs="Arial"/>
          <w:color w:val="000000" w:themeColor="text1"/>
          <w:sz w:val="22"/>
          <w:szCs w:val="22"/>
          <w:lang w:eastAsia="zh-CN"/>
          <w14:textFill>
            <w14:solidFill>
              <w14:schemeClr w14:val="tx1"/>
            </w14:solidFill>
          </w14:textFill>
        </w:rPr>
      </w:pPr>
    </w:p>
    <w:p w14:paraId="208B2DDF">
      <w:pPr>
        <w:widowControl/>
        <w:numPr>
          <w:ilvl w:val="0"/>
          <w:numId w:val="0"/>
        </w:numPr>
        <w:adjustRightInd w:val="0"/>
        <w:snapToGrid w:val="0"/>
        <w:spacing w:line="360" w:lineRule="auto"/>
        <w:jc w:val="both"/>
        <w:rPr>
          <w:rFonts w:hint="default" w:ascii="Arial" w:hAnsi="Arial" w:eastAsia="宋体" w:cs="Arial"/>
          <w:b/>
          <w:bCs/>
          <w:color w:val="000000" w:themeColor="text1"/>
          <w:kern w:val="0"/>
          <w:sz w:val="22"/>
          <w:szCs w:val="22"/>
          <w:lang w:val="en-US" w:eastAsia="zh-CN"/>
          <w14:textFill>
            <w14:solidFill>
              <w14:schemeClr w14:val="tx1"/>
            </w14:solidFill>
          </w14:textFill>
        </w:rPr>
      </w:pPr>
    </w:p>
    <w:sectPr>
      <w:pgSz w:w="11906" w:h="16838"/>
      <w:pgMar w:top="1440" w:right="1800" w:bottom="1440" w:left="1800" w:header="851" w:footer="992" w:gutter="0"/>
      <w:lnNumType w:countBy="1" w:restart="continuous"/>
      <w:cols w:space="425" w:num="1"/>
      <w:docGrid w:type="lines" w:linePitch="312" w:charSpace="0"/>
      <mc:AlternateContent>
        <mc:Choice Requires="wpsCustomData">
          <wpsCustomData:blankLineNoLineNum/>
        </mc:Choice>
      </mc:AlternateContent>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Segoe UI Emoji">
    <w:panose1 w:val="020B0502040204020203"/>
    <w:charset w:val="00"/>
    <w:family w:val="swiss"/>
    <w:pitch w:val="default"/>
    <w:sig w:usb0="00000001" w:usb1="02000000" w:usb2="08000000" w:usb3="00000000" w:csb0="00000001" w:csb1="00000000"/>
  </w:font>
  <w:font w:name="AdvPSA183">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8D023"/>
    <w:multiLevelType w:val="singleLevel"/>
    <w:tmpl w:val="9378D023"/>
    <w:lvl w:ilvl="0" w:tentative="0">
      <w:start w:val="1"/>
      <w:numFmt w:val="lowerLetter"/>
      <w:lvlText w:val="%1."/>
      <w:lvlJc w:val="left"/>
      <w:pPr>
        <w:ind w:left="425" w:hanging="425"/>
      </w:pPr>
      <w:rPr>
        <w:rFonts w:hint="default"/>
      </w:rPr>
    </w:lvl>
  </w:abstractNum>
  <w:abstractNum w:abstractNumId="1">
    <w:nsid w:val="AC3081AF"/>
    <w:multiLevelType w:val="singleLevel"/>
    <w:tmpl w:val="AC3081AF"/>
    <w:lvl w:ilvl="0" w:tentative="0">
      <w:start w:val="1"/>
      <w:numFmt w:val="lowerLetter"/>
      <w:lvlText w:val="%1."/>
      <w:lvlJc w:val="left"/>
      <w:pPr>
        <w:ind w:left="425" w:hanging="425"/>
      </w:pPr>
      <w:rPr>
        <w:rFonts w:hint="default"/>
      </w:rPr>
    </w:lvl>
  </w:abstractNum>
  <w:abstractNum w:abstractNumId="2">
    <w:nsid w:val="D8443930"/>
    <w:multiLevelType w:val="singleLevel"/>
    <w:tmpl w:val="D8443930"/>
    <w:lvl w:ilvl="0" w:tentative="0">
      <w:start w:val="1"/>
      <w:numFmt w:val="lowerLetter"/>
      <w:lvlText w:val="%1."/>
      <w:lvlJc w:val="left"/>
      <w:pPr>
        <w:ind w:left="425" w:hanging="425"/>
      </w:pPr>
      <w:rPr>
        <w:rFonts w:hint="default"/>
      </w:rPr>
    </w:lvl>
  </w:abstractNum>
  <w:abstractNum w:abstractNumId="3">
    <w:nsid w:val="1EF57128"/>
    <w:multiLevelType w:val="singleLevel"/>
    <w:tmpl w:val="1EF57128"/>
    <w:lvl w:ilvl="0" w:tentative="0">
      <w:start w:val="1"/>
      <w:numFmt w:val="lowerLetter"/>
      <w:lvlText w:val="%1."/>
      <w:lvlJc w:val="left"/>
      <w:pPr>
        <w:ind w:left="425" w:hanging="425"/>
      </w:pPr>
      <w:rPr>
        <w:rFonts w:hint="default"/>
      </w:rPr>
    </w:lvl>
  </w:abstractNum>
  <w:abstractNum w:abstractNumId="4">
    <w:nsid w:val="5981ABC8"/>
    <w:multiLevelType w:val="singleLevel"/>
    <w:tmpl w:val="5981ABC8"/>
    <w:lvl w:ilvl="0" w:tentative="0">
      <w:start w:val="1"/>
      <w:numFmt w:val="lowerLetter"/>
      <w:lvlText w:val="%1."/>
      <w:lvlJc w:val="left"/>
      <w:pPr>
        <w:ind w:left="425" w:hanging="425"/>
      </w:pPr>
      <w:rPr>
        <w:rFonts w:hint="default"/>
      </w:rPr>
    </w:lvl>
  </w:abstractNum>
  <w:abstractNum w:abstractNumId="5">
    <w:nsid w:val="5C350F3B"/>
    <w:multiLevelType w:val="singleLevel"/>
    <w:tmpl w:val="5C350F3B"/>
    <w:lvl w:ilvl="0" w:tentative="0">
      <w:start w:val="1"/>
      <w:numFmt w:val="lowerLetter"/>
      <w:lvlText w:val="%1."/>
      <w:lvlJc w:val="left"/>
      <w:pPr>
        <w:ind w:left="425" w:hanging="425"/>
      </w:pPr>
      <w:rPr>
        <w:rFonts w:hint="default"/>
      </w:rPr>
    </w:lvl>
  </w:abstractNum>
  <w:abstractNum w:abstractNumId="6">
    <w:nsid w:val="694F87A2"/>
    <w:multiLevelType w:val="singleLevel"/>
    <w:tmpl w:val="694F87A2"/>
    <w:lvl w:ilvl="0" w:tentative="0">
      <w:start w:val="1"/>
      <w:numFmt w:val="lowerLetter"/>
      <w:lvlText w:val="%1."/>
      <w:lvlJc w:val="left"/>
      <w:pPr>
        <w:ind w:left="425" w:hanging="425"/>
      </w:pPr>
      <w:rPr>
        <w:rFonts w:hint="default"/>
      </w:rPr>
    </w:lvl>
  </w:abstractNum>
  <w:num w:numId="1">
    <w:abstractNumId w:val="3"/>
  </w:num>
  <w:num w:numId="2">
    <w:abstractNumId w:val="5"/>
  </w:num>
  <w:num w:numId="3">
    <w:abstractNumId w:val="4"/>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3E3133"/>
    <w:rsid w:val="01E15A2B"/>
    <w:rsid w:val="179D1DE8"/>
    <w:rsid w:val="18CE1968"/>
    <w:rsid w:val="19441B8E"/>
    <w:rsid w:val="1E0C528A"/>
    <w:rsid w:val="1EB70679"/>
    <w:rsid w:val="2CFF3FC9"/>
    <w:rsid w:val="303E3133"/>
    <w:rsid w:val="55AA4E27"/>
    <w:rsid w:val="5D8F5D8E"/>
    <w:rsid w:val="646F5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1624</Words>
  <Characters>10110</Characters>
  <Lines>0</Lines>
  <Paragraphs>0</Paragraphs>
  <TotalTime>23</TotalTime>
  <ScaleCrop>false</ScaleCrop>
  <LinksUpToDate>false</LinksUpToDate>
  <CharactersWithSpaces>11515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2026-01-14T10:35:00Z</dcterms:created>
  <dc:creator>Jingwei Jiang</dc:creator>
  <cp:lastModifiedBy>Jingwei Jiang</cp:lastModifiedBy>
  <dcterms:modified xsi:type="dcterms:W3CDTF">2026-01-20T04:05:51Z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EBAE3D32C7644C86B8133EA6F6A59875_13</vt:lpwstr>
  </property>
  <property fmtid="{D5CDD505-2E9C-101B-9397-08002B2CF9AE}" pid="4" name="KSOTemplateDocerSaveRecord">
    <vt:lpwstr>eyJoZGlkIjoiODYxOTk4YmYxYTE5MTgxY2U3YjE1YjFhNWZlM2YzMmMiLCJ1c2VySWQiOiIyNDUxMDIwOTUifQ==</vt:lpwstr>
  </property>
</Properties>
</file>