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B8A11" w14:textId="77777777" w:rsidR="00D15017" w:rsidRDefault="001E6FD8">
      <w:pPr>
        <w:snapToGrid w:val="0"/>
        <w:spacing w:line="360" w:lineRule="auto"/>
        <w:ind w:right="-288"/>
        <w:rPr>
          <w:rFonts w:ascii="Arial" w:hAnsi="Arial" w:cs="Arial"/>
        </w:rPr>
      </w:pPr>
      <w:r>
        <w:rPr>
          <w:rFonts w:ascii="Arial" w:hAnsi="Arial" w:cs="Arial"/>
        </w:rPr>
        <w:t>February 23, 2022</w:t>
      </w:r>
    </w:p>
    <w:p w14:paraId="777C5EA7" w14:textId="77777777" w:rsidR="00D15017" w:rsidRDefault="00D15017">
      <w:pPr>
        <w:snapToGrid w:val="0"/>
        <w:spacing w:line="360" w:lineRule="auto"/>
        <w:ind w:right="-288"/>
        <w:rPr>
          <w:rFonts w:ascii="Arial" w:hAnsi="Arial" w:cs="Arial"/>
        </w:rPr>
      </w:pPr>
    </w:p>
    <w:p w14:paraId="79481A82" w14:textId="77777777" w:rsidR="00D15017" w:rsidRDefault="001E6FD8">
      <w:pPr>
        <w:snapToGrid w:val="0"/>
        <w:spacing w:line="360" w:lineRule="auto"/>
        <w:ind w:right="-288"/>
        <w:rPr>
          <w:rFonts w:ascii="Arial" w:hAnsi="Arial" w:cs="Arial"/>
        </w:rPr>
      </w:pPr>
      <w:r>
        <w:rPr>
          <w:rFonts w:ascii="Arial" w:hAnsi="Arial" w:cs="Arial"/>
        </w:rPr>
        <w:t>Re: Revised submission of Zibo Chen et al (BCAN-D-21-01845)</w:t>
      </w:r>
    </w:p>
    <w:p w14:paraId="5E2DF884" w14:textId="77777777" w:rsidR="00D15017" w:rsidRDefault="00D15017">
      <w:pPr>
        <w:snapToGrid w:val="0"/>
        <w:spacing w:line="360" w:lineRule="auto"/>
        <w:ind w:right="-288"/>
        <w:rPr>
          <w:rFonts w:ascii="Arial" w:hAnsi="Arial" w:cs="Arial"/>
        </w:rPr>
      </w:pPr>
    </w:p>
    <w:p w14:paraId="24A3D392" w14:textId="77777777" w:rsidR="00D15017" w:rsidRDefault="001E6FD8">
      <w:pPr>
        <w:snapToGrid w:val="0"/>
        <w:spacing w:line="360" w:lineRule="auto"/>
        <w:ind w:right="-14"/>
        <w:rPr>
          <w:rFonts w:ascii="Arial" w:hAnsi="Arial" w:cs="Arial"/>
        </w:rPr>
      </w:pPr>
      <w:r>
        <w:rPr>
          <w:rFonts w:ascii="Arial" w:hAnsi="Arial" w:cs="Arial"/>
        </w:rPr>
        <w:t xml:space="preserve">Dear Dr. </w:t>
      </w:r>
      <w:proofErr w:type="spellStart"/>
      <w:r>
        <w:rPr>
          <w:rFonts w:ascii="Arial" w:hAnsi="Arial" w:cs="Arial"/>
        </w:rPr>
        <w:t>Ya</w:t>
      </w:r>
      <w:proofErr w:type="spellEnd"/>
      <w:r>
        <w:rPr>
          <w:rFonts w:ascii="Arial" w:hAnsi="Arial" w:cs="Arial"/>
        </w:rPr>
        <w:t xml:space="preserve">-Wei </w:t>
      </w:r>
      <w:proofErr w:type="spellStart"/>
      <w:r>
        <w:rPr>
          <w:rFonts w:ascii="Arial" w:hAnsi="Arial" w:cs="Arial"/>
        </w:rPr>
        <w:t>Qiang</w:t>
      </w:r>
      <w:proofErr w:type="spellEnd"/>
    </w:p>
    <w:p w14:paraId="3BF845EE" w14:textId="77777777" w:rsidR="00D15017" w:rsidRDefault="00D15017">
      <w:pPr>
        <w:snapToGrid w:val="0"/>
        <w:spacing w:line="360" w:lineRule="auto"/>
        <w:ind w:right="-14"/>
        <w:rPr>
          <w:rFonts w:ascii="Arial" w:hAnsi="Arial" w:cs="Arial"/>
        </w:rPr>
      </w:pPr>
    </w:p>
    <w:p w14:paraId="3E9F96A6" w14:textId="77777777" w:rsidR="00D15017" w:rsidRDefault="001E6FD8">
      <w:pPr>
        <w:snapToGrid w:val="0"/>
        <w:spacing w:line="360" w:lineRule="auto"/>
        <w:ind w:right="-14"/>
        <w:rPr>
          <w:rFonts w:ascii="Arial" w:hAnsi="Arial" w:cs="Arial"/>
        </w:rPr>
      </w:pPr>
      <w:r>
        <w:rPr>
          <w:rFonts w:ascii="Arial" w:hAnsi="Arial" w:cs="Arial"/>
        </w:rPr>
        <w:t xml:space="preserve">Enclosed, please find our revised submission to BMC Cancer (manuscript BCAN-D-21-01845): “CT-707 Overcomes Hypoxia-mediated Sorafenib Resistance in Hepatocellular Carcinoma by Inhibiting YAP Signaling”. We appreciate the Reviewers’ positive evaluation of our submission and their helpful recommendations for improvements. This revised submission addresses each of the reviewers’ comments. Reviewers’ comments are italicized, and our responses are in regular font. Herein, we provide our point-by-point response. </w:t>
      </w:r>
    </w:p>
    <w:p w14:paraId="0B633A52" w14:textId="77777777" w:rsidR="00D15017" w:rsidRDefault="00D15017">
      <w:pPr>
        <w:snapToGrid w:val="0"/>
        <w:spacing w:line="360" w:lineRule="auto"/>
        <w:ind w:left="-288" w:right="-288"/>
        <w:rPr>
          <w:rFonts w:ascii="Arial" w:hAnsi="Arial" w:cs="Arial"/>
        </w:rPr>
      </w:pPr>
    </w:p>
    <w:p w14:paraId="78C1115C" w14:textId="77777777" w:rsidR="00D15017" w:rsidRDefault="001E6FD8">
      <w:pPr>
        <w:snapToGrid w:val="0"/>
        <w:spacing w:line="360" w:lineRule="auto"/>
        <w:ind w:right="-288"/>
        <w:rPr>
          <w:rFonts w:ascii="Arial" w:hAnsi="Arial" w:cs="Arial"/>
          <w:b/>
          <w:bCs/>
          <w:i/>
          <w:iCs/>
          <w:u w:val="single"/>
        </w:rPr>
      </w:pPr>
      <w:r>
        <w:rPr>
          <w:rFonts w:ascii="Arial" w:hAnsi="Arial" w:cs="Arial"/>
          <w:b/>
          <w:bCs/>
          <w:i/>
          <w:iCs/>
          <w:u w:val="single"/>
        </w:rPr>
        <w:t>Reviewer #1 (Reviewer Comments to the Authors)</w:t>
      </w:r>
      <w:r>
        <w:rPr>
          <w:rFonts w:ascii="Arial" w:hAnsi="Arial" w:cs="Arial"/>
          <w:b/>
          <w:bCs/>
          <w:i/>
          <w:iCs/>
        </w:rPr>
        <w:t xml:space="preserve">: </w:t>
      </w:r>
    </w:p>
    <w:p w14:paraId="21C3F1C2" w14:textId="77777777" w:rsidR="00D15017" w:rsidRDefault="001E6FD8">
      <w:pPr>
        <w:pStyle w:val="a3"/>
        <w:numPr>
          <w:ilvl w:val="0"/>
          <w:numId w:val="1"/>
        </w:numPr>
        <w:snapToGrid w:val="0"/>
        <w:spacing w:line="360" w:lineRule="auto"/>
        <w:ind w:left="0" w:rightChars="-6" w:right="-13" w:firstLine="0"/>
        <w:rPr>
          <w:rFonts w:ascii="Arial" w:hAnsi="Arial" w:cs="Arial"/>
          <w:b/>
          <w:bCs/>
          <w:i/>
          <w:iCs/>
          <w:color w:val="0070C0"/>
          <w:u w:val="single"/>
        </w:rPr>
      </w:pPr>
      <w:r>
        <w:rPr>
          <w:rFonts w:ascii="Arial" w:hAnsi="Arial" w:cs="Arial"/>
          <w:b/>
          <w:bCs/>
          <w:color w:val="0070C0"/>
        </w:rPr>
        <w:t>This study proposes that CT-707 could sensitize the hypoxic HCC cells towards sorafenib, and find out its potential mechanism by inhibiting YAP, which may provide a promising therapeutic strategy to improve the effect of sorafenib in advanced HCC patients. The work of this paper is practical and logical. However, there are some problems need to be further improved. For example, there are some spelling mistakes in the text. In addition, I would like to know whether some experiments need to set up a negative control group: such as in Figure1 A, the author may need to add a negative control group to show the anti-cancer effect of sorafenib. Despite my critical comments above, I would like to commend the authors.</w:t>
      </w:r>
    </w:p>
    <w:p w14:paraId="751E525A" w14:textId="77777777" w:rsidR="00D15017" w:rsidRDefault="001E6FD8">
      <w:pPr>
        <w:pStyle w:val="a3"/>
        <w:snapToGrid w:val="0"/>
        <w:spacing w:line="360" w:lineRule="auto"/>
        <w:ind w:left="0" w:rightChars="-6" w:right="-13"/>
        <w:rPr>
          <w:rFonts w:ascii="Arial" w:hAnsi="Arial" w:cs="Arial"/>
        </w:rPr>
      </w:pPr>
      <w:r>
        <w:rPr>
          <w:rFonts w:ascii="Arial" w:hAnsi="Arial" w:cs="Arial" w:hint="eastAsia"/>
          <w:b/>
          <w:bCs/>
          <w:i/>
          <w:iCs/>
        </w:rPr>
        <w:t>Reply</w:t>
      </w:r>
      <w:r>
        <w:rPr>
          <w:rFonts w:ascii="Arial" w:hAnsi="Arial" w:cs="Arial" w:hint="eastAsia"/>
          <w:b/>
          <w:bCs/>
          <w:i/>
          <w:iCs/>
        </w:rPr>
        <w:t>：</w:t>
      </w:r>
      <w:r>
        <w:rPr>
          <w:rFonts w:ascii="Arial" w:hAnsi="Arial" w:cs="Arial"/>
        </w:rPr>
        <w:t xml:space="preserve">We appreciate this Reviewer’s comment and helpful recommendations for revision and we corrected spelling mistakes in the text, as requested. </w:t>
      </w:r>
    </w:p>
    <w:p w14:paraId="274A2D59" w14:textId="4EE1AFC1" w:rsidR="00D15017" w:rsidRDefault="001E6FD8">
      <w:pPr>
        <w:pStyle w:val="a3"/>
        <w:snapToGrid w:val="0"/>
        <w:spacing w:line="360" w:lineRule="auto"/>
        <w:ind w:left="0" w:rightChars="-6" w:right="-13"/>
        <w:rPr>
          <w:rFonts w:ascii="Arial" w:hAnsi="Arial" w:cs="Arial"/>
        </w:rPr>
      </w:pPr>
      <w:r>
        <w:rPr>
          <w:rFonts w:ascii="Arial" w:hAnsi="Arial" w:cs="Arial" w:hint="eastAsia"/>
        </w:rPr>
        <w:t xml:space="preserve">For Figure 1, we aimed to demonstrate </w:t>
      </w:r>
      <w:r>
        <w:rPr>
          <w:rFonts w:ascii="Arial" w:hAnsi="Arial" w:cs="Arial"/>
        </w:rPr>
        <w:t>the hypoxia</w:t>
      </w:r>
      <w:r>
        <w:rPr>
          <w:rFonts w:ascii="Arial" w:hAnsi="Arial" w:cs="Arial" w:hint="eastAsia"/>
        </w:rPr>
        <w:t>-</w:t>
      </w:r>
      <w:r>
        <w:rPr>
          <w:rFonts w:ascii="Arial" w:hAnsi="Arial" w:cs="Arial"/>
        </w:rPr>
        <w:t>mediated sorafenib resistance of HCC cells</w:t>
      </w:r>
      <w:r>
        <w:rPr>
          <w:rFonts w:ascii="Arial" w:hAnsi="Arial" w:cs="Arial" w:hint="eastAsia"/>
        </w:rPr>
        <w:t xml:space="preserve">, which has been reported in our previous study (Zhou TY et. al. </w:t>
      </w:r>
      <w:r>
        <w:rPr>
          <w:rFonts w:ascii="Arial" w:hAnsi="Arial" w:cs="Arial" w:hint="eastAsia"/>
          <w:i/>
          <w:iCs/>
        </w:rPr>
        <w:t>Scientific</w:t>
      </w:r>
      <w:r>
        <w:rPr>
          <w:rFonts w:ascii="Arial" w:hAnsi="Arial" w:cs="Arial"/>
          <w:i/>
          <w:iCs/>
        </w:rPr>
        <w:t xml:space="preserve"> Rep</w:t>
      </w:r>
      <w:r>
        <w:rPr>
          <w:rFonts w:ascii="Arial" w:hAnsi="Arial" w:cs="Arial" w:hint="eastAsia"/>
          <w:i/>
          <w:iCs/>
        </w:rPr>
        <w:t>orts</w:t>
      </w:r>
      <w:r>
        <w:rPr>
          <w:rFonts w:ascii="Arial" w:hAnsi="Arial" w:cs="Arial"/>
        </w:rPr>
        <w:t xml:space="preserve">. 2016 Aug </w:t>
      </w:r>
      <w:r w:rsidR="007548CF">
        <w:rPr>
          <w:rFonts w:ascii="Arial" w:hAnsi="Arial" w:cs="Arial"/>
        </w:rPr>
        <w:t>1; 6:30483</w:t>
      </w:r>
      <w:r>
        <w:rPr>
          <w:rFonts w:ascii="Arial" w:hAnsi="Arial" w:cs="Arial"/>
        </w:rPr>
        <w:t xml:space="preserve">. </w:t>
      </w:r>
      <w:proofErr w:type="spellStart"/>
      <w:r>
        <w:rPr>
          <w:rFonts w:ascii="Arial" w:hAnsi="Arial" w:cs="Arial"/>
        </w:rPr>
        <w:t>doi</w:t>
      </w:r>
      <w:proofErr w:type="spellEnd"/>
      <w:r>
        <w:rPr>
          <w:rFonts w:ascii="Arial" w:hAnsi="Arial" w:cs="Arial"/>
        </w:rPr>
        <w:t>: 10.1038/srep30483</w:t>
      </w:r>
      <w:r>
        <w:rPr>
          <w:rFonts w:ascii="Arial" w:hAnsi="Arial" w:cs="Arial" w:hint="eastAsia"/>
        </w:rPr>
        <w:t>). Herein this study,</w:t>
      </w:r>
      <w:r>
        <w:rPr>
          <w:rFonts w:ascii="Arial" w:hAnsi="Arial" w:cs="Arial"/>
        </w:rPr>
        <w:t xml:space="preserve"> we </w:t>
      </w:r>
      <w:r>
        <w:rPr>
          <w:rFonts w:ascii="Arial" w:hAnsi="Arial" w:cs="Arial" w:hint="eastAsia"/>
        </w:rPr>
        <w:t xml:space="preserve">compared the anti-cancer activities of sorafenib in </w:t>
      </w:r>
      <w:proofErr w:type="spellStart"/>
      <w:r>
        <w:rPr>
          <w:rFonts w:ascii="Arial" w:hAnsi="Arial" w:cs="Arial" w:hint="eastAsia"/>
        </w:rPr>
        <w:t>normoxia</w:t>
      </w:r>
      <w:proofErr w:type="spellEnd"/>
      <w:r>
        <w:rPr>
          <w:rFonts w:ascii="Arial" w:hAnsi="Arial" w:cs="Arial" w:hint="eastAsia"/>
        </w:rPr>
        <w:t xml:space="preserve"> and hypoxia conditions and verify that hypoxia indeed mediated the resistance of HCC cell towards sorafenib. And the proliferation inhibition was calculated by setting a control group without sorafenib treatment.</w:t>
      </w:r>
    </w:p>
    <w:p w14:paraId="63BA837A" w14:textId="77777777" w:rsidR="00D15017" w:rsidRDefault="001E6FD8">
      <w:pPr>
        <w:snapToGrid w:val="0"/>
        <w:spacing w:line="360" w:lineRule="auto"/>
        <w:ind w:rightChars="-6" w:right="-13"/>
        <w:rPr>
          <w:rFonts w:ascii="Arial" w:hAnsi="Arial" w:cs="Arial"/>
        </w:rPr>
      </w:pPr>
      <w:r>
        <w:rPr>
          <w:rFonts w:ascii="Arial" w:hAnsi="Arial" w:cs="Arial"/>
        </w:rPr>
        <w:t xml:space="preserve">   </w:t>
      </w:r>
    </w:p>
    <w:p w14:paraId="0552B87D" w14:textId="77777777" w:rsidR="00D15017" w:rsidRDefault="001E6FD8">
      <w:pPr>
        <w:snapToGrid w:val="0"/>
        <w:spacing w:line="360" w:lineRule="auto"/>
        <w:ind w:right="-288"/>
        <w:rPr>
          <w:rFonts w:ascii="Arial" w:hAnsi="Arial" w:cs="Arial"/>
          <w:b/>
          <w:bCs/>
          <w:i/>
          <w:iCs/>
          <w:u w:val="single"/>
        </w:rPr>
      </w:pPr>
      <w:r>
        <w:rPr>
          <w:rFonts w:ascii="Arial" w:hAnsi="Arial" w:cs="Arial"/>
          <w:b/>
          <w:bCs/>
          <w:i/>
          <w:iCs/>
          <w:u w:val="single"/>
        </w:rPr>
        <w:t>Reviewer #2 (Reviewer Comments to the Authors)</w:t>
      </w:r>
      <w:r>
        <w:rPr>
          <w:rFonts w:ascii="Arial" w:hAnsi="Arial" w:cs="Arial"/>
          <w:b/>
          <w:bCs/>
          <w:i/>
          <w:iCs/>
        </w:rPr>
        <w:t xml:space="preserve">: </w:t>
      </w:r>
    </w:p>
    <w:p w14:paraId="517C4CBB" w14:textId="77777777" w:rsidR="00D15017" w:rsidRDefault="001E6FD8">
      <w:pPr>
        <w:pStyle w:val="a3"/>
        <w:numPr>
          <w:ilvl w:val="0"/>
          <w:numId w:val="2"/>
        </w:numPr>
        <w:snapToGrid w:val="0"/>
        <w:spacing w:line="360" w:lineRule="auto"/>
        <w:ind w:left="0" w:rightChars="-6" w:right="-13" w:firstLine="0"/>
        <w:rPr>
          <w:rFonts w:ascii="Arial" w:hAnsi="Arial" w:cs="Arial"/>
          <w:b/>
          <w:bCs/>
          <w:color w:val="0070C0"/>
        </w:rPr>
      </w:pPr>
      <w:r>
        <w:rPr>
          <w:rFonts w:ascii="Arial" w:hAnsi="Arial" w:cs="Arial"/>
          <w:b/>
          <w:bCs/>
          <w:color w:val="0070C0"/>
        </w:rPr>
        <w:t>The authors demonstrated that the combination of sorafenib and CT-707 exerted synergistic in vitro activity in two cell lines SMMC-7721 and Bel-7402 under hypoxia.</w:t>
      </w:r>
      <w:r>
        <w:rPr>
          <w:rFonts w:ascii="Arial" w:hAnsi="Arial" w:cs="Arial" w:hint="eastAsia"/>
          <w:b/>
          <w:bCs/>
          <w:color w:val="0070C0"/>
        </w:rPr>
        <w:t xml:space="preserve"> </w:t>
      </w:r>
      <w:r>
        <w:rPr>
          <w:rFonts w:ascii="Arial" w:hAnsi="Arial" w:cs="Arial"/>
          <w:b/>
          <w:bCs/>
          <w:color w:val="0070C0"/>
        </w:rPr>
        <w:t>In the materials and methods section, they mentioned the HepG2 cell line which is never used after.</w:t>
      </w:r>
    </w:p>
    <w:p w14:paraId="28987A0D" w14:textId="77777777" w:rsidR="00D15017" w:rsidRDefault="001E6FD8">
      <w:pPr>
        <w:pStyle w:val="a3"/>
        <w:snapToGrid w:val="0"/>
        <w:spacing w:line="360" w:lineRule="auto"/>
        <w:ind w:left="0" w:rightChars="-6" w:right="-13"/>
        <w:rPr>
          <w:rFonts w:ascii="Arial" w:hAnsi="Arial" w:cs="Arial"/>
        </w:rPr>
      </w:pPr>
      <w:r>
        <w:rPr>
          <w:rFonts w:ascii="Arial" w:hAnsi="Arial" w:cs="Arial" w:hint="eastAsia"/>
          <w:b/>
          <w:bCs/>
          <w:i/>
          <w:iCs/>
        </w:rPr>
        <w:t>Reply:</w:t>
      </w:r>
      <w:r>
        <w:rPr>
          <w:rFonts w:ascii="Arial" w:hAnsi="Arial" w:cs="Arial" w:hint="eastAsia"/>
          <w:i/>
          <w:iCs/>
        </w:rPr>
        <w:t xml:space="preserve"> </w:t>
      </w:r>
      <w:r>
        <w:rPr>
          <w:rFonts w:ascii="Arial" w:hAnsi="Arial" w:cs="Arial"/>
        </w:rPr>
        <w:t xml:space="preserve">We </w:t>
      </w:r>
      <w:r>
        <w:rPr>
          <w:rFonts w:ascii="Arial" w:hAnsi="Arial" w:cs="Arial" w:hint="eastAsia"/>
        </w:rPr>
        <w:t xml:space="preserve">sincerely apologize for this mistake. </w:t>
      </w:r>
      <w:r>
        <w:rPr>
          <w:rFonts w:ascii="Arial" w:hAnsi="Arial" w:cs="Arial"/>
        </w:rPr>
        <w:t>W</w:t>
      </w:r>
      <w:r>
        <w:rPr>
          <w:rFonts w:ascii="Arial" w:hAnsi="Arial" w:cs="Arial" w:hint="eastAsia"/>
        </w:rPr>
        <w:t xml:space="preserve">e have corrected this by deleting HepG2 in the </w:t>
      </w:r>
      <w:r>
        <w:rPr>
          <w:rFonts w:ascii="Arial" w:hAnsi="Arial" w:cs="Arial" w:hint="eastAsia"/>
        </w:rPr>
        <w:lastRenderedPageBreak/>
        <w:t xml:space="preserve">materials and methods section in the </w:t>
      </w:r>
      <w:r>
        <w:rPr>
          <w:rFonts w:ascii="Arial" w:hAnsi="Arial" w:cs="Arial"/>
        </w:rPr>
        <w:t xml:space="preserve">revised </w:t>
      </w:r>
      <w:r>
        <w:rPr>
          <w:rFonts w:ascii="Arial" w:hAnsi="Arial" w:cs="Arial" w:hint="eastAsia"/>
        </w:rPr>
        <w:t xml:space="preserve">manuscript. </w:t>
      </w:r>
    </w:p>
    <w:p w14:paraId="7C8F0F93" w14:textId="77777777" w:rsidR="00D15017" w:rsidRDefault="00D15017">
      <w:pPr>
        <w:pStyle w:val="a3"/>
        <w:snapToGrid w:val="0"/>
        <w:spacing w:line="360" w:lineRule="auto"/>
        <w:ind w:left="0" w:rightChars="-6" w:right="-13"/>
        <w:rPr>
          <w:rFonts w:ascii="Arial" w:hAnsi="Arial" w:cs="Arial"/>
        </w:rPr>
      </w:pPr>
    </w:p>
    <w:p w14:paraId="175565DA" w14:textId="77777777" w:rsidR="00D15017" w:rsidRDefault="001E6FD8">
      <w:pPr>
        <w:pStyle w:val="a3"/>
        <w:numPr>
          <w:ilvl w:val="0"/>
          <w:numId w:val="2"/>
        </w:numPr>
        <w:snapToGrid w:val="0"/>
        <w:spacing w:line="360" w:lineRule="auto"/>
        <w:ind w:left="0" w:rightChars="-6" w:right="-13" w:firstLine="0"/>
        <w:rPr>
          <w:rFonts w:ascii="Arial" w:hAnsi="Arial" w:cs="Arial"/>
          <w:color w:val="0070C0"/>
        </w:rPr>
      </w:pPr>
      <w:r>
        <w:rPr>
          <w:rFonts w:ascii="Arial" w:hAnsi="Arial" w:cs="Arial"/>
          <w:b/>
          <w:bCs/>
          <w:color w:val="0070C0"/>
        </w:rPr>
        <w:t xml:space="preserve">Why they never used the same concentration of sorafenib and CT-707 in all the experiments. To study </w:t>
      </w:r>
      <w:bookmarkStart w:id="0" w:name="_Hlk95997933"/>
      <w:r>
        <w:rPr>
          <w:rFonts w:ascii="Arial" w:hAnsi="Arial" w:cs="Arial"/>
          <w:b/>
          <w:bCs/>
          <w:color w:val="0070C0"/>
        </w:rPr>
        <w:t>cell surviv</w:t>
      </w:r>
      <w:bookmarkEnd w:id="0"/>
      <w:r>
        <w:rPr>
          <w:rFonts w:ascii="Arial" w:hAnsi="Arial" w:cs="Arial" w:hint="eastAsia"/>
          <w:b/>
          <w:bCs/>
          <w:color w:val="0070C0"/>
        </w:rPr>
        <w:t xml:space="preserve">al </w:t>
      </w:r>
      <w:r>
        <w:rPr>
          <w:rFonts w:ascii="Arial" w:hAnsi="Arial" w:cs="Arial"/>
          <w:b/>
          <w:bCs/>
          <w:color w:val="0070C0"/>
        </w:rPr>
        <w:t xml:space="preserve">sorafenib (20 </w:t>
      </w:r>
      <w:proofErr w:type="spellStart"/>
      <w:r>
        <w:rPr>
          <w:rFonts w:ascii="Arial" w:hAnsi="Arial" w:cs="Arial"/>
          <w:b/>
          <w:bCs/>
          <w:color w:val="0070C0"/>
        </w:rPr>
        <w:t>μM</w:t>
      </w:r>
      <w:proofErr w:type="spellEnd"/>
      <w:r>
        <w:rPr>
          <w:rFonts w:ascii="Arial" w:hAnsi="Arial" w:cs="Arial"/>
          <w:b/>
          <w:bCs/>
          <w:color w:val="0070C0"/>
        </w:rPr>
        <w:t xml:space="preserve">), CT-707 (3 </w:t>
      </w:r>
      <w:proofErr w:type="spellStart"/>
      <w:r>
        <w:rPr>
          <w:rFonts w:ascii="Arial" w:hAnsi="Arial" w:cs="Arial"/>
          <w:b/>
          <w:bCs/>
          <w:color w:val="0070C0"/>
        </w:rPr>
        <w:t>μM</w:t>
      </w:r>
      <w:proofErr w:type="spellEnd"/>
      <w:r>
        <w:rPr>
          <w:rFonts w:ascii="Arial" w:hAnsi="Arial" w:cs="Arial"/>
          <w:b/>
          <w:bCs/>
          <w:color w:val="0070C0"/>
        </w:rPr>
        <w:t xml:space="preserve">), to study cell morphology sorafenib (10 </w:t>
      </w:r>
      <w:proofErr w:type="spellStart"/>
      <w:r>
        <w:rPr>
          <w:rFonts w:ascii="Arial" w:hAnsi="Arial" w:cs="Arial"/>
          <w:b/>
          <w:bCs/>
          <w:color w:val="0070C0"/>
        </w:rPr>
        <w:t>μM</w:t>
      </w:r>
      <w:proofErr w:type="spellEnd"/>
      <w:r>
        <w:rPr>
          <w:rFonts w:ascii="Arial" w:hAnsi="Arial" w:cs="Arial"/>
          <w:b/>
          <w:bCs/>
          <w:color w:val="0070C0"/>
        </w:rPr>
        <w:t xml:space="preserve">), CT-707 (3 </w:t>
      </w:r>
      <w:proofErr w:type="spellStart"/>
      <w:r>
        <w:rPr>
          <w:rFonts w:ascii="Arial" w:hAnsi="Arial" w:cs="Arial"/>
          <w:b/>
          <w:bCs/>
          <w:color w:val="0070C0"/>
        </w:rPr>
        <w:t>μM</w:t>
      </w:r>
      <w:proofErr w:type="spellEnd"/>
      <w:r>
        <w:rPr>
          <w:rFonts w:ascii="Arial" w:hAnsi="Arial" w:cs="Arial"/>
          <w:b/>
          <w:bCs/>
          <w:color w:val="0070C0"/>
        </w:rPr>
        <w:t xml:space="preserve">), to study apoptosis sorafenib (15 </w:t>
      </w:r>
      <w:proofErr w:type="spellStart"/>
      <w:r>
        <w:rPr>
          <w:rFonts w:ascii="Arial" w:hAnsi="Arial" w:cs="Arial"/>
          <w:b/>
          <w:bCs/>
          <w:color w:val="0070C0"/>
        </w:rPr>
        <w:t>μM</w:t>
      </w:r>
      <w:proofErr w:type="spellEnd"/>
      <w:r>
        <w:rPr>
          <w:rFonts w:ascii="Arial" w:hAnsi="Arial" w:cs="Arial"/>
          <w:b/>
          <w:bCs/>
          <w:color w:val="0070C0"/>
        </w:rPr>
        <w:t xml:space="preserve">), CT-707(4 </w:t>
      </w:r>
      <w:proofErr w:type="spellStart"/>
      <w:r>
        <w:rPr>
          <w:rFonts w:ascii="Arial" w:hAnsi="Arial" w:cs="Arial"/>
          <w:b/>
          <w:bCs/>
          <w:color w:val="0070C0"/>
        </w:rPr>
        <w:t>μM</w:t>
      </w:r>
      <w:proofErr w:type="spellEnd"/>
      <w:r>
        <w:rPr>
          <w:rFonts w:ascii="Arial" w:hAnsi="Arial" w:cs="Arial"/>
          <w:b/>
          <w:bCs/>
          <w:color w:val="0070C0"/>
        </w:rPr>
        <w:t xml:space="preserve">), PARP western-blot sorafenib (20 </w:t>
      </w:r>
      <w:proofErr w:type="spellStart"/>
      <w:r>
        <w:rPr>
          <w:rFonts w:ascii="Arial" w:hAnsi="Arial" w:cs="Arial"/>
          <w:b/>
          <w:bCs/>
          <w:color w:val="0070C0"/>
        </w:rPr>
        <w:t>μM</w:t>
      </w:r>
      <w:proofErr w:type="spellEnd"/>
      <w:r>
        <w:rPr>
          <w:rFonts w:ascii="Arial" w:hAnsi="Arial" w:cs="Arial"/>
          <w:b/>
          <w:bCs/>
          <w:color w:val="0070C0"/>
        </w:rPr>
        <w:t xml:space="preserve">), CT-707 (3 </w:t>
      </w:r>
      <w:proofErr w:type="spellStart"/>
      <w:r>
        <w:rPr>
          <w:rFonts w:ascii="Arial" w:hAnsi="Arial" w:cs="Arial"/>
          <w:b/>
          <w:bCs/>
          <w:color w:val="0070C0"/>
        </w:rPr>
        <w:t>μM</w:t>
      </w:r>
      <w:proofErr w:type="spellEnd"/>
      <w:r>
        <w:rPr>
          <w:rFonts w:ascii="Arial" w:hAnsi="Arial" w:cs="Arial"/>
          <w:b/>
          <w:bCs/>
          <w:color w:val="0070C0"/>
        </w:rPr>
        <w:t xml:space="preserve">), </w:t>
      </w:r>
      <w:bookmarkStart w:id="1" w:name="_Hlk95998033"/>
      <w:r>
        <w:rPr>
          <w:rFonts w:ascii="Arial" w:hAnsi="Arial" w:cs="Arial"/>
          <w:b/>
          <w:bCs/>
          <w:color w:val="0070C0"/>
        </w:rPr>
        <w:t xml:space="preserve">phosphorylated level of YAP </w:t>
      </w:r>
      <w:bookmarkEnd w:id="1"/>
      <w:r>
        <w:rPr>
          <w:rFonts w:ascii="Arial" w:hAnsi="Arial" w:cs="Arial"/>
          <w:b/>
          <w:bCs/>
          <w:color w:val="0070C0"/>
        </w:rPr>
        <w:t xml:space="preserve">sorafenib (10 </w:t>
      </w:r>
      <w:proofErr w:type="spellStart"/>
      <w:r>
        <w:rPr>
          <w:rFonts w:ascii="Arial" w:hAnsi="Arial" w:cs="Arial"/>
          <w:b/>
          <w:bCs/>
          <w:color w:val="0070C0"/>
        </w:rPr>
        <w:t>μM</w:t>
      </w:r>
      <w:proofErr w:type="spellEnd"/>
      <w:r>
        <w:rPr>
          <w:rFonts w:ascii="Arial" w:hAnsi="Arial" w:cs="Arial"/>
          <w:b/>
          <w:bCs/>
          <w:color w:val="0070C0"/>
        </w:rPr>
        <w:t xml:space="preserve">), CT-707 (3 </w:t>
      </w:r>
      <w:proofErr w:type="spellStart"/>
      <w:r>
        <w:rPr>
          <w:rFonts w:ascii="Arial" w:hAnsi="Arial" w:cs="Arial"/>
          <w:b/>
          <w:bCs/>
          <w:color w:val="0070C0"/>
        </w:rPr>
        <w:t>μM</w:t>
      </w:r>
      <w:proofErr w:type="spellEnd"/>
      <w:r>
        <w:rPr>
          <w:rFonts w:ascii="Arial" w:hAnsi="Arial" w:cs="Arial"/>
          <w:b/>
          <w:bCs/>
          <w:color w:val="0070C0"/>
        </w:rPr>
        <w:t>).</w:t>
      </w:r>
      <w:r>
        <w:rPr>
          <w:rFonts w:ascii="Arial" w:hAnsi="Arial" w:cs="Arial"/>
          <w:color w:val="0070C0"/>
        </w:rPr>
        <w:t xml:space="preserve"> </w:t>
      </w:r>
    </w:p>
    <w:p w14:paraId="423121F4" w14:textId="12903CEF" w:rsidR="00D15017" w:rsidRDefault="001E6FD8">
      <w:pPr>
        <w:snapToGrid w:val="0"/>
        <w:spacing w:line="360" w:lineRule="auto"/>
        <w:rPr>
          <w:rFonts w:ascii="Arial" w:hAnsi="Arial" w:cs="Arial"/>
        </w:rPr>
      </w:pPr>
      <w:r>
        <w:rPr>
          <w:rFonts w:ascii="Arial" w:hAnsi="Arial" w:cs="Arial" w:hint="eastAsia"/>
          <w:b/>
          <w:bCs/>
          <w:i/>
          <w:iCs/>
        </w:rPr>
        <w:t>Reply:</w:t>
      </w:r>
      <w:r>
        <w:rPr>
          <w:rFonts w:ascii="Arial" w:hAnsi="Arial" w:cs="Arial" w:hint="eastAsia"/>
          <w:i/>
          <w:iCs/>
        </w:rPr>
        <w:t xml:space="preserve"> </w:t>
      </w:r>
      <w:r>
        <w:rPr>
          <w:rFonts w:ascii="Arial" w:hAnsi="Arial" w:cs="Arial" w:hint="eastAsia"/>
        </w:rPr>
        <w:t xml:space="preserve">We thank the reviewer for this valuable comments. </w:t>
      </w:r>
      <w:r>
        <w:rPr>
          <w:rFonts w:ascii="Arial" w:hAnsi="Arial" w:cs="Arial"/>
        </w:rPr>
        <w:t xml:space="preserve">As we know, different experiment </w:t>
      </w:r>
      <w:r>
        <w:rPr>
          <w:rFonts w:ascii="Arial" w:hAnsi="Arial" w:cs="Arial" w:hint="eastAsia"/>
        </w:rPr>
        <w:t xml:space="preserve">has its own optimized experimental conditions to achieve the result. For instance, the Western blot analyses generally required intact cells instead of those cells undergoing late-stage apoptosis, </w:t>
      </w:r>
      <w:r>
        <w:rPr>
          <w:rFonts w:ascii="Arial" w:hAnsi="Arial" w:cs="Arial"/>
        </w:rPr>
        <w:t>that’s why we use 24</w:t>
      </w:r>
      <w:r>
        <w:rPr>
          <w:rFonts w:ascii="Arial" w:hAnsi="Arial" w:cs="Arial" w:hint="eastAsia"/>
        </w:rPr>
        <w:t xml:space="preserve"> </w:t>
      </w:r>
      <w:r>
        <w:rPr>
          <w:rFonts w:ascii="Arial" w:hAnsi="Arial" w:cs="Arial"/>
        </w:rPr>
        <w:t xml:space="preserve">h </w:t>
      </w:r>
      <w:r>
        <w:rPr>
          <w:rFonts w:ascii="Arial" w:hAnsi="Arial" w:cs="Arial" w:hint="eastAsia"/>
        </w:rPr>
        <w:t>exposure</w:t>
      </w:r>
      <w:r>
        <w:rPr>
          <w:rFonts w:ascii="Arial" w:hAnsi="Arial" w:cs="Arial"/>
        </w:rPr>
        <w:t xml:space="preserve"> for </w:t>
      </w:r>
      <w:r>
        <w:rPr>
          <w:rFonts w:ascii="Arial" w:hAnsi="Arial" w:cs="Arial" w:hint="eastAsia"/>
        </w:rPr>
        <w:t>Western blot</w:t>
      </w:r>
      <w:r>
        <w:rPr>
          <w:rFonts w:ascii="Arial" w:hAnsi="Arial" w:cs="Arial"/>
        </w:rPr>
        <w:t xml:space="preserve">, </w:t>
      </w:r>
      <w:r>
        <w:rPr>
          <w:rFonts w:ascii="Arial" w:hAnsi="Arial" w:cs="Arial" w:hint="eastAsia"/>
        </w:rPr>
        <w:t xml:space="preserve">and </w:t>
      </w:r>
      <w:r>
        <w:rPr>
          <w:rFonts w:ascii="Arial" w:hAnsi="Arial" w:cs="Arial"/>
        </w:rPr>
        <w:t>72</w:t>
      </w:r>
      <w:r>
        <w:rPr>
          <w:rFonts w:ascii="Arial" w:hAnsi="Arial" w:cs="Arial" w:hint="eastAsia"/>
        </w:rPr>
        <w:t xml:space="preserve"> </w:t>
      </w:r>
      <w:r>
        <w:rPr>
          <w:rFonts w:ascii="Arial" w:hAnsi="Arial" w:cs="Arial"/>
        </w:rPr>
        <w:t>h for apoptosis</w:t>
      </w:r>
      <w:r>
        <w:rPr>
          <w:rFonts w:ascii="Arial" w:hAnsi="Arial" w:cs="Arial" w:hint="eastAsia"/>
        </w:rPr>
        <w:t xml:space="preserve"> detection</w:t>
      </w:r>
      <w:r>
        <w:rPr>
          <w:rFonts w:ascii="Arial" w:hAnsi="Arial" w:cs="Arial"/>
        </w:rPr>
        <w:t xml:space="preserve"> and cell survival experiment. </w:t>
      </w:r>
      <w:r>
        <w:rPr>
          <w:rFonts w:ascii="Arial" w:hAnsi="Arial" w:cs="Arial" w:hint="eastAsia"/>
        </w:rPr>
        <w:t xml:space="preserve">In addition to this, exposure concentration should also be optimized across the variety of experiments. In the attempts to optimize the concentration condition, </w:t>
      </w:r>
      <w:r>
        <w:rPr>
          <w:rFonts w:ascii="Arial" w:hAnsi="Arial" w:cs="Arial"/>
        </w:rPr>
        <w:t>we test</w:t>
      </w:r>
      <w:r>
        <w:rPr>
          <w:rFonts w:ascii="Arial" w:hAnsi="Arial" w:cs="Arial" w:hint="eastAsia"/>
        </w:rPr>
        <w:t>e</w:t>
      </w:r>
      <w:r>
        <w:rPr>
          <w:rFonts w:ascii="Arial" w:hAnsi="Arial" w:cs="Arial"/>
        </w:rPr>
        <w:t xml:space="preserve">d different concentration of sorafenib in </w:t>
      </w:r>
      <w:proofErr w:type="spellStart"/>
      <w:r>
        <w:rPr>
          <w:rFonts w:ascii="Arial" w:hAnsi="Arial" w:cs="Arial"/>
        </w:rPr>
        <w:t>normoxia</w:t>
      </w:r>
      <w:proofErr w:type="spellEnd"/>
      <w:r>
        <w:rPr>
          <w:rFonts w:ascii="Arial" w:hAnsi="Arial" w:cs="Arial"/>
        </w:rPr>
        <w:t xml:space="preserve"> and hypoxia and found that the sorafenib (20 </w:t>
      </w:r>
      <w:proofErr w:type="spellStart"/>
      <w:r>
        <w:rPr>
          <w:rFonts w:ascii="Arial" w:hAnsi="Arial" w:cs="Arial"/>
        </w:rPr>
        <w:t>μM</w:t>
      </w:r>
      <w:proofErr w:type="spellEnd"/>
      <w:r>
        <w:rPr>
          <w:rFonts w:ascii="Arial" w:hAnsi="Arial" w:cs="Arial"/>
        </w:rPr>
        <w:t xml:space="preserve">) is most significant. Then we found the combined concentration sorafenib (20 </w:t>
      </w:r>
      <w:proofErr w:type="spellStart"/>
      <w:r>
        <w:rPr>
          <w:rFonts w:ascii="Arial" w:hAnsi="Arial" w:cs="Arial"/>
        </w:rPr>
        <w:t>μM</w:t>
      </w:r>
      <w:proofErr w:type="spellEnd"/>
      <w:r>
        <w:rPr>
          <w:rFonts w:ascii="Arial" w:hAnsi="Arial" w:cs="Arial"/>
        </w:rPr>
        <w:t xml:space="preserve">) and CT-707 (3 </w:t>
      </w:r>
      <w:proofErr w:type="spellStart"/>
      <w:r>
        <w:rPr>
          <w:rFonts w:ascii="Arial" w:hAnsi="Arial" w:cs="Arial"/>
        </w:rPr>
        <w:t>μM</w:t>
      </w:r>
      <w:proofErr w:type="spellEnd"/>
      <w:r>
        <w:rPr>
          <w:rFonts w:ascii="Arial" w:hAnsi="Arial" w:cs="Arial"/>
        </w:rPr>
        <w:t xml:space="preserve">) </w:t>
      </w:r>
      <w:r>
        <w:rPr>
          <w:rFonts w:ascii="Arial" w:hAnsi="Arial" w:cs="Arial" w:hint="eastAsia"/>
        </w:rPr>
        <w:t>exerted the most potent synergistic effects</w:t>
      </w:r>
      <w:r>
        <w:rPr>
          <w:rFonts w:ascii="Arial" w:hAnsi="Arial" w:cs="Arial"/>
        </w:rPr>
        <w:t xml:space="preserve"> in </w:t>
      </w:r>
      <w:r>
        <w:rPr>
          <w:rFonts w:ascii="Arial" w:hAnsi="Arial" w:cs="Arial" w:hint="eastAsia"/>
        </w:rPr>
        <w:t xml:space="preserve">suppressing </w:t>
      </w:r>
      <w:bookmarkStart w:id="2" w:name="_Hlk96456784"/>
      <w:r>
        <w:rPr>
          <w:rFonts w:ascii="Arial" w:hAnsi="Arial" w:cs="Arial" w:hint="eastAsia"/>
        </w:rPr>
        <w:t>cell survival</w:t>
      </w:r>
      <w:bookmarkEnd w:id="2"/>
      <w:r>
        <w:rPr>
          <w:rFonts w:ascii="Arial" w:hAnsi="Arial" w:cs="Arial" w:hint="eastAsia"/>
        </w:rPr>
        <w:t xml:space="preserve"> </w:t>
      </w:r>
      <w:r>
        <w:rPr>
          <w:rFonts w:ascii="Arial" w:hAnsi="Arial" w:cs="Arial"/>
        </w:rPr>
        <w:t xml:space="preserve">and PARP </w:t>
      </w:r>
      <w:r>
        <w:rPr>
          <w:rFonts w:ascii="Arial" w:hAnsi="Arial" w:cs="Arial" w:hint="eastAsia"/>
        </w:rPr>
        <w:t>cleavage induction</w:t>
      </w:r>
      <w:r>
        <w:rPr>
          <w:rFonts w:ascii="Arial" w:hAnsi="Arial" w:cs="Arial"/>
        </w:rPr>
        <w:t xml:space="preserve">. </w:t>
      </w:r>
      <w:r>
        <w:rPr>
          <w:rFonts w:ascii="Arial" w:hAnsi="Arial" w:cs="Arial" w:hint="eastAsia"/>
        </w:rPr>
        <w:t>As</w:t>
      </w:r>
      <w:r>
        <w:rPr>
          <w:rFonts w:ascii="Arial" w:hAnsi="Arial" w:cs="Arial"/>
        </w:rPr>
        <w:t xml:space="preserve"> our previous work (Zhu, Hong, et al. </w:t>
      </w:r>
      <w:r>
        <w:rPr>
          <w:rFonts w:ascii="Arial" w:hAnsi="Arial" w:cs="Arial"/>
          <w:i/>
          <w:iCs/>
        </w:rPr>
        <w:t xml:space="preserve">Cancer </w:t>
      </w:r>
      <w:r>
        <w:rPr>
          <w:rFonts w:ascii="Arial" w:hAnsi="Arial" w:cs="Arial" w:hint="eastAsia"/>
          <w:i/>
          <w:iCs/>
        </w:rPr>
        <w:t>R</w:t>
      </w:r>
      <w:r>
        <w:rPr>
          <w:rFonts w:ascii="Arial" w:hAnsi="Arial" w:cs="Arial"/>
          <w:i/>
          <w:iCs/>
        </w:rPr>
        <w:t>esearch</w:t>
      </w:r>
      <w:r>
        <w:rPr>
          <w:rFonts w:ascii="Arial" w:hAnsi="Arial" w:cs="Arial"/>
        </w:rPr>
        <w:t xml:space="preserve"> 78.14 (2018): 3995-4006) reported that CT-707 as a novel inhibitor of YAP signaling and the results showed that the CT-707 abated the loss of YAP phosphorylation caused by hypoxia. And our cell survival results showed nearly 90% of cell death under sorafenib (20 </w:t>
      </w:r>
      <w:proofErr w:type="spellStart"/>
      <w:r>
        <w:rPr>
          <w:rFonts w:ascii="Arial" w:hAnsi="Arial" w:cs="Arial"/>
        </w:rPr>
        <w:t>μM</w:t>
      </w:r>
      <w:proofErr w:type="spellEnd"/>
      <w:r>
        <w:rPr>
          <w:rFonts w:ascii="Arial" w:hAnsi="Arial" w:cs="Arial"/>
        </w:rPr>
        <w:t xml:space="preserve">) and CT-707 (3 </w:t>
      </w:r>
      <w:proofErr w:type="spellStart"/>
      <w:r>
        <w:rPr>
          <w:rFonts w:ascii="Arial" w:hAnsi="Arial" w:cs="Arial"/>
        </w:rPr>
        <w:t>μM</w:t>
      </w:r>
      <w:proofErr w:type="spellEnd"/>
      <w:r>
        <w:rPr>
          <w:rFonts w:ascii="Arial" w:hAnsi="Arial" w:cs="Arial"/>
        </w:rPr>
        <w:t>). It means we couldn’t collect enough cells</w:t>
      </w:r>
      <w:r>
        <w:t xml:space="preserve"> </w:t>
      </w:r>
      <w:r>
        <w:rPr>
          <w:rFonts w:ascii="Arial" w:hAnsi="Arial" w:cs="Arial"/>
        </w:rPr>
        <w:t>for western</w:t>
      </w:r>
      <w:r>
        <w:rPr>
          <w:rFonts w:ascii="Arial" w:hAnsi="Arial" w:cs="Arial" w:hint="eastAsia"/>
        </w:rPr>
        <w:t xml:space="preserve"> </w:t>
      </w:r>
      <w:r>
        <w:rPr>
          <w:rFonts w:ascii="Arial" w:hAnsi="Arial" w:cs="Arial"/>
        </w:rPr>
        <w:t xml:space="preserve">blot under sorafenib (20 </w:t>
      </w:r>
      <w:proofErr w:type="spellStart"/>
      <w:r>
        <w:rPr>
          <w:rFonts w:ascii="Arial" w:hAnsi="Arial" w:cs="Arial"/>
        </w:rPr>
        <w:t>μM</w:t>
      </w:r>
      <w:proofErr w:type="spellEnd"/>
      <w:r>
        <w:rPr>
          <w:rFonts w:ascii="Arial" w:hAnsi="Arial" w:cs="Arial"/>
        </w:rPr>
        <w:t xml:space="preserve">) and CT-707 (3 </w:t>
      </w:r>
      <w:proofErr w:type="spellStart"/>
      <w:r>
        <w:rPr>
          <w:rFonts w:ascii="Arial" w:hAnsi="Arial" w:cs="Arial"/>
        </w:rPr>
        <w:t>μM</w:t>
      </w:r>
      <w:proofErr w:type="spellEnd"/>
      <w:r>
        <w:rPr>
          <w:rFonts w:ascii="Arial" w:hAnsi="Arial" w:cs="Arial"/>
        </w:rPr>
        <w:t xml:space="preserve">). So, we used </w:t>
      </w:r>
      <w:bookmarkStart w:id="3" w:name="_Hlk96458988"/>
      <w:r>
        <w:rPr>
          <w:rFonts w:ascii="Arial" w:hAnsi="Arial" w:cs="Arial"/>
        </w:rPr>
        <w:t xml:space="preserve">sorafenib (10 </w:t>
      </w:r>
      <w:proofErr w:type="spellStart"/>
      <w:r>
        <w:rPr>
          <w:rFonts w:ascii="Arial" w:hAnsi="Arial" w:cs="Arial"/>
        </w:rPr>
        <w:t>μM</w:t>
      </w:r>
      <w:proofErr w:type="spellEnd"/>
      <w:r>
        <w:rPr>
          <w:rFonts w:ascii="Arial" w:hAnsi="Arial" w:cs="Arial"/>
        </w:rPr>
        <w:t xml:space="preserve">) and CT-707 (3 </w:t>
      </w:r>
      <w:proofErr w:type="spellStart"/>
      <w:r>
        <w:rPr>
          <w:rFonts w:ascii="Arial" w:hAnsi="Arial" w:cs="Arial"/>
        </w:rPr>
        <w:t>μM</w:t>
      </w:r>
      <w:proofErr w:type="spellEnd"/>
      <w:r>
        <w:rPr>
          <w:rFonts w:ascii="Arial" w:hAnsi="Arial" w:cs="Arial"/>
        </w:rPr>
        <w:t>)</w:t>
      </w:r>
      <w:bookmarkEnd w:id="3"/>
      <w:r>
        <w:rPr>
          <w:rFonts w:ascii="Arial" w:hAnsi="Arial" w:cs="Arial"/>
        </w:rPr>
        <w:t xml:space="preserve"> instead. We didn’t see the significant increase of apoptosis under Sorafenib (10 </w:t>
      </w:r>
      <w:proofErr w:type="spellStart"/>
      <w:r>
        <w:rPr>
          <w:rFonts w:ascii="Arial" w:hAnsi="Arial" w:cs="Arial"/>
        </w:rPr>
        <w:t>μM</w:t>
      </w:r>
      <w:proofErr w:type="spellEnd"/>
      <w:r>
        <w:rPr>
          <w:rFonts w:ascii="Arial" w:hAnsi="Arial" w:cs="Arial"/>
        </w:rPr>
        <w:t xml:space="preserve">) and CT-707 (3 </w:t>
      </w:r>
      <w:proofErr w:type="spellStart"/>
      <w:r>
        <w:rPr>
          <w:rFonts w:ascii="Arial" w:hAnsi="Arial" w:cs="Arial"/>
        </w:rPr>
        <w:t>μM</w:t>
      </w:r>
      <w:proofErr w:type="spellEnd"/>
      <w:r>
        <w:rPr>
          <w:rFonts w:ascii="Arial" w:hAnsi="Arial" w:cs="Arial"/>
        </w:rPr>
        <w:t xml:space="preserve">). So, we tried different concentration and found that sorafenib (15 </w:t>
      </w:r>
      <w:proofErr w:type="spellStart"/>
      <w:r>
        <w:rPr>
          <w:rFonts w:ascii="Arial" w:hAnsi="Arial" w:cs="Arial"/>
        </w:rPr>
        <w:t>μM</w:t>
      </w:r>
      <w:proofErr w:type="spellEnd"/>
      <w:r>
        <w:rPr>
          <w:rFonts w:ascii="Arial" w:hAnsi="Arial" w:cs="Arial"/>
        </w:rPr>
        <w:t xml:space="preserve">), CT-707(4 </w:t>
      </w:r>
      <w:proofErr w:type="spellStart"/>
      <w:r>
        <w:rPr>
          <w:rFonts w:ascii="Arial" w:hAnsi="Arial" w:cs="Arial"/>
        </w:rPr>
        <w:t>μM</w:t>
      </w:r>
      <w:proofErr w:type="spellEnd"/>
      <w:r>
        <w:rPr>
          <w:rFonts w:ascii="Arial" w:hAnsi="Arial" w:cs="Arial"/>
        </w:rPr>
        <w:t>) is an</w:t>
      </w:r>
      <w:r>
        <w:rPr>
          <w:rFonts w:ascii="Arial" w:hAnsi="Arial" w:cs="Arial" w:hint="eastAsia"/>
        </w:rPr>
        <w:t xml:space="preserve"> optimized condition</w:t>
      </w:r>
      <w:r>
        <w:rPr>
          <w:rFonts w:ascii="Arial" w:hAnsi="Arial" w:cs="Arial"/>
        </w:rPr>
        <w:t xml:space="preserve"> for apoptosis experiment.</w:t>
      </w:r>
    </w:p>
    <w:p w14:paraId="71F06B99" w14:textId="77777777" w:rsidR="00D15017" w:rsidRDefault="00D15017">
      <w:pPr>
        <w:pStyle w:val="a3"/>
        <w:snapToGrid w:val="0"/>
        <w:spacing w:line="360" w:lineRule="auto"/>
        <w:ind w:left="0" w:rightChars="-6" w:right="-13"/>
        <w:rPr>
          <w:rFonts w:ascii="Arial" w:hAnsi="Arial" w:cs="Arial"/>
          <w:b/>
          <w:bCs/>
          <w:i/>
          <w:iCs/>
        </w:rPr>
      </w:pPr>
    </w:p>
    <w:p w14:paraId="2F5CC43E" w14:textId="77777777" w:rsidR="00D15017" w:rsidRDefault="001E6FD8">
      <w:pPr>
        <w:pStyle w:val="a3"/>
        <w:numPr>
          <w:ilvl w:val="0"/>
          <w:numId w:val="2"/>
        </w:numPr>
        <w:snapToGrid w:val="0"/>
        <w:spacing w:line="360" w:lineRule="auto"/>
        <w:ind w:left="0" w:rightChars="-6" w:right="-13" w:firstLine="0"/>
        <w:rPr>
          <w:rFonts w:ascii="Arial" w:hAnsi="Arial" w:cs="Arial"/>
          <w:b/>
          <w:bCs/>
          <w:color w:val="0070C0"/>
        </w:rPr>
      </w:pPr>
      <w:r>
        <w:rPr>
          <w:rFonts w:ascii="Arial" w:hAnsi="Arial" w:cs="Arial"/>
          <w:b/>
          <w:bCs/>
          <w:color w:val="0070C0"/>
        </w:rPr>
        <w:t>The results obtained on both lines are interesting but it would be interesting to study the effect of these two inhibitors on patient primary cells.</w:t>
      </w:r>
    </w:p>
    <w:p w14:paraId="14E15B83" w14:textId="77777777" w:rsidR="00D15017" w:rsidRDefault="001E6FD8">
      <w:pPr>
        <w:pStyle w:val="a3"/>
        <w:snapToGrid w:val="0"/>
        <w:spacing w:line="360" w:lineRule="auto"/>
        <w:ind w:left="0" w:rightChars="-6" w:right="-13"/>
        <w:rPr>
          <w:rFonts w:ascii="Arial" w:hAnsi="Arial" w:cs="Arial"/>
        </w:rPr>
      </w:pPr>
      <w:r>
        <w:rPr>
          <w:rFonts w:ascii="Arial" w:hAnsi="Arial" w:cs="Arial" w:hint="eastAsia"/>
          <w:b/>
          <w:bCs/>
          <w:i/>
          <w:iCs/>
        </w:rPr>
        <w:t>Reply:</w:t>
      </w:r>
      <w:r>
        <w:rPr>
          <w:rFonts w:ascii="Arial" w:hAnsi="Arial" w:cs="Arial" w:hint="eastAsia"/>
          <w:i/>
          <w:iCs/>
        </w:rPr>
        <w:t xml:space="preserve"> </w:t>
      </w:r>
      <w:r>
        <w:rPr>
          <w:rFonts w:ascii="Arial" w:hAnsi="Arial" w:cs="Arial"/>
        </w:rPr>
        <w:t>We agree with this reviewer that it would be interesting to study the effect of these two inhibitors on patient primary cells</w:t>
      </w:r>
      <w:r>
        <w:rPr>
          <w:rFonts w:ascii="Arial" w:hAnsi="Arial" w:cs="Arial" w:hint="eastAsia"/>
        </w:rPr>
        <w:t xml:space="preserve">, however, it is quite difficult to establish HCC primary cells from the patient tumor samples. </w:t>
      </w:r>
      <w:r>
        <w:rPr>
          <w:rFonts w:ascii="Arial" w:hAnsi="Arial" w:cs="Arial"/>
        </w:rPr>
        <w:t>Therefore,</w:t>
      </w:r>
      <w:r>
        <w:rPr>
          <w:rFonts w:ascii="Arial" w:hAnsi="Arial" w:cs="Arial" w:hint="eastAsia"/>
        </w:rPr>
        <w:t xml:space="preserve"> we were not able to test this in primary HCC cells. </w:t>
      </w:r>
      <w:r>
        <w:rPr>
          <w:rFonts w:ascii="Arial" w:hAnsi="Arial" w:cs="Arial"/>
        </w:rPr>
        <w:t>Bel-7402 and SMMC-7721 cell line were derived from patient with hepatocellular carcinoma. So, our results showed the effect of these two inhibitors on HCC patient in some way.</w:t>
      </w:r>
    </w:p>
    <w:p w14:paraId="3AE5D7DD" w14:textId="77777777" w:rsidR="00B3553D" w:rsidRDefault="00B3553D" w:rsidP="00B3553D">
      <w:pPr>
        <w:snapToGrid w:val="0"/>
        <w:spacing w:line="360" w:lineRule="auto"/>
        <w:rPr>
          <w:rFonts w:ascii="Arial" w:hAnsi="Arial" w:cs="Arial"/>
        </w:rPr>
      </w:pPr>
    </w:p>
    <w:p w14:paraId="7155B8EB" w14:textId="77777777" w:rsidR="00B3553D" w:rsidRDefault="00B3553D" w:rsidP="00B3553D">
      <w:pPr>
        <w:snapToGrid w:val="0"/>
        <w:spacing w:line="360" w:lineRule="auto"/>
        <w:rPr>
          <w:rFonts w:ascii="Arial" w:hAnsi="Arial" w:cs="Arial"/>
        </w:rPr>
      </w:pPr>
    </w:p>
    <w:p w14:paraId="2DCE9091" w14:textId="77777777" w:rsidR="00B3553D" w:rsidRDefault="00B3553D" w:rsidP="00B3553D">
      <w:pPr>
        <w:snapToGrid w:val="0"/>
        <w:spacing w:line="360" w:lineRule="auto"/>
        <w:rPr>
          <w:rFonts w:ascii="Arial" w:hAnsi="Arial" w:cs="Arial"/>
        </w:rPr>
      </w:pPr>
    </w:p>
    <w:p w14:paraId="7D7E37C6" w14:textId="77777777" w:rsidR="00B3553D" w:rsidRDefault="00B3553D" w:rsidP="00B3553D">
      <w:pPr>
        <w:snapToGrid w:val="0"/>
        <w:spacing w:line="360" w:lineRule="auto"/>
        <w:rPr>
          <w:rFonts w:ascii="Arial" w:hAnsi="Arial" w:cs="Arial"/>
        </w:rPr>
      </w:pPr>
    </w:p>
    <w:p w14:paraId="0DD48047" w14:textId="77777777" w:rsidR="00B3553D" w:rsidRDefault="00B3553D" w:rsidP="00B3553D">
      <w:pPr>
        <w:snapToGrid w:val="0"/>
        <w:spacing w:line="360" w:lineRule="auto"/>
        <w:rPr>
          <w:rFonts w:ascii="Arial" w:hAnsi="Arial" w:cs="Arial"/>
        </w:rPr>
      </w:pPr>
    </w:p>
    <w:p w14:paraId="29C2AD7F" w14:textId="77777777" w:rsidR="00B3553D" w:rsidRDefault="00B3553D" w:rsidP="00B3553D">
      <w:pPr>
        <w:snapToGrid w:val="0"/>
        <w:spacing w:line="360" w:lineRule="auto"/>
        <w:rPr>
          <w:rFonts w:ascii="Arial" w:hAnsi="Arial" w:cs="Arial"/>
        </w:rPr>
      </w:pPr>
    </w:p>
    <w:p w14:paraId="52055A96" w14:textId="2C49E428" w:rsidR="00B3553D" w:rsidRPr="00B3553D" w:rsidRDefault="00B3553D" w:rsidP="00B3553D">
      <w:pPr>
        <w:snapToGrid w:val="0"/>
        <w:spacing w:line="360" w:lineRule="auto"/>
        <w:rPr>
          <w:rFonts w:ascii="Arial" w:hAnsi="Arial" w:cs="Arial"/>
        </w:rPr>
      </w:pPr>
      <w:r w:rsidRPr="00B3553D">
        <w:rPr>
          <w:rFonts w:ascii="Arial" w:hAnsi="Arial" w:cs="Arial"/>
        </w:rPr>
        <w:lastRenderedPageBreak/>
        <w:t xml:space="preserve">In summary, we thank you, the Reviewers and Editors of </w:t>
      </w:r>
      <w:r>
        <w:rPr>
          <w:rFonts w:ascii="Arial" w:hAnsi="Arial" w:cs="Arial"/>
        </w:rPr>
        <w:t xml:space="preserve">BMC </w:t>
      </w:r>
      <w:r>
        <w:rPr>
          <w:rFonts w:ascii="Arial" w:hAnsi="Arial" w:cs="Arial" w:hint="eastAsia"/>
        </w:rPr>
        <w:t>cancer</w:t>
      </w:r>
      <w:r w:rsidRPr="00B3553D">
        <w:rPr>
          <w:rFonts w:ascii="Arial" w:hAnsi="Arial" w:cs="Arial"/>
        </w:rPr>
        <w:t xml:space="preserve"> for your helpful recommendations for revisions that substantially improved our manuscript. We strived to address each of the Reviewers’ comments and hope you now find our manuscript acceptable for publication in BMC cancer</w:t>
      </w:r>
      <w:r>
        <w:rPr>
          <w:rFonts w:ascii="Arial" w:hAnsi="Arial" w:cs="Arial"/>
        </w:rPr>
        <w:t>.</w:t>
      </w:r>
    </w:p>
    <w:p w14:paraId="1B58022B" w14:textId="44F13AD3" w:rsidR="00B3553D" w:rsidRPr="00B3553D" w:rsidRDefault="00B3553D" w:rsidP="00B3553D">
      <w:pPr>
        <w:snapToGrid w:val="0"/>
        <w:spacing w:line="360" w:lineRule="auto"/>
        <w:rPr>
          <w:rFonts w:ascii="Arial" w:hAnsi="Arial" w:cs="Arial"/>
        </w:rPr>
      </w:pPr>
    </w:p>
    <w:p w14:paraId="1A57DB21" w14:textId="77777777" w:rsidR="00B3553D" w:rsidRPr="00B3553D" w:rsidRDefault="00B3553D" w:rsidP="00B3553D">
      <w:pPr>
        <w:snapToGrid w:val="0"/>
        <w:spacing w:line="360" w:lineRule="auto"/>
        <w:rPr>
          <w:rFonts w:ascii="Arial" w:hAnsi="Arial" w:cs="Arial"/>
        </w:rPr>
      </w:pPr>
      <w:r w:rsidRPr="00B3553D">
        <w:rPr>
          <w:rFonts w:ascii="Arial" w:hAnsi="Arial" w:cs="Arial"/>
        </w:rPr>
        <w:t>Sincerely,</w:t>
      </w:r>
    </w:p>
    <w:p w14:paraId="475E0C92" w14:textId="1269DFCB" w:rsidR="00B3553D" w:rsidRPr="00B3553D" w:rsidRDefault="00B3553D" w:rsidP="00B3553D">
      <w:pPr>
        <w:snapToGrid w:val="0"/>
        <w:spacing w:line="360" w:lineRule="auto"/>
        <w:rPr>
          <w:rFonts w:ascii="Arial" w:hAnsi="Arial" w:cs="Arial"/>
        </w:rPr>
      </w:pPr>
    </w:p>
    <w:p w14:paraId="1E9FDCA2" w14:textId="27CD09FD" w:rsidR="00B3553D" w:rsidRPr="00B3553D" w:rsidRDefault="00B3553D" w:rsidP="00B3553D">
      <w:pPr>
        <w:pStyle w:val="HTML"/>
        <w:widowControl/>
        <w:snapToGrid w:val="0"/>
        <w:spacing w:line="360" w:lineRule="auto"/>
        <w:rPr>
          <w:rFonts w:ascii="Arial" w:eastAsiaTheme="minorEastAsia" w:hAnsi="Arial" w:cs="Arial" w:hint="default"/>
          <w:kern w:val="2"/>
          <w:sz w:val="21"/>
          <w:szCs w:val="22"/>
        </w:rPr>
      </w:pPr>
      <w:r w:rsidRPr="00B3553D">
        <w:rPr>
          <w:rFonts w:ascii="Arial" w:eastAsiaTheme="minorEastAsia" w:hAnsi="Arial" w:cs="Arial"/>
          <w:kern w:val="2"/>
          <w:sz w:val="21"/>
          <w:szCs w:val="22"/>
        </w:rPr>
        <w:t xml:space="preserve">Hong Zhu, </w:t>
      </w:r>
      <w:r w:rsidR="0038664D" w:rsidRPr="00B3553D">
        <w:rPr>
          <w:rFonts w:ascii="Arial" w:eastAsiaTheme="minorEastAsia" w:hAnsi="Arial" w:cs="Arial" w:hint="default"/>
          <w:kern w:val="2"/>
          <w:sz w:val="21"/>
          <w:szCs w:val="22"/>
        </w:rPr>
        <w:t>Ph.D., Professor</w:t>
      </w:r>
    </w:p>
    <w:p w14:paraId="75DFEE91" w14:textId="77777777" w:rsidR="00B3553D" w:rsidRPr="00B3553D" w:rsidRDefault="00B3553D" w:rsidP="00B3553D">
      <w:pPr>
        <w:pStyle w:val="HTML"/>
        <w:widowControl/>
        <w:snapToGrid w:val="0"/>
        <w:spacing w:line="360" w:lineRule="auto"/>
        <w:rPr>
          <w:rFonts w:ascii="Arial" w:eastAsiaTheme="minorEastAsia" w:hAnsi="Arial" w:cs="Arial" w:hint="default"/>
          <w:kern w:val="2"/>
          <w:sz w:val="21"/>
          <w:szCs w:val="22"/>
        </w:rPr>
      </w:pPr>
      <w:r w:rsidRPr="00B3553D">
        <w:rPr>
          <w:rFonts w:ascii="Arial" w:eastAsiaTheme="minorEastAsia" w:hAnsi="Arial" w:cs="Arial"/>
          <w:kern w:val="2"/>
          <w:sz w:val="21"/>
          <w:szCs w:val="22"/>
        </w:rPr>
        <w:t>Institute of Pharmacology &amp;amp; Toxicology</w:t>
      </w:r>
    </w:p>
    <w:p w14:paraId="2AD027F7" w14:textId="77777777" w:rsidR="00B3553D" w:rsidRPr="00B3553D" w:rsidRDefault="00B3553D" w:rsidP="00B3553D">
      <w:pPr>
        <w:pStyle w:val="HTML"/>
        <w:widowControl/>
        <w:snapToGrid w:val="0"/>
        <w:spacing w:line="360" w:lineRule="auto"/>
        <w:rPr>
          <w:rFonts w:ascii="Arial" w:eastAsiaTheme="minorEastAsia" w:hAnsi="Arial" w:cs="Arial" w:hint="default"/>
          <w:kern w:val="2"/>
          <w:sz w:val="21"/>
          <w:szCs w:val="22"/>
        </w:rPr>
      </w:pPr>
      <w:r w:rsidRPr="00B3553D">
        <w:rPr>
          <w:rFonts w:ascii="Arial" w:eastAsiaTheme="minorEastAsia" w:hAnsi="Arial" w:cs="Arial"/>
          <w:kern w:val="2"/>
          <w:sz w:val="21"/>
          <w:szCs w:val="22"/>
        </w:rPr>
        <w:t>College of Pharmaceutical Sciences</w:t>
      </w:r>
    </w:p>
    <w:p w14:paraId="0E99E8CE" w14:textId="77777777" w:rsidR="00B3553D" w:rsidRPr="00B3553D" w:rsidRDefault="00B3553D" w:rsidP="00B3553D">
      <w:pPr>
        <w:pStyle w:val="HTML"/>
        <w:widowControl/>
        <w:snapToGrid w:val="0"/>
        <w:spacing w:line="360" w:lineRule="auto"/>
        <w:rPr>
          <w:rFonts w:ascii="Arial" w:eastAsiaTheme="minorEastAsia" w:hAnsi="Arial" w:cs="Arial" w:hint="default"/>
          <w:kern w:val="2"/>
          <w:sz w:val="21"/>
          <w:szCs w:val="22"/>
        </w:rPr>
      </w:pPr>
      <w:r w:rsidRPr="00B3553D">
        <w:rPr>
          <w:rFonts w:ascii="Arial" w:eastAsiaTheme="minorEastAsia" w:hAnsi="Arial" w:cs="Arial"/>
          <w:kern w:val="2"/>
          <w:sz w:val="21"/>
          <w:szCs w:val="22"/>
        </w:rPr>
        <w:t>Zhejiang University</w:t>
      </w:r>
    </w:p>
    <w:p w14:paraId="6EEFF64C" w14:textId="4184D18C" w:rsidR="00D15017" w:rsidRDefault="00B3553D" w:rsidP="00B3553D">
      <w:pPr>
        <w:pStyle w:val="HTML"/>
        <w:widowControl/>
        <w:snapToGrid w:val="0"/>
        <w:spacing w:line="360" w:lineRule="auto"/>
        <w:rPr>
          <w:rFonts w:ascii="Arial" w:eastAsiaTheme="minorEastAsia" w:hAnsi="Arial" w:cs="Arial" w:hint="default"/>
          <w:color w:val="0000FF"/>
          <w:kern w:val="2"/>
          <w:sz w:val="21"/>
          <w:szCs w:val="22"/>
        </w:rPr>
      </w:pPr>
      <w:r w:rsidRPr="00B3553D">
        <w:rPr>
          <w:rFonts w:ascii="Arial" w:eastAsiaTheme="minorEastAsia" w:hAnsi="Arial" w:cs="Arial"/>
          <w:kern w:val="2"/>
          <w:sz w:val="21"/>
          <w:szCs w:val="22"/>
        </w:rPr>
        <w:t>Email: hongzhu@zju.edu.cn</w:t>
      </w:r>
    </w:p>
    <w:p w14:paraId="06C8C5F0" w14:textId="77777777" w:rsidR="00D15017" w:rsidRDefault="00D15017">
      <w:pPr>
        <w:pStyle w:val="HTML"/>
        <w:widowControl/>
        <w:snapToGrid w:val="0"/>
        <w:spacing w:line="360" w:lineRule="auto"/>
        <w:rPr>
          <w:rFonts w:ascii="Arial" w:eastAsiaTheme="minorEastAsia" w:hAnsi="Arial" w:cs="Arial" w:hint="default"/>
          <w:color w:val="0000FF"/>
          <w:kern w:val="2"/>
          <w:sz w:val="21"/>
          <w:szCs w:val="22"/>
        </w:rPr>
      </w:pPr>
    </w:p>
    <w:p w14:paraId="5F5E3345" w14:textId="77777777" w:rsidR="00D15017" w:rsidRDefault="00D15017">
      <w:pPr>
        <w:snapToGrid w:val="0"/>
        <w:spacing w:line="360" w:lineRule="auto"/>
        <w:rPr>
          <w:rFonts w:ascii="Arial" w:hAnsi="Arial" w:cs="Arial"/>
        </w:rPr>
      </w:pPr>
    </w:p>
    <w:p w14:paraId="3BE1C8EA" w14:textId="77777777" w:rsidR="00D15017" w:rsidRDefault="00D15017">
      <w:pPr>
        <w:snapToGrid w:val="0"/>
        <w:spacing w:line="360" w:lineRule="auto"/>
        <w:rPr>
          <w:rFonts w:ascii="Arial" w:hAnsi="Arial" w:cs="Arial"/>
        </w:rPr>
      </w:pPr>
    </w:p>
    <w:sectPr w:rsidR="00D15017">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7ABF7" w14:textId="77777777" w:rsidR="007548CF" w:rsidRDefault="007548CF" w:rsidP="007548CF">
      <w:r>
        <w:separator/>
      </w:r>
    </w:p>
  </w:endnote>
  <w:endnote w:type="continuationSeparator" w:id="0">
    <w:p w14:paraId="6A9E3158" w14:textId="77777777" w:rsidR="007548CF" w:rsidRDefault="007548CF" w:rsidP="00754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4CA2A" w14:textId="77777777" w:rsidR="007548CF" w:rsidRDefault="007548CF" w:rsidP="007548CF">
      <w:r>
        <w:separator/>
      </w:r>
    </w:p>
  </w:footnote>
  <w:footnote w:type="continuationSeparator" w:id="0">
    <w:p w14:paraId="6BD05548" w14:textId="77777777" w:rsidR="007548CF" w:rsidRDefault="007548CF" w:rsidP="007548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08C6DFC"/>
    <w:multiLevelType w:val="multilevel"/>
    <w:tmpl w:val="B08C6DFC"/>
    <w:lvl w:ilvl="0">
      <w:start w:val="1"/>
      <w:numFmt w:val="decimal"/>
      <w:lvlText w:val="%1."/>
      <w:lvlJc w:val="left"/>
      <w:pPr>
        <w:ind w:left="72" w:hanging="360"/>
      </w:pPr>
      <w:rPr>
        <w:rFonts w:hint="default"/>
        <w:b/>
        <w:bCs/>
        <w:i w:val="0"/>
        <w:iCs w:val="0"/>
      </w:rPr>
    </w:lvl>
    <w:lvl w:ilvl="1">
      <w:start w:val="1"/>
      <w:numFmt w:val="lowerLetter"/>
      <w:lvlText w:val="%2."/>
      <w:lvlJc w:val="left"/>
      <w:pPr>
        <w:ind w:left="792" w:hanging="360"/>
      </w:pPr>
    </w:lvl>
    <w:lvl w:ilvl="2">
      <w:start w:val="1"/>
      <w:numFmt w:val="lowerRoman"/>
      <w:lvlText w:val="%3."/>
      <w:lvlJc w:val="right"/>
      <w:pPr>
        <w:ind w:left="1512" w:hanging="180"/>
      </w:pPr>
    </w:lvl>
    <w:lvl w:ilvl="3">
      <w:start w:val="1"/>
      <w:numFmt w:val="decimal"/>
      <w:lvlText w:val="%4."/>
      <w:lvlJc w:val="left"/>
      <w:pPr>
        <w:ind w:left="2232" w:hanging="360"/>
      </w:pPr>
    </w:lvl>
    <w:lvl w:ilvl="4">
      <w:start w:val="1"/>
      <w:numFmt w:val="lowerLetter"/>
      <w:lvlText w:val="%5."/>
      <w:lvlJc w:val="left"/>
      <w:pPr>
        <w:ind w:left="2952" w:hanging="360"/>
      </w:pPr>
    </w:lvl>
    <w:lvl w:ilvl="5">
      <w:start w:val="1"/>
      <w:numFmt w:val="lowerRoman"/>
      <w:lvlText w:val="%6."/>
      <w:lvlJc w:val="right"/>
      <w:pPr>
        <w:ind w:left="3672" w:hanging="180"/>
      </w:pPr>
    </w:lvl>
    <w:lvl w:ilvl="6">
      <w:start w:val="1"/>
      <w:numFmt w:val="decimal"/>
      <w:lvlText w:val="%7."/>
      <w:lvlJc w:val="left"/>
      <w:pPr>
        <w:ind w:left="4392" w:hanging="360"/>
      </w:pPr>
    </w:lvl>
    <w:lvl w:ilvl="7">
      <w:start w:val="1"/>
      <w:numFmt w:val="lowerLetter"/>
      <w:lvlText w:val="%8."/>
      <w:lvlJc w:val="left"/>
      <w:pPr>
        <w:ind w:left="5112" w:hanging="360"/>
      </w:pPr>
    </w:lvl>
    <w:lvl w:ilvl="8">
      <w:start w:val="1"/>
      <w:numFmt w:val="lowerRoman"/>
      <w:lvlText w:val="%9."/>
      <w:lvlJc w:val="right"/>
      <w:pPr>
        <w:ind w:left="5832" w:hanging="180"/>
      </w:pPr>
    </w:lvl>
  </w:abstractNum>
  <w:abstractNum w:abstractNumId="1" w15:restartNumberingAfterBreak="0">
    <w:nsid w:val="4B6238DC"/>
    <w:multiLevelType w:val="multilevel"/>
    <w:tmpl w:val="4B6238DC"/>
    <w:lvl w:ilvl="0">
      <w:start w:val="1"/>
      <w:numFmt w:val="decimal"/>
      <w:lvlText w:val="%1."/>
      <w:lvlJc w:val="left"/>
      <w:pPr>
        <w:ind w:left="72" w:hanging="360"/>
      </w:pPr>
      <w:rPr>
        <w:rFonts w:hint="default"/>
        <w:i w:val="0"/>
        <w:iCs w:val="0"/>
      </w:rPr>
    </w:lvl>
    <w:lvl w:ilvl="1">
      <w:start w:val="1"/>
      <w:numFmt w:val="lowerLetter"/>
      <w:lvlText w:val="%2."/>
      <w:lvlJc w:val="left"/>
      <w:pPr>
        <w:ind w:left="792" w:hanging="360"/>
      </w:pPr>
    </w:lvl>
    <w:lvl w:ilvl="2">
      <w:start w:val="1"/>
      <w:numFmt w:val="lowerRoman"/>
      <w:lvlText w:val="%3."/>
      <w:lvlJc w:val="right"/>
      <w:pPr>
        <w:ind w:left="1512" w:hanging="180"/>
      </w:pPr>
    </w:lvl>
    <w:lvl w:ilvl="3">
      <w:start w:val="1"/>
      <w:numFmt w:val="decimal"/>
      <w:lvlText w:val="%4."/>
      <w:lvlJc w:val="left"/>
      <w:pPr>
        <w:ind w:left="2232" w:hanging="360"/>
      </w:pPr>
    </w:lvl>
    <w:lvl w:ilvl="4">
      <w:start w:val="1"/>
      <w:numFmt w:val="lowerLetter"/>
      <w:lvlText w:val="%5."/>
      <w:lvlJc w:val="left"/>
      <w:pPr>
        <w:ind w:left="2952" w:hanging="360"/>
      </w:pPr>
    </w:lvl>
    <w:lvl w:ilvl="5">
      <w:start w:val="1"/>
      <w:numFmt w:val="lowerRoman"/>
      <w:lvlText w:val="%6."/>
      <w:lvlJc w:val="right"/>
      <w:pPr>
        <w:ind w:left="3672" w:hanging="180"/>
      </w:pPr>
    </w:lvl>
    <w:lvl w:ilvl="6">
      <w:start w:val="1"/>
      <w:numFmt w:val="decimal"/>
      <w:lvlText w:val="%7."/>
      <w:lvlJc w:val="left"/>
      <w:pPr>
        <w:ind w:left="4392" w:hanging="360"/>
      </w:pPr>
    </w:lvl>
    <w:lvl w:ilvl="7">
      <w:start w:val="1"/>
      <w:numFmt w:val="lowerLetter"/>
      <w:lvlText w:val="%8."/>
      <w:lvlJc w:val="left"/>
      <w:pPr>
        <w:ind w:left="5112" w:hanging="360"/>
      </w:pPr>
    </w:lvl>
    <w:lvl w:ilvl="8">
      <w:start w:val="1"/>
      <w:numFmt w:val="lowerRoman"/>
      <w:lvlText w:val="%9."/>
      <w:lvlJc w:val="right"/>
      <w:pPr>
        <w:ind w:left="583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3205"/>
    <w:rsid w:val="0009301F"/>
    <w:rsid w:val="0017184D"/>
    <w:rsid w:val="001E6FD8"/>
    <w:rsid w:val="00241A63"/>
    <w:rsid w:val="0032154A"/>
    <w:rsid w:val="0038664D"/>
    <w:rsid w:val="00402CA2"/>
    <w:rsid w:val="004358D8"/>
    <w:rsid w:val="00483D28"/>
    <w:rsid w:val="00651AB5"/>
    <w:rsid w:val="006E292A"/>
    <w:rsid w:val="007548CF"/>
    <w:rsid w:val="00AC238C"/>
    <w:rsid w:val="00AD2B9A"/>
    <w:rsid w:val="00B3553D"/>
    <w:rsid w:val="00B37635"/>
    <w:rsid w:val="00CA3BBB"/>
    <w:rsid w:val="00D0162A"/>
    <w:rsid w:val="00D15017"/>
    <w:rsid w:val="00D20C38"/>
    <w:rsid w:val="00D253C4"/>
    <w:rsid w:val="00D5222B"/>
    <w:rsid w:val="00D62371"/>
    <w:rsid w:val="00DB5B9B"/>
    <w:rsid w:val="00DC1FB1"/>
    <w:rsid w:val="00DC7694"/>
    <w:rsid w:val="00DE1ED2"/>
    <w:rsid w:val="00E3101D"/>
    <w:rsid w:val="00F0331D"/>
    <w:rsid w:val="00F73205"/>
    <w:rsid w:val="00FB47FA"/>
    <w:rsid w:val="00FE01E8"/>
    <w:rsid w:val="087F3E79"/>
    <w:rsid w:val="44B637E7"/>
    <w:rsid w:val="620C5D7D"/>
    <w:rsid w:val="7A077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5C1F37"/>
  <w15:docId w15:val="{42974F43-1742-47B8-9F60-43E973070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3">
    <w:name w:val="List Paragraph"/>
    <w:basedOn w:val="a"/>
    <w:uiPriority w:val="34"/>
    <w:qFormat/>
    <w:pPr>
      <w:ind w:left="720"/>
      <w:contextualSpacing/>
    </w:pPr>
  </w:style>
  <w:style w:type="paragraph" w:styleId="a4">
    <w:name w:val="header"/>
    <w:basedOn w:val="a"/>
    <w:link w:val="a5"/>
    <w:uiPriority w:val="99"/>
    <w:unhideWhenUsed/>
    <w:rsid w:val="007548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548CF"/>
    <w:rPr>
      <w:rFonts w:asciiTheme="minorHAnsi" w:eastAsiaTheme="minorEastAsia" w:hAnsiTheme="minorHAnsi" w:cstheme="minorBidi"/>
      <w:kern w:val="2"/>
      <w:sz w:val="18"/>
      <w:szCs w:val="18"/>
    </w:rPr>
  </w:style>
  <w:style w:type="paragraph" w:styleId="a6">
    <w:name w:val="footer"/>
    <w:basedOn w:val="a"/>
    <w:link w:val="a7"/>
    <w:uiPriority w:val="99"/>
    <w:unhideWhenUsed/>
    <w:rsid w:val="007548CF"/>
    <w:pPr>
      <w:tabs>
        <w:tab w:val="center" w:pos="4153"/>
        <w:tab w:val="right" w:pos="8306"/>
      </w:tabs>
      <w:snapToGrid w:val="0"/>
      <w:jc w:val="left"/>
    </w:pPr>
    <w:rPr>
      <w:sz w:val="18"/>
      <w:szCs w:val="18"/>
    </w:rPr>
  </w:style>
  <w:style w:type="character" w:customStyle="1" w:styleId="a7">
    <w:name w:val="页脚 字符"/>
    <w:basedOn w:val="a0"/>
    <w:link w:val="a6"/>
    <w:uiPriority w:val="99"/>
    <w:rsid w:val="007548C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832</Words>
  <Characters>4747</Characters>
  <Application>Microsoft Office Word</Application>
  <DocSecurity>0</DocSecurity>
  <Lines>39</Lines>
  <Paragraphs>11</Paragraphs>
  <ScaleCrop>false</ScaleCrop>
  <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Zibo</dc:creator>
  <cp:lastModifiedBy>Chen Zibo</cp:lastModifiedBy>
  <cp:revision>19</cp:revision>
  <dcterms:created xsi:type="dcterms:W3CDTF">2022-01-27T21:50:00Z</dcterms:created>
  <dcterms:modified xsi:type="dcterms:W3CDTF">2022-02-23T19:43:00Z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03EB73CC087C429F8BC4BE971B18559C</vt:lpwstr>
  </property>
</Properties>
</file>