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2A2" w:rsidRPr="007F33B0" w:rsidRDefault="006E62A2" w:rsidP="006E62A2">
      <w:pPr>
        <w:spacing w:line="480" w:lineRule="auto"/>
        <w:rPr>
          <w:rFonts w:ascii="Times New Roman" w:hAnsi="Times New Roman"/>
          <w:sz w:val="20"/>
          <w:szCs w:val="20"/>
        </w:rPr>
      </w:pPr>
      <w:r w:rsidRPr="007F33B0">
        <w:rPr>
          <w:rFonts w:ascii="Times New Roman" w:hAnsi="Times New Roman"/>
          <w:b/>
          <w:color w:val="000000"/>
          <w:sz w:val="20"/>
          <w:szCs w:val="20"/>
        </w:rPr>
        <w:t>Supplementary</w:t>
      </w:r>
      <w:r w:rsidRPr="007F33B0">
        <w:rPr>
          <w:rFonts w:ascii="Times New Roman" w:hAnsi="Times New Roman"/>
          <w:b/>
          <w:bCs/>
          <w:sz w:val="20"/>
          <w:szCs w:val="20"/>
        </w:rPr>
        <w:t xml:space="preserve"> Table 1.</w:t>
      </w:r>
      <w:r w:rsidRPr="007F33B0">
        <w:rPr>
          <w:rFonts w:ascii="Times New Roman" w:hAnsi="Times New Roman"/>
          <w:sz w:val="20"/>
          <w:szCs w:val="20"/>
        </w:rPr>
        <w:t xml:space="preserve"> Characteristics of patients in GnRHa+ovulation vs GnRHa+HRT cycles. </w:t>
      </w:r>
    </w:p>
    <w:tbl>
      <w:tblPr>
        <w:tblW w:w="499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4"/>
        <w:gridCol w:w="2072"/>
        <w:gridCol w:w="2074"/>
        <w:gridCol w:w="2074"/>
      </w:tblGrid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>GnRHa+ovulation (n=37)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>GnRHa+HRT</w:t>
            </w:r>
          </w:p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(n=593)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 xml:space="preserve">Age 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34.1</w:t>
            </w: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±4.8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32.0±5.2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0.015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Duration of infertility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6.1±4.4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4.7±3.5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0.071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Type of infertility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0.015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ind w:firstLine="288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Primary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11 (29.7)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299 (50.4)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ind w:firstLine="288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Secondary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26 (</w:t>
            </w:r>
            <w:r w:rsidRPr="007F33B0">
              <w:rPr>
                <w:rFonts w:ascii="Times New Roman" w:hAnsi="Times New Roman"/>
                <w:sz w:val="20"/>
                <w:szCs w:val="20"/>
              </w:rPr>
              <w:t>70.3)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294 (49.6)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Number of pregnancies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1.6±1.4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1.1±1.4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0.058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Percentage of PCOS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 (5.4)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104 (17.5)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0.056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Percentage of DOR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7 (18.9)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79 (13.3)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0.180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 xml:space="preserve">Percentage of endometriosis 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 (2.7)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22 (3.7)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1.000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Cs/>
                <w:sz w:val="20"/>
                <w:szCs w:val="20"/>
              </w:rPr>
              <w:t>Percentage of scared uterus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11(29.7)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91 (15.3)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0.021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Number of transferred embryos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1.9±0.3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1.7±0.4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0.026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Grade of transferred embryos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0.225</w:t>
            </w: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ind w:firstLine="288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 xml:space="preserve">Cleavage </w:t>
            </w:r>
            <w:r w:rsidRPr="007F33B0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7F33B0">
              <w:rPr>
                <w:rFonts w:ascii="Times New Roman" w:hAnsi="Times New Roman"/>
                <w:sz w:val="20"/>
                <w:szCs w:val="20"/>
              </w:rPr>
              <w:instrText xml:space="preserve"> = 1 \* ROMAN </w:instrText>
            </w:r>
            <w:r w:rsidRPr="007F33B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7F33B0">
              <w:rPr>
                <w:rFonts w:ascii="Times New Roman" w:hAnsi="Times New Roman"/>
                <w:noProof/>
                <w:sz w:val="20"/>
                <w:szCs w:val="20"/>
              </w:rPr>
              <w:t>I</w:t>
            </w:r>
            <w:r w:rsidRPr="007F33B0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11 (29.7)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127 (21.4)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ind w:firstLine="288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 xml:space="preserve">Cleavage </w:t>
            </w:r>
            <w:r w:rsidRPr="007F33B0">
              <w:rPr>
                <w:rFonts w:ascii="Times New Roman" w:hAnsi="Times New Roman"/>
                <w:sz w:val="20"/>
                <w:szCs w:val="20"/>
              </w:rPr>
              <w:fldChar w:fldCharType="begin"/>
            </w:r>
            <w:r w:rsidRPr="007F33B0">
              <w:rPr>
                <w:rFonts w:ascii="Times New Roman" w:hAnsi="Times New Roman"/>
                <w:sz w:val="20"/>
                <w:szCs w:val="20"/>
              </w:rPr>
              <w:instrText xml:space="preserve"> = 2 \* ROMAN </w:instrText>
            </w:r>
            <w:r w:rsidRPr="007F33B0">
              <w:rPr>
                <w:rFonts w:ascii="Times New Roman" w:hAnsi="Times New Roman"/>
                <w:sz w:val="20"/>
                <w:szCs w:val="20"/>
              </w:rPr>
              <w:fldChar w:fldCharType="separate"/>
            </w:r>
            <w:r w:rsidRPr="007F33B0">
              <w:rPr>
                <w:rFonts w:ascii="Times New Roman" w:hAnsi="Times New Roman"/>
                <w:noProof/>
                <w:sz w:val="20"/>
                <w:szCs w:val="20"/>
              </w:rPr>
              <w:t>II</w:t>
            </w:r>
            <w:r w:rsidRPr="007F33B0">
              <w:rPr>
                <w:rFonts w:ascii="Times New Roman" w:hAnsi="Times New Roman"/>
                <w:sz w:val="20"/>
                <w:szCs w:val="20"/>
              </w:rPr>
              <w:fldChar w:fldCharType="end"/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19 (51.4)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280 (47.2)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2A2" w:rsidRPr="007F33B0" w:rsidTr="00D90863">
        <w:tc>
          <w:tcPr>
            <w:tcW w:w="1251" w:type="pct"/>
          </w:tcPr>
          <w:p w:rsidR="006E62A2" w:rsidRPr="007F33B0" w:rsidRDefault="006E62A2" w:rsidP="00D90863">
            <w:pPr>
              <w:spacing w:line="480" w:lineRule="auto"/>
              <w:ind w:firstLine="288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Blastocyst</w:t>
            </w:r>
          </w:p>
        </w:tc>
        <w:tc>
          <w:tcPr>
            <w:tcW w:w="1249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7 (18.9)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186 (31.4)</w:t>
            </w:r>
          </w:p>
        </w:tc>
        <w:tc>
          <w:tcPr>
            <w:tcW w:w="1250" w:type="pct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E62A2" w:rsidRPr="007F33B0" w:rsidRDefault="006E62A2" w:rsidP="006E62A2">
      <w:pPr>
        <w:spacing w:line="480" w:lineRule="auto"/>
        <w:rPr>
          <w:rFonts w:ascii="Times New Roman" w:hAnsi="Times New Roman" w:hint="eastAsia"/>
          <w:sz w:val="20"/>
          <w:szCs w:val="20"/>
        </w:rPr>
      </w:pPr>
      <w:r w:rsidRPr="007F33B0">
        <w:rPr>
          <w:rFonts w:ascii="Times New Roman" w:hAnsi="Times New Roman" w:hint="eastAsia"/>
          <w:sz w:val="20"/>
          <w:szCs w:val="20"/>
        </w:rPr>
        <w:t>Note:</w:t>
      </w:r>
      <w:r w:rsidRPr="007F33B0">
        <w:rPr>
          <w:rFonts w:ascii="Times New Roman" w:hAnsi="Times New Roman"/>
          <w:sz w:val="20"/>
          <w:szCs w:val="20"/>
        </w:rPr>
        <w:t xml:space="preserve"> 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GnRHa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>=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gonadotropin-releasing hormone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agonist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>;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 xml:space="preserve"> </w:t>
      </w:r>
      <w:r w:rsidRPr="007F33B0">
        <w:rPr>
          <w:rFonts w:ascii="Times New Roman" w:hAnsi="Times New Roman"/>
          <w:bCs/>
          <w:sz w:val="20"/>
          <w:szCs w:val="20"/>
        </w:rPr>
        <w:t>HRT</w:t>
      </w:r>
      <w:r w:rsidRPr="007F33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F33B0">
        <w:rPr>
          <w:rFonts w:ascii="Times New Roman" w:hAnsi="Times New Roman" w:cs="Times New Roman" w:hint="eastAsia"/>
          <w:b/>
          <w:bCs/>
          <w:sz w:val="20"/>
          <w:szCs w:val="20"/>
        </w:rPr>
        <w:t>=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 xml:space="preserve"> hormone replacement treatment</w:t>
      </w:r>
      <w:r w:rsidRPr="007F33B0">
        <w:rPr>
          <w:rFonts w:ascii="Times New Roman" w:hAnsi="Times New Roman" w:hint="eastAsia"/>
          <w:sz w:val="20"/>
          <w:szCs w:val="20"/>
        </w:rPr>
        <w:t>;PCOS=</w:t>
      </w:r>
      <w:r w:rsidRPr="007F33B0">
        <w:rPr>
          <w:rFonts w:ascii="Times New Roman" w:hAnsi="Times New Roman"/>
          <w:sz w:val="20"/>
          <w:szCs w:val="20"/>
        </w:rPr>
        <w:t>polycystic ovary syndrome</w:t>
      </w:r>
      <w:r w:rsidRPr="007F33B0">
        <w:rPr>
          <w:rFonts w:ascii="Times New Roman" w:hAnsi="Times New Roman" w:hint="eastAsia"/>
          <w:sz w:val="20"/>
          <w:szCs w:val="20"/>
        </w:rPr>
        <w:t>; DOR= d</w:t>
      </w:r>
      <w:r w:rsidRPr="007F33B0">
        <w:rPr>
          <w:rFonts w:ascii="Times New Roman" w:hAnsi="Times New Roman"/>
          <w:sz w:val="20"/>
          <w:szCs w:val="20"/>
        </w:rPr>
        <w:t>ecreased ovarian reserve</w:t>
      </w:r>
    </w:p>
    <w:p w:rsidR="006E62A2" w:rsidRPr="007F33B0" w:rsidRDefault="006E62A2" w:rsidP="006E62A2">
      <w:pPr>
        <w:spacing w:line="480" w:lineRule="auto"/>
        <w:rPr>
          <w:rFonts w:ascii="Times New Roman" w:hAnsi="Times New Roman"/>
          <w:sz w:val="20"/>
          <w:szCs w:val="20"/>
        </w:rPr>
      </w:pPr>
    </w:p>
    <w:p w:rsidR="006E62A2" w:rsidRDefault="006E62A2" w:rsidP="006E62A2">
      <w:pPr>
        <w:spacing w:line="48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6E62A2" w:rsidRDefault="006E62A2" w:rsidP="006E62A2">
      <w:pPr>
        <w:spacing w:line="48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6E62A2" w:rsidRPr="007F33B0" w:rsidRDefault="006E62A2" w:rsidP="006E62A2">
      <w:pPr>
        <w:spacing w:line="480" w:lineRule="auto"/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7F33B0">
        <w:rPr>
          <w:rFonts w:ascii="Times New Roman" w:hAnsi="Times New Roman"/>
          <w:b/>
          <w:color w:val="000000"/>
          <w:sz w:val="20"/>
          <w:szCs w:val="20"/>
        </w:rPr>
        <w:lastRenderedPageBreak/>
        <w:t>Supplementary</w:t>
      </w:r>
      <w:r w:rsidRPr="007F33B0">
        <w:rPr>
          <w:rFonts w:ascii="Times New Roman" w:hAnsi="Times New Roman" w:hint="eastAsia"/>
          <w:b/>
          <w:color w:val="000000"/>
          <w:sz w:val="20"/>
          <w:szCs w:val="20"/>
        </w:rPr>
        <w:t xml:space="preserve"> </w:t>
      </w:r>
      <w:r w:rsidRPr="007F33B0">
        <w:rPr>
          <w:rFonts w:ascii="Times New Roman" w:hAnsi="Times New Roman"/>
          <w:b/>
          <w:bCs/>
          <w:sz w:val="20"/>
          <w:szCs w:val="20"/>
        </w:rPr>
        <w:t>Table 2.</w:t>
      </w:r>
      <w:r w:rsidRPr="007F33B0">
        <w:rPr>
          <w:rFonts w:ascii="Times New Roman" w:hAnsi="Times New Roman"/>
          <w:sz w:val="20"/>
          <w:szCs w:val="20"/>
        </w:rPr>
        <w:t xml:space="preserve"> Outcome of FET in GnRHa+ovulation vs GnRHa+HRT.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0"/>
        <w:gridCol w:w="2108"/>
        <w:gridCol w:w="2084"/>
        <w:gridCol w:w="2034"/>
      </w:tblGrid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Outcome 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>GnRHa+ovulation (n=37)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>GnRHa+HRT</w:t>
            </w:r>
          </w:p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(n=593)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7F33B0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Endometrial thickness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9.4±1.5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kern w:val="0"/>
                <w:sz w:val="20"/>
                <w:szCs w:val="20"/>
              </w:rPr>
              <w:t>9.3±1.5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0.215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Endometrial pattern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ind w:firstLine="288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Three line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30 (81.1)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567 (95.6)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ind w:firstLine="288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Non-three line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7 (18.9)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26 (4.4)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 xml:space="preserve">Biochemical pregnancy rate 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23 (62.2)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359 (60.5)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0.845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Implantation rate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23/69 (33.3)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366/1024 (35.7)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0.75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Clinical pregnancy rate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20 (54.1)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294 (49.6)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0.597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 xml:space="preserve">Ectopic pregnancy rate 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1 (2.7)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7 (1.2)</w:t>
            </w:r>
            <w:r w:rsidRPr="007F33B0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0.422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Early abortion rate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4/37 (10.8)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30/593 (5.1)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7F33B0">
              <w:rPr>
                <w:rFonts w:ascii="Times New Roman" w:hAnsi="Times New Roman"/>
                <w:sz w:val="20"/>
                <w:szCs w:val="20"/>
              </w:rPr>
              <w:t>0.133</w:t>
            </w:r>
          </w:p>
        </w:tc>
      </w:tr>
      <w:tr w:rsidR="006E62A2" w:rsidRPr="007F33B0" w:rsidTr="00D90863"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F33B0">
              <w:rPr>
                <w:rFonts w:ascii="Times New Roman" w:hAnsi="Times New Roman" w:cs="Times New Roman"/>
                <w:sz w:val="20"/>
                <w:szCs w:val="20"/>
              </w:rPr>
              <w:t xml:space="preserve">Early miscarriage </w:t>
            </w:r>
          </w:p>
        </w:tc>
        <w:tc>
          <w:tcPr>
            <w:tcW w:w="2130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33B0">
              <w:rPr>
                <w:rFonts w:ascii="Times New Roman" w:hAnsi="Times New Roman" w:cs="Times New Roman"/>
                <w:sz w:val="20"/>
                <w:szCs w:val="20"/>
              </w:rPr>
              <w:t>34/630 (5.4)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33B0">
              <w:rPr>
                <w:rFonts w:ascii="Times New Roman" w:hAnsi="Times New Roman" w:cs="Times New Roman"/>
                <w:sz w:val="20"/>
                <w:szCs w:val="20"/>
              </w:rPr>
              <w:t>60/1141 (5.3)</w:t>
            </w:r>
          </w:p>
        </w:tc>
        <w:tc>
          <w:tcPr>
            <w:tcW w:w="2131" w:type="dxa"/>
          </w:tcPr>
          <w:p w:rsidR="006E62A2" w:rsidRPr="007F33B0" w:rsidRDefault="006E62A2" w:rsidP="00D9086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33B0">
              <w:rPr>
                <w:rFonts w:ascii="Times New Roman" w:hAnsi="Times New Roman" w:cs="Times New Roman"/>
                <w:sz w:val="20"/>
                <w:szCs w:val="20"/>
              </w:rPr>
              <w:t>0.901</w:t>
            </w:r>
          </w:p>
        </w:tc>
      </w:tr>
    </w:tbl>
    <w:p w:rsidR="006E62A2" w:rsidRPr="007F33B0" w:rsidRDefault="006E62A2" w:rsidP="006E62A2">
      <w:pPr>
        <w:spacing w:line="480" w:lineRule="auto"/>
        <w:rPr>
          <w:rFonts w:ascii="Times New Roman" w:hAnsi="Times New Roman"/>
          <w:sz w:val="20"/>
          <w:szCs w:val="20"/>
        </w:rPr>
      </w:pPr>
      <w:r w:rsidRPr="007F33B0">
        <w:rPr>
          <w:rFonts w:ascii="Times New Roman" w:hAnsi="Times New Roman" w:hint="eastAsia"/>
          <w:sz w:val="20"/>
          <w:szCs w:val="20"/>
        </w:rPr>
        <w:t>Note:</w:t>
      </w:r>
      <w:r w:rsidRPr="007F33B0">
        <w:rPr>
          <w:rFonts w:ascii="Times New Roman" w:hAnsi="Times New Roman"/>
          <w:sz w:val="20"/>
          <w:szCs w:val="20"/>
        </w:rPr>
        <w:t xml:space="preserve"> 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FET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>=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frozen-thawed embryo transfer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>;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 xml:space="preserve"> GnRHa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>=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gonadotropin-releasing hormone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>agonist</w:t>
      </w:r>
      <w:r w:rsidRPr="007F33B0">
        <w:rPr>
          <w:rFonts w:ascii="Times New Roman" w:eastAsia="AdvOTaf232193" w:hAnsi="Times New Roman" w:cs="Times New Roman" w:hint="eastAsia"/>
          <w:color w:val="000000"/>
          <w:kern w:val="0"/>
          <w:sz w:val="20"/>
          <w:szCs w:val="20"/>
        </w:rPr>
        <w:t>;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 xml:space="preserve"> </w:t>
      </w:r>
      <w:r w:rsidRPr="007F33B0">
        <w:rPr>
          <w:rFonts w:ascii="Times New Roman" w:hAnsi="Times New Roman"/>
          <w:bCs/>
          <w:sz w:val="20"/>
          <w:szCs w:val="20"/>
        </w:rPr>
        <w:t>HRT</w:t>
      </w:r>
      <w:r w:rsidRPr="007F33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F33B0">
        <w:rPr>
          <w:rFonts w:ascii="Times New Roman" w:hAnsi="Times New Roman" w:cs="Times New Roman" w:hint="eastAsia"/>
          <w:b/>
          <w:bCs/>
          <w:sz w:val="20"/>
          <w:szCs w:val="20"/>
        </w:rPr>
        <w:t>=</w:t>
      </w:r>
      <w:r w:rsidRPr="007F33B0">
        <w:rPr>
          <w:rFonts w:ascii="Times New Roman" w:eastAsia="AdvOTaf232193" w:hAnsi="Times New Roman" w:cs="Times New Roman"/>
          <w:color w:val="000000"/>
          <w:kern w:val="0"/>
          <w:sz w:val="20"/>
          <w:szCs w:val="20"/>
        </w:rPr>
        <w:t xml:space="preserve"> hormone replacement treatment</w:t>
      </w:r>
      <w:r w:rsidRPr="007F33B0">
        <w:rPr>
          <w:rFonts w:ascii="Times New Roman" w:hAnsi="Times New Roman" w:hint="eastAsia"/>
          <w:sz w:val="20"/>
          <w:szCs w:val="20"/>
        </w:rPr>
        <w:t>;</w:t>
      </w:r>
      <w:r w:rsidRPr="007F33B0">
        <w:rPr>
          <w:rFonts w:ascii="Times New Roman" w:hAnsi="Times New Roman"/>
          <w:sz w:val="20"/>
          <w:szCs w:val="20"/>
        </w:rPr>
        <w:t xml:space="preserve"> </w:t>
      </w:r>
      <w:r w:rsidRPr="007F33B0">
        <w:rPr>
          <w:rFonts w:ascii="Times New Roman" w:hAnsi="Times New Roman"/>
          <w:sz w:val="20"/>
          <w:szCs w:val="20"/>
          <w:vertAlign w:val="superscript"/>
        </w:rPr>
        <w:t>a</w:t>
      </w:r>
      <w:r w:rsidRPr="007F33B0">
        <w:rPr>
          <w:rFonts w:ascii="Times New Roman" w:hAnsi="Times New Roman"/>
          <w:sz w:val="20"/>
          <w:szCs w:val="20"/>
        </w:rPr>
        <w:t>Included two heterotopic pregnancies.</w:t>
      </w:r>
    </w:p>
    <w:p w:rsidR="002F0F5E" w:rsidRDefault="006E62A2"/>
    <w:sectPr w:rsidR="002F0F5E" w:rsidSect="00DD7379">
      <w:footerReference w:type="default" r:id="rId4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af232193">
    <w:altName w:val="SimSun-ExtB"/>
    <w:panose1 w:val="00000000000000000000"/>
    <w:charset w:val="86"/>
    <w:family w:val="auto"/>
    <w:notTrueType/>
    <w:pitch w:val="default"/>
    <w:sig w:usb0="00000001" w:usb1="090E0000" w:usb2="00000010" w:usb3="00000000" w:csb0="000C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55DA" w:rsidRDefault="006E62A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6E62A2">
      <w:rPr>
        <w:noProof/>
        <w:lang w:val="zh-CN"/>
      </w:rPr>
      <w:t>1</w:t>
    </w:r>
    <w:r>
      <w:fldChar w:fldCharType="end"/>
    </w:r>
  </w:p>
  <w:p w:rsidR="000055DA" w:rsidRDefault="006E62A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2A2"/>
    <w:rsid w:val="0021090F"/>
    <w:rsid w:val="006E62A2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4C6983-AC5D-4030-AA1C-BE0C57250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2A2"/>
    <w:pPr>
      <w:widowControl w:val="0"/>
      <w:spacing w:after="0" w:line="240" w:lineRule="auto"/>
      <w:jc w:val="both"/>
    </w:pPr>
    <w:rPr>
      <w:rFonts w:ascii="Calibri" w:eastAsia="SimSun" w:hAnsi="Calibri" w:cs="Arial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E62A2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6E62A2"/>
    <w:rPr>
      <w:rFonts w:ascii="Calibri" w:eastAsia="SimSun" w:hAnsi="Calibri" w:cs="Times New Roman"/>
      <w:sz w:val="18"/>
      <w:szCs w:val="18"/>
      <w:lang w:val="x-none" w:eastAsia="x-none"/>
    </w:rPr>
  </w:style>
  <w:style w:type="character" w:styleId="LineNumber">
    <w:name w:val="line number"/>
    <w:basedOn w:val="DefaultParagraphFont"/>
    <w:uiPriority w:val="99"/>
    <w:semiHidden/>
    <w:unhideWhenUsed/>
    <w:rsid w:val="006E62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2021-09-06T18:11:00Z</dcterms:created>
  <dcterms:modified xsi:type="dcterms:W3CDTF">2021-09-06T18:12:00Z</dcterms:modified>
</cp:coreProperties>
</file>