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947F1A" w14:textId="3330C0A0" w:rsidR="00CB5AC5" w:rsidRPr="006C5B99" w:rsidRDefault="00CB5AC5" w:rsidP="006C5B99">
      <w:pPr>
        <w:pStyle w:val="Title"/>
        <w:jc w:val="center"/>
        <w:rPr>
          <w:sz w:val="52"/>
          <w:szCs w:val="52"/>
          <w:lang w:val="en-US"/>
        </w:rPr>
      </w:pPr>
      <w:r w:rsidRPr="006C5B99">
        <w:rPr>
          <w:sz w:val="52"/>
          <w:szCs w:val="52"/>
          <w:lang w:val="en-US"/>
        </w:rPr>
        <w:t>Supplemental material</w:t>
      </w:r>
    </w:p>
    <w:p w14:paraId="3380D2A2" w14:textId="052576BA" w:rsidR="00F85D1F" w:rsidRPr="00F85D1F" w:rsidRDefault="00F85D1F" w:rsidP="00F85D1F">
      <w:pPr>
        <w:pStyle w:val="Subtitle"/>
        <w:jc w:val="center"/>
        <w:rPr>
          <w:rFonts w:eastAsiaTheme="minorHAnsi"/>
          <w:sz w:val="20"/>
          <w:szCs w:val="20"/>
          <w:lang w:val="en-US"/>
        </w:rPr>
      </w:pPr>
      <w:r w:rsidRPr="00F85D1F">
        <w:rPr>
          <w:sz w:val="20"/>
          <w:szCs w:val="20"/>
          <w:lang w:val="en-US"/>
        </w:rPr>
        <w:t xml:space="preserve">Supporting the manuscript </w:t>
      </w:r>
      <w:r w:rsidRPr="00F85D1F">
        <w:rPr>
          <w:rFonts w:eastAsiaTheme="minorHAnsi"/>
          <w:sz w:val="20"/>
          <w:szCs w:val="20"/>
          <w:lang w:val="en-US"/>
        </w:rPr>
        <w:t>A Cross-Sectional Analysis of Neuro-Oscillatory Correlates of Phantom Limb Pain and Amputation: A Resting State High-Density EEG Study</w:t>
      </w:r>
    </w:p>
    <w:sdt>
      <w:sdtPr>
        <w:id w:val="-517545139"/>
        <w:docPartObj>
          <w:docPartGallery w:val="Table of Contents"/>
          <w:docPartUnique/>
        </w:docPartObj>
      </w:sdtPr>
      <w:sdtEndPr>
        <w:rPr>
          <w:rFonts w:ascii="Times New Roman" w:eastAsia="Times New Roman" w:hAnsi="Times New Roman" w:cs="Times New Roman"/>
          <w:noProof/>
          <w:color w:val="auto"/>
          <w:sz w:val="24"/>
          <w:szCs w:val="24"/>
          <w:lang w:val="en-SE" w:eastAsia="en-GB"/>
        </w:rPr>
      </w:sdtEndPr>
      <w:sdtContent>
        <w:p w14:paraId="49FD27DC" w14:textId="0953D80B" w:rsidR="00F85D1F" w:rsidRDefault="00F85D1F">
          <w:pPr>
            <w:pStyle w:val="TOCHeading"/>
          </w:pPr>
          <w:r>
            <w:t>Table of Contents</w:t>
          </w:r>
        </w:p>
        <w:p w14:paraId="5F274855" w14:textId="3D8433BB" w:rsidR="007D3831" w:rsidRDefault="00F85D1F">
          <w:pPr>
            <w:pStyle w:val="TOC1"/>
            <w:tabs>
              <w:tab w:val="right" w:leader="dot" w:pos="9016"/>
            </w:tabs>
            <w:rPr>
              <w:rFonts w:eastAsiaTheme="minorEastAsia"/>
              <w:b w:val="0"/>
              <w:bCs w:val="0"/>
              <w:i w:val="0"/>
              <w:iCs w:val="0"/>
              <w:noProof/>
              <w:kern w:val="2"/>
              <w:lang w:eastAsia="en-GB"/>
              <w14:ligatures w14:val="standardContextual"/>
            </w:rPr>
          </w:pPr>
          <w:r>
            <w:rPr>
              <w:b w:val="0"/>
              <w:bCs w:val="0"/>
            </w:rPr>
            <w:fldChar w:fldCharType="begin"/>
          </w:r>
          <w:r>
            <w:instrText xml:space="preserve"> TOC \o "1-3" \h \z \u </w:instrText>
          </w:r>
          <w:r>
            <w:rPr>
              <w:b w:val="0"/>
              <w:bCs w:val="0"/>
            </w:rPr>
            <w:fldChar w:fldCharType="separate"/>
          </w:r>
          <w:hyperlink w:anchor="_Toc216886391" w:history="1">
            <w:r w:rsidR="007D3831" w:rsidRPr="003B34D5">
              <w:rPr>
                <w:rStyle w:val="Hyperlink"/>
                <w:noProof/>
                <w:lang w:val="en-US"/>
              </w:rPr>
              <w:t>Model fit and diagnostics</w:t>
            </w:r>
            <w:r w:rsidR="007D3831">
              <w:rPr>
                <w:noProof/>
                <w:webHidden/>
              </w:rPr>
              <w:tab/>
            </w:r>
            <w:r w:rsidR="007D3831">
              <w:rPr>
                <w:noProof/>
                <w:webHidden/>
              </w:rPr>
              <w:fldChar w:fldCharType="begin"/>
            </w:r>
            <w:r w:rsidR="007D3831">
              <w:rPr>
                <w:noProof/>
                <w:webHidden/>
              </w:rPr>
              <w:instrText xml:space="preserve"> PAGEREF _Toc216886391 \h </w:instrText>
            </w:r>
            <w:r w:rsidR="007D3831">
              <w:rPr>
                <w:noProof/>
                <w:webHidden/>
              </w:rPr>
            </w:r>
            <w:r w:rsidR="007D3831">
              <w:rPr>
                <w:noProof/>
                <w:webHidden/>
              </w:rPr>
              <w:fldChar w:fldCharType="separate"/>
            </w:r>
            <w:r w:rsidR="007D3831">
              <w:rPr>
                <w:noProof/>
                <w:webHidden/>
              </w:rPr>
              <w:t>1</w:t>
            </w:r>
            <w:r w:rsidR="007D3831">
              <w:rPr>
                <w:noProof/>
                <w:webHidden/>
              </w:rPr>
              <w:fldChar w:fldCharType="end"/>
            </w:r>
          </w:hyperlink>
        </w:p>
        <w:p w14:paraId="010EC192" w14:textId="086AD07C" w:rsidR="007D3831" w:rsidRDefault="007D3831">
          <w:pPr>
            <w:pStyle w:val="TOC2"/>
            <w:tabs>
              <w:tab w:val="right" w:leader="dot" w:pos="9016"/>
            </w:tabs>
            <w:rPr>
              <w:rFonts w:eastAsiaTheme="minorEastAsia"/>
              <w:b w:val="0"/>
              <w:bCs w:val="0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6886392" w:history="1">
            <w:r w:rsidRPr="003B34D5">
              <w:rPr>
                <w:rStyle w:val="Hyperlink"/>
                <w:rFonts w:eastAsia="Times New Roman"/>
                <w:noProof/>
                <w:lang w:val="en-US"/>
              </w:rPr>
              <w:t>Research Question 1: Theta Power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_Toc216886392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E24A59A" w14:textId="184B15B6" w:rsidR="007D3831" w:rsidRDefault="007D3831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6886393" w:history="1">
            <w:r w:rsidRPr="003B34D5">
              <w:rPr>
                <w:rStyle w:val="Hyperlink"/>
                <w:noProof/>
                <w:lang w:val="en-US"/>
              </w:rPr>
              <w:t>Linear mixed-effects model of theta power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_Toc216886393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F1DB30" w14:textId="0BEFD14C" w:rsidR="007D3831" w:rsidRDefault="007D3831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6886394" w:history="1">
            <w:r w:rsidRPr="003B34D5">
              <w:rPr>
                <w:rStyle w:val="Hyperlink"/>
                <w:noProof/>
                <w:lang w:val="en-US"/>
              </w:rPr>
              <w:t>Subject-level linear model of theta power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_Toc216886394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F72A867" w14:textId="6A37027D" w:rsidR="007D3831" w:rsidRDefault="007D3831">
          <w:pPr>
            <w:pStyle w:val="TOC2"/>
            <w:tabs>
              <w:tab w:val="right" w:leader="dot" w:pos="9016"/>
            </w:tabs>
            <w:rPr>
              <w:rFonts w:eastAsiaTheme="minorEastAsia"/>
              <w:b w:val="0"/>
              <w:bCs w:val="0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6886395" w:history="1">
            <w:r w:rsidRPr="003B34D5">
              <w:rPr>
                <w:rStyle w:val="Hyperlink"/>
                <w:rFonts w:eastAsia="Times New Roman"/>
                <w:noProof/>
                <w:lang w:val="en-US"/>
              </w:rPr>
              <w:t xml:space="preserve">Research Question </w:t>
            </w:r>
            <w:r w:rsidRPr="003B34D5">
              <w:rPr>
                <w:rStyle w:val="Hyperlink"/>
                <w:noProof/>
                <w:lang w:val="en-US"/>
              </w:rPr>
              <w:t>2</w:t>
            </w:r>
            <w:r w:rsidRPr="003B34D5">
              <w:rPr>
                <w:rStyle w:val="Hyperlink"/>
                <w:rFonts w:eastAsia="Times New Roman"/>
                <w:noProof/>
                <w:lang w:val="en-US"/>
              </w:rPr>
              <w:t>:</w:t>
            </w:r>
            <w:r w:rsidRPr="003B34D5">
              <w:rPr>
                <w:rStyle w:val="Hyperlink"/>
                <w:noProof/>
                <w:lang w:val="en-US"/>
              </w:rPr>
              <w:t xml:space="preserve"> Peak Alpha Frequency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_Toc216886395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B33F1F" w14:textId="1CA1BCCD" w:rsidR="007D3831" w:rsidRDefault="007D3831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6886396" w:history="1">
            <w:r w:rsidRPr="003B34D5">
              <w:rPr>
                <w:rStyle w:val="Hyperlink"/>
                <w:noProof/>
                <w:lang w:val="en-US"/>
              </w:rPr>
              <w:t>Linear mixed-effects model of PAF-Max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_Toc216886396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38981F2" w14:textId="6A76D5FC" w:rsidR="007D3831" w:rsidRDefault="007D3831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6886397" w:history="1">
            <w:r w:rsidRPr="003B34D5">
              <w:rPr>
                <w:rStyle w:val="Hyperlink"/>
                <w:noProof/>
                <w:lang w:val="en-US"/>
              </w:rPr>
              <w:t>Subject-level linear model of PAF-Max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_Toc216886397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D4AFA28" w14:textId="4271C034" w:rsidR="007D3831" w:rsidRDefault="007D3831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6886398" w:history="1">
            <w:r w:rsidRPr="003B34D5">
              <w:rPr>
                <w:rStyle w:val="Hyperlink"/>
                <w:noProof/>
                <w:lang w:val="en-US"/>
              </w:rPr>
              <w:t>Linear mixed-effects model of PAF-CoG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_Toc216886398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6B90D2" w14:textId="5720600F" w:rsidR="007D3831" w:rsidRDefault="007D3831">
          <w:pPr>
            <w:pStyle w:val="TOC3"/>
            <w:tabs>
              <w:tab w:val="right" w:leader="dot" w:pos="9016"/>
            </w:tabs>
            <w:rPr>
              <w:rFonts w:eastAsiaTheme="minorEastAsia"/>
              <w:noProof/>
              <w:kern w:val="2"/>
              <w:sz w:val="24"/>
              <w:szCs w:val="24"/>
              <w:lang w:eastAsia="en-GB"/>
              <w14:ligatures w14:val="standardContextual"/>
            </w:rPr>
          </w:pPr>
          <w:hyperlink w:anchor="_Toc216886399" w:history="1">
            <w:r w:rsidRPr="003B34D5">
              <w:rPr>
                <w:rStyle w:val="Hyperlink"/>
                <w:noProof/>
                <w:lang w:val="en-US"/>
              </w:rPr>
              <w:t>Subject-level linear model of PAF-CoG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_Toc216886399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9F9C49" w14:textId="0B362FBD" w:rsidR="007D3831" w:rsidRDefault="007D3831">
          <w:pPr>
            <w:pStyle w:val="TOC1"/>
            <w:tabs>
              <w:tab w:val="right" w:leader="dot" w:pos="9016"/>
            </w:tabs>
            <w:rPr>
              <w:rFonts w:eastAsiaTheme="minorEastAsia"/>
              <w:b w:val="0"/>
              <w:bCs w:val="0"/>
              <w:i w:val="0"/>
              <w:iCs w:val="0"/>
              <w:noProof/>
              <w:kern w:val="2"/>
              <w:lang w:eastAsia="en-GB"/>
              <w14:ligatures w14:val="standardContextual"/>
            </w:rPr>
          </w:pPr>
          <w:hyperlink w:anchor="_Toc216886400" w:history="1">
            <w:r w:rsidRPr="003B34D5">
              <w:rPr>
                <w:rStyle w:val="Hyperlink"/>
                <w:rFonts w:eastAsia="Times New Roman"/>
                <w:noProof/>
                <w:lang w:val="en-US"/>
              </w:rPr>
              <w:t>Effect size estimation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_Toc216886400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EF0B00" w14:textId="6B3B67BF" w:rsidR="00F85D1F" w:rsidRDefault="00F85D1F">
          <w:r>
            <w:rPr>
              <w:b/>
              <w:bCs/>
              <w:noProof/>
            </w:rPr>
            <w:fldChar w:fldCharType="end"/>
          </w:r>
        </w:p>
      </w:sdtContent>
    </w:sdt>
    <w:p w14:paraId="66701328" w14:textId="6918FF59" w:rsidR="006C5B99" w:rsidRDefault="006C5B99" w:rsidP="006C5B99">
      <w:pPr>
        <w:pStyle w:val="Heading1"/>
        <w:rPr>
          <w:rFonts w:eastAsia="Times New Roman"/>
          <w:lang w:val="en-US"/>
        </w:rPr>
      </w:pPr>
      <w:bookmarkStart w:id="0" w:name="_Toc216886391"/>
      <w:r w:rsidRPr="003B328D">
        <w:rPr>
          <w:lang w:val="en-US"/>
        </w:rPr>
        <w:t>Model fit and diagnostics</w:t>
      </w:r>
      <w:bookmarkEnd w:id="0"/>
    </w:p>
    <w:p w14:paraId="3A7A09D4" w14:textId="459B0087" w:rsidR="00CB5AC5" w:rsidRPr="003B328D" w:rsidRDefault="00CB5AC5" w:rsidP="00CB5AC5">
      <w:pPr>
        <w:pStyle w:val="Heading2"/>
        <w:rPr>
          <w:rFonts w:eastAsia="Times New Roman"/>
          <w:lang w:val="en-US"/>
        </w:rPr>
      </w:pPr>
      <w:bookmarkStart w:id="1" w:name="_Toc216886392"/>
      <w:r w:rsidRPr="003B328D">
        <w:rPr>
          <w:rFonts w:eastAsia="Times New Roman"/>
          <w:lang w:val="en-US"/>
        </w:rPr>
        <w:t>Research Question 1: Theta Power</w:t>
      </w:r>
      <w:bookmarkEnd w:id="1"/>
    </w:p>
    <w:p w14:paraId="4AC88072" w14:textId="5237E6B8" w:rsidR="00CB5AC5" w:rsidRDefault="0069215B" w:rsidP="00CB5AC5">
      <w:pPr>
        <w:pStyle w:val="Heading3"/>
        <w:rPr>
          <w:lang w:val="en-US"/>
        </w:rPr>
      </w:pPr>
      <w:bookmarkStart w:id="2" w:name="_Toc216886393"/>
      <w:r>
        <w:rPr>
          <w:lang w:val="en-US"/>
        </w:rPr>
        <w:t xml:space="preserve">Linear mixed-effects model </w:t>
      </w:r>
      <w:r w:rsidR="00F05768">
        <w:rPr>
          <w:lang w:val="en-US"/>
        </w:rPr>
        <w:t>of theta power</w:t>
      </w:r>
      <w:bookmarkEnd w:id="2"/>
    </w:p>
    <w:p w14:paraId="49EDD691" w14:textId="7085021E" w:rsidR="00D060F2" w:rsidRDefault="009C2A1E" w:rsidP="00D060F2">
      <w:pPr>
        <w:keepNext/>
      </w:pPr>
      <w:r>
        <w:rPr>
          <w:noProof/>
        </w:rPr>
        <w:drawing>
          <wp:inline distT="0" distB="0" distL="0" distR="0" wp14:anchorId="39AF21E0" wp14:editId="38315300">
            <wp:extent cx="5731510" cy="3574415"/>
            <wp:effectExtent l="0" t="0" r="0" b="0"/>
            <wp:docPr id="518738831" name="Picture 3" descr="A collage of graph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8738831" name="Picture 3" descr="A collage of graphs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74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636777" w14:textId="5A6D7D08" w:rsidR="00F85D1F" w:rsidRPr="00F85D1F" w:rsidRDefault="00D060F2" w:rsidP="00E629DA">
      <w:pPr>
        <w:pStyle w:val="Caption"/>
      </w:pPr>
      <w:r>
        <w:t xml:space="preserve">Figure S </w:t>
      </w:r>
      <w:r>
        <w:fldChar w:fldCharType="begin"/>
      </w:r>
      <w:r>
        <w:instrText xml:space="preserve"> SEQ Figure_S \* ARABIC </w:instrText>
      </w:r>
      <w:r>
        <w:fldChar w:fldCharType="separate"/>
      </w:r>
      <w:r>
        <w:rPr>
          <w:noProof/>
        </w:rPr>
        <w:t>1</w:t>
      </w:r>
      <w:r>
        <w:fldChar w:fldCharType="end"/>
      </w:r>
      <w:r>
        <w:t xml:space="preserve"> </w:t>
      </w:r>
      <w:r w:rsidR="00932587" w:rsidRPr="00932587">
        <w:t>Diagnostics for the linear mixed-effects model of whole-brain theta power.</w:t>
      </w:r>
      <w:r w:rsidR="00932587">
        <w:t xml:space="preserve"> </w:t>
      </w:r>
      <w:r w:rsidR="00932587" w:rsidRPr="00932587">
        <w:t>(a) Histogram of log-transformed average theta power per trial.</w:t>
      </w:r>
      <w:r w:rsidR="00932587">
        <w:t xml:space="preserve"> </w:t>
      </w:r>
      <w:r w:rsidR="00932587" w:rsidRPr="00932587">
        <w:t>(b) Distribution of the estimated PLP fixed-effect coefficient obtained from 5,000 subject-level bootstrap resamples.</w:t>
      </w:r>
      <w:r w:rsidR="00932587">
        <w:t xml:space="preserve"> </w:t>
      </w:r>
      <w:r w:rsidR="00932587" w:rsidRPr="00932587">
        <w:t>(c) Distribution of the estimated Amputation fixed-effect coefficient obtained from 5,000 subject-level bootstrap resamples.</w:t>
      </w:r>
      <w:r w:rsidR="00932587">
        <w:t xml:space="preserve"> </w:t>
      </w:r>
      <w:r w:rsidR="00932587" w:rsidRPr="00932587">
        <w:t xml:space="preserve">(d) Residuals plotted against fitted values from the linear </w:t>
      </w:r>
      <w:r w:rsidR="00932587" w:rsidRPr="00932587">
        <w:lastRenderedPageBreak/>
        <w:t>mixed-effects model.</w:t>
      </w:r>
      <w:r w:rsidR="00932587">
        <w:t xml:space="preserve"> </w:t>
      </w:r>
      <w:r w:rsidR="00932587" w:rsidRPr="00932587">
        <w:t>(e) Quantile–quantile (Q–Q) plot of model residuals.</w:t>
      </w:r>
      <w:r w:rsidR="00932587">
        <w:t xml:space="preserve"> </w:t>
      </w:r>
      <w:r w:rsidR="00932587" w:rsidRPr="00932587">
        <w:t>(f) Histogram of model residuals.</w:t>
      </w:r>
      <w:r w:rsidR="00932587">
        <w:t xml:space="preserve"> </w:t>
      </w:r>
      <w:r w:rsidR="00932587" w:rsidRPr="00932587">
        <w:t>(g) Pairwise correlation matrix of fixed-effect predictors included in the model.</w:t>
      </w:r>
      <w:r w:rsidR="00932587">
        <w:t xml:space="preserve"> </w:t>
      </w:r>
      <w:r w:rsidR="00932587" w:rsidRPr="00932587">
        <w:t>(h) Q–Q plot of subject-specific random intercepts.</w:t>
      </w:r>
      <w:r w:rsidR="00932587">
        <w:t xml:space="preserve"> </w:t>
      </w:r>
      <w:r w:rsidR="00932587" w:rsidRPr="00932587">
        <w:t>(i) Histogram of subject-specific random intercepts.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8"/>
        <w:gridCol w:w="1249"/>
      </w:tblGrid>
      <w:tr w:rsidR="00E73264" w14:paraId="4D33B458" w14:textId="77777777" w:rsidTr="00E73264">
        <w:tc>
          <w:tcPr>
            <w:tcW w:w="2248" w:type="dxa"/>
          </w:tcPr>
          <w:p w14:paraId="70E0BD81" w14:textId="5B8CC359" w:rsidR="00E73264" w:rsidRPr="00E73264" w:rsidRDefault="00E73264" w:rsidP="00E73264">
            <w:pPr>
              <w:jc w:val="center"/>
              <w:rPr>
                <w:b/>
                <w:bCs/>
              </w:rPr>
            </w:pPr>
            <w:r w:rsidRPr="00E73264">
              <w:rPr>
                <w:b/>
                <w:bCs/>
              </w:rPr>
              <w:t>Model fit statistic</w:t>
            </w:r>
          </w:p>
        </w:tc>
        <w:tc>
          <w:tcPr>
            <w:tcW w:w="1249" w:type="dxa"/>
          </w:tcPr>
          <w:p w14:paraId="78D2E1F7" w14:textId="2E0BD9A2" w:rsidR="00E73264" w:rsidRPr="00E73264" w:rsidRDefault="00E73264" w:rsidP="00E73264">
            <w:pPr>
              <w:jc w:val="center"/>
              <w:rPr>
                <w:b/>
                <w:bCs/>
              </w:rPr>
            </w:pPr>
            <w:r w:rsidRPr="00E73264">
              <w:rPr>
                <w:b/>
                <w:bCs/>
              </w:rPr>
              <w:t>Value</w:t>
            </w:r>
          </w:p>
        </w:tc>
      </w:tr>
      <w:tr w:rsidR="00E73264" w14:paraId="44198018" w14:textId="77777777" w:rsidTr="00E73264">
        <w:tc>
          <w:tcPr>
            <w:tcW w:w="2248" w:type="dxa"/>
          </w:tcPr>
          <w:p w14:paraId="539A784C" w14:textId="7CA41350" w:rsidR="00E73264" w:rsidRDefault="00920244" w:rsidP="00E73264">
            <w:pPr>
              <w:jc w:val="center"/>
            </w:pPr>
            <w:r>
              <w:t xml:space="preserve">Marginal </w:t>
            </w:r>
            <w:r w:rsidR="00E73264" w:rsidRPr="0006572B">
              <w:t>R</w:t>
            </w:r>
            <w:r w:rsidR="00E73264" w:rsidRPr="0006572B">
              <w:rPr>
                <w:vertAlign w:val="superscript"/>
              </w:rPr>
              <w:t>2</w:t>
            </w:r>
          </w:p>
        </w:tc>
        <w:tc>
          <w:tcPr>
            <w:tcW w:w="1249" w:type="dxa"/>
          </w:tcPr>
          <w:p w14:paraId="6805DDC3" w14:textId="2ADCC23C" w:rsidR="00E73264" w:rsidRDefault="00E73264" w:rsidP="00E73264">
            <w:pPr>
              <w:jc w:val="center"/>
            </w:pPr>
            <w:r w:rsidRPr="0006572B">
              <w:t>0.271</w:t>
            </w:r>
          </w:p>
        </w:tc>
      </w:tr>
      <w:tr w:rsidR="00E73264" w14:paraId="7596388A" w14:textId="77777777" w:rsidTr="00E73264">
        <w:tc>
          <w:tcPr>
            <w:tcW w:w="2248" w:type="dxa"/>
          </w:tcPr>
          <w:p w14:paraId="2153F508" w14:textId="0C178EA8" w:rsidR="00E73264" w:rsidRDefault="00920244" w:rsidP="00E73264">
            <w:pPr>
              <w:jc w:val="center"/>
            </w:pPr>
            <w:r>
              <w:t xml:space="preserve">Conditional </w:t>
            </w:r>
            <w:r w:rsidR="00E73264" w:rsidRPr="0006572B">
              <w:t>R</w:t>
            </w:r>
            <w:r w:rsidR="00E73264" w:rsidRPr="0006572B">
              <w:rPr>
                <w:vertAlign w:val="superscript"/>
              </w:rPr>
              <w:t>2</w:t>
            </w:r>
          </w:p>
        </w:tc>
        <w:tc>
          <w:tcPr>
            <w:tcW w:w="1249" w:type="dxa"/>
          </w:tcPr>
          <w:p w14:paraId="2CEC055B" w14:textId="089A0F3C" w:rsidR="00E73264" w:rsidRDefault="00E73264" w:rsidP="00E73264">
            <w:pPr>
              <w:jc w:val="center"/>
            </w:pPr>
            <w:r w:rsidRPr="0006572B">
              <w:t>0.883</w:t>
            </w:r>
          </w:p>
        </w:tc>
      </w:tr>
      <w:tr w:rsidR="00E73264" w14:paraId="3181F76A" w14:textId="77777777" w:rsidTr="00E73264">
        <w:tc>
          <w:tcPr>
            <w:tcW w:w="2248" w:type="dxa"/>
          </w:tcPr>
          <w:p w14:paraId="62414B18" w14:textId="2A46CF0A" w:rsidR="00E73264" w:rsidRDefault="00E73264" w:rsidP="00E73264">
            <w:pPr>
              <w:jc w:val="center"/>
            </w:pPr>
            <w:r w:rsidRPr="0006572B">
              <w:t>VIF Age</w:t>
            </w:r>
          </w:p>
        </w:tc>
        <w:tc>
          <w:tcPr>
            <w:tcW w:w="1249" w:type="dxa"/>
          </w:tcPr>
          <w:p w14:paraId="7DEABDD8" w14:textId="7F9547D3" w:rsidR="00E73264" w:rsidRDefault="00E73264" w:rsidP="00E73264">
            <w:pPr>
              <w:jc w:val="center"/>
            </w:pPr>
            <w:r w:rsidRPr="0006572B">
              <w:t>1.9423</w:t>
            </w:r>
          </w:p>
        </w:tc>
      </w:tr>
      <w:tr w:rsidR="00E73264" w14:paraId="7AC9C5F5" w14:textId="77777777" w:rsidTr="00E73264">
        <w:tc>
          <w:tcPr>
            <w:tcW w:w="2248" w:type="dxa"/>
          </w:tcPr>
          <w:p w14:paraId="61FD5F38" w14:textId="41711C7B" w:rsidR="00E73264" w:rsidRDefault="00E73264" w:rsidP="00E73264">
            <w:pPr>
              <w:jc w:val="center"/>
            </w:pPr>
            <w:r w:rsidRPr="0006572B">
              <w:t>VIF Amp</w:t>
            </w:r>
          </w:p>
        </w:tc>
        <w:tc>
          <w:tcPr>
            <w:tcW w:w="1249" w:type="dxa"/>
          </w:tcPr>
          <w:p w14:paraId="503ACCA5" w14:textId="56632E37" w:rsidR="00E73264" w:rsidRDefault="00E73264" w:rsidP="00E73264">
            <w:pPr>
              <w:jc w:val="center"/>
            </w:pPr>
            <w:r w:rsidRPr="0006572B">
              <w:t>3.4419</w:t>
            </w:r>
          </w:p>
        </w:tc>
      </w:tr>
      <w:tr w:rsidR="00E73264" w14:paraId="5F86A686" w14:textId="77777777" w:rsidTr="00E73264">
        <w:tc>
          <w:tcPr>
            <w:tcW w:w="2248" w:type="dxa"/>
          </w:tcPr>
          <w:p w14:paraId="29BC370D" w14:textId="0730B886" w:rsidR="00E73264" w:rsidRDefault="00E73264" w:rsidP="00E73264">
            <w:pPr>
              <w:jc w:val="center"/>
            </w:pPr>
            <w:r w:rsidRPr="0006572B">
              <w:t>VIF Pain</w:t>
            </w:r>
          </w:p>
        </w:tc>
        <w:tc>
          <w:tcPr>
            <w:tcW w:w="1249" w:type="dxa"/>
          </w:tcPr>
          <w:p w14:paraId="3498A88B" w14:textId="1FD8F9CD" w:rsidR="00E73264" w:rsidRDefault="00E73264" w:rsidP="00E73264">
            <w:pPr>
              <w:jc w:val="center"/>
            </w:pPr>
            <w:r w:rsidRPr="0006572B">
              <w:t>2.1707</w:t>
            </w:r>
          </w:p>
        </w:tc>
      </w:tr>
      <w:tr w:rsidR="00E73264" w14:paraId="15B36844" w14:textId="77777777" w:rsidTr="00E73264">
        <w:tc>
          <w:tcPr>
            <w:tcW w:w="2248" w:type="dxa"/>
          </w:tcPr>
          <w:p w14:paraId="7A8593BD" w14:textId="7668496B" w:rsidR="00E73264" w:rsidRPr="0006572B" w:rsidRDefault="00E73264" w:rsidP="00E73264">
            <w:pPr>
              <w:jc w:val="center"/>
            </w:pPr>
            <w:r w:rsidRPr="0006572B">
              <w:t>VIF Sex</w:t>
            </w:r>
          </w:p>
        </w:tc>
        <w:tc>
          <w:tcPr>
            <w:tcW w:w="1249" w:type="dxa"/>
          </w:tcPr>
          <w:p w14:paraId="7181A568" w14:textId="299821F7" w:rsidR="00E73264" w:rsidRPr="0006572B" w:rsidRDefault="00E73264" w:rsidP="00E73264">
            <w:pPr>
              <w:jc w:val="center"/>
            </w:pPr>
            <w:r w:rsidRPr="0006572B">
              <w:t>1.1105</w:t>
            </w:r>
          </w:p>
        </w:tc>
      </w:tr>
    </w:tbl>
    <w:p w14:paraId="652021D6" w14:textId="6DFD797D" w:rsidR="0006572B" w:rsidRPr="0006572B" w:rsidRDefault="0006572B" w:rsidP="00E73264">
      <w:pPr>
        <w:jc w:val="center"/>
      </w:pPr>
    </w:p>
    <w:p w14:paraId="0E1882D0" w14:textId="17D50096" w:rsidR="00920244" w:rsidRPr="0069215B" w:rsidRDefault="00920244" w:rsidP="00E73264">
      <w:pPr>
        <w:rPr>
          <w:rFonts w:asciiTheme="minorHAnsi" w:hAnsiTheme="minorHAnsi"/>
        </w:rPr>
      </w:pPr>
      <w:r w:rsidRPr="00E73264">
        <w:rPr>
          <w:rFonts w:ascii="Aptos" w:hAnsi="Aptos"/>
        </w:rPr>
        <w:t>Model fit was quantified using marginal and conditional R² values. The marginal R² reflects the variance explained by the fixed effects alone, while the conditional R² reflects the variance explained by both fixed and random effects. The difference between these values indicates that a substantial portion of variance was attributable to between-subject differences captured by the random intercepts.</w:t>
      </w:r>
    </w:p>
    <w:p w14:paraId="3BFBEA90" w14:textId="0F48980B" w:rsidR="00E73264" w:rsidRPr="00E73264" w:rsidRDefault="00E73264" w:rsidP="00E73264">
      <w:pPr>
        <w:rPr>
          <w:rFonts w:ascii="Aptos" w:hAnsi="Aptos"/>
          <w:b/>
          <w:bCs/>
        </w:rPr>
      </w:pPr>
      <w:r w:rsidRPr="00E73264">
        <w:rPr>
          <w:rFonts w:ascii="Aptos" w:hAnsi="Aptos"/>
        </w:rPr>
        <w:br/>
        <w:t xml:space="preserve">The histogram of the dependent variable </w:t>
      </w:r>
      <w:r>
        <w:rPr>
          <w:rFonts w:ascii="Aptos" w:hAnsi="Aptos"/>
        </w:rPr>
        <w:t xml:space="preserve">(Fig S1 a) </w:t>
      </w:r>
      <w:r w:rsidRPr="00E73264">
        <w:rPr>
          <w:rFonts w:ascii="Aptos" w:hAnsi="Aptos"/>
        </w:rPr>
        <w:t xml:space="preserve">indicate a </w:t>
      </w:r>
      <w:r w:rsidR="00920244">
        <w:rPr>
          <w:rFonts w:ascii="Aptos" w:hAnsi="Aptos"/>
        </w:rPr>
        <w:t>somewhat skewed</w:t>
      </w:r>
      <w:r w:rsidRPr="00E73264">
        <w:rPr>
          <w:rFonts w:ascii="Aptos" w:hAnsi="Aptos"/>
        </w:rPr>
        <w:t xml:space="preserve"> distribution. No extreme values suggesting gross violations of distributional assumptions </w:t>
      </w:r>
      <w:r w:rsidR="00920244">
        <w:rPr>
          <w:rFonts w:ascii="Aptos" w:hAnsi="Aptos"/>
        </w:rPr>
        <w:t>a</w:t>
      </w:r>
      <w:r w:rsidRPr="00E73264">
        <w:rPr>
          <w:rFonts w:ascii="Aptos" w:hAnsi="Aptos"/>
        </w:rPr>
        <w:t>re observed.</w:t>
      </w:r>
    </w:p>
    <w:p w14:paraId="3E47B7C5" w14:textId="491D326E" w:rsidR="00E73264" w:rsidRDefault="00E73264" w:rsidP="00E73264">
      <w:pPr>
        <w:rPr>
          <w:rFonts w:ascii="Aptos" w:hAnsi="Aptos"/>
        </w:rPr>
      </w:pPr>
      <w:r w:rsidRPr="00E73264">
        <w:rPr>
          <w:rFonts w:ascii="Aptos" w:hAnsi="Aptos"/>
        </w:rPr>
        <w:br/>
        <w:t>The bootstrap distributions of the fixed-effect coefficients for PLP and Amputation</w:t>
      </w:r>
      <w:r>
        <w:rPr>
          <w:rFonts w:ascii="Aptos" w:hAnsi="Aptos"/>
        </w:rPr>
        <w:t xml:space="preserve"> (Fig S1 b and c)</w:t>
      </w:r>
      <w:r w:rsidRPr="00E73264">
        <w:rPr>
          <w:rFonts w:ascii="Aptos" w:hAnsi="Aptos"/>
        </w:rPr>
        <w:t xml:space="preserve"> </w:t>
      </w:r>
      <w:r>
        <w:rPr>
          <w:rFonts w:ascii="Aptos" w:hAnsi="Aptos"/>
        </w:rPr>
        <w:t>a</w:t>
      </w:r>
      <w:r w:rsidRPr="00E73264">
        <w:rPr>
          <w:rFonts w:ascii="Aptos" w:hAnsi="Aptos"/>
        </w:rPr>
        <w:t>re approximately bell-shaped, with slight</w:t>
      </w:r>
      <w:r w:rsidR="00920244">
        <w:rPr>
          <w:rFonts w:ascii="Aptos" w:hAnsi="Aptos"/>
        </w:rPr>
        <w:t xml:space="preserve"> </w:t>
      </w:r>
      <w:r w:rsidRPr="00E73264">
        <w:rPr>
          <w:rFonts w:ascii="Aptos" w:hAnsi="Aptos"/>
        </w:rPr>
        <w:t>skewness. The absence of multimodality suggests that estimates were not driven by a small number of influential subjects.</w:t>
      </w:r>
    </w:p>
    <w:p w14:paraId="140EA700" w14:textId="3FCF6A67" w:rsidR="00E73264" w:rsidRDefault="00E73264" w:rsidP="00E73264">
      <w:pPr>
        <w:rPr>
          <w:rFonts w:ascii="Aptos" w:hAnsi="Aptos"/>
        </w:rPr>
      </w:pPr>
      <w:r w:rsidRPr="00E73264">
        <w:rPr>
          <w:rFonts w:ascii="Aptos" w:hAnsi="Aptos"/>
        </w:rPr>
        <w:br/>
        <w:t xml:space="preserve">Residuals </w:t>
      </w:r>
      <w:r>
        <w:rPr>
          <w:rFonts w:ascii="Aptos" w:hAnsi="Aptos"/>
        </w:rPr>
        <w:t>(Fig S1 d) a</w:t>
      </w:r>
      <w:r w:rsidRPr="00E73264">
        <w:rPr>
          <w:rFonts w:ascii="Aptos" w:hAnsi="Aptos"/>
        </w:rPr>
        <w:t>re centered around zero across the range of fitted values, with no clear systematic structure, providing no strong evidence for heteroscedasticity or major model misspecification.</w:t>
      </w:r>
      <w:r>
        <w:rPr>
          <w:rFonts w:ascii="Aptos" w:hAnsi="Aptos"/>
        </w:rPr>
        <w:t xml:space="preserve"> </w:t>
      </w:r>
      <w:r w:rsidRPr="00E73264">
        <w:rPr>
          <w:rFonts w:ascii="Aptos" w:hAnsi="Aptos"/>
        </w:rPr>
        <w:t xml:space="preserve">The Q–Q plot and histogram </w:t>
      </w:r>
      <w:r>
        <w:rPr>
          <w:rFonts w:ascii="Aptos" w:hAnsi="Aptos"/>
        </w:rPr>
        <w:t xml:space="preserve">(Fig S1 e and f) </w:t>
      </w:r>
      <w:r w:rsidR="002E52C8">
        <w:rPr>
          <w:rFonts w:ascii="Aptos" w:hAnsi="Aptos"/>
        </w:rPr>
        <w:t xml:space="preserve">show </w:t>
      </w:r>
      <w:r w:rsidR="00920244">
        <w:rPr>
          <w:rFonts w:ascii="Aptos" w:hAnsi="Aptos"/>
        </w:rPr>
        <w:t>some</w:t>
      </w:r>
      <w:r w:rsidRPr="00E73264">
        <w:rPr>
          <w:rFonts w:ascii="Aptos" w:hAnsi="Aptos"/>
        </w:rPr>
        <w:t xml:space="preserve"> deviations from normality, primarily in the </w:t>
      </w:r>
      <w:r w:rsidR="00920244">
        <w:rPr>
          <w:rFonts w:ascii="Aptos" w:hAnsi="Aptos"/>
        </w:rPr>
        <w:t>end ranges.</w:t>
      </w:r>
      <w:r w:rsidRPr="00E73264">
        <w:rPr>
          <w:rFonts w:ascii="Aptos" w:hAnsi="Aptos"/>
        </w:rPr>
        <w:t xml:space="preserve"> Given the limited sample size, these deviations were considered acceptable and were further accounted for through the use of bootstrap-based confidence intervals.</w:t>
      </w:r>
    </w:p>
    <w:p w14:paraId="112969F1" w14:textId="2BD76F6B" w:rsidR="00E73264" w:rsidRDefault="00E73264" w:rsidP="00920244">
      <w:pPr>
        <w:rPr>
          <w:rFonts w:ascii="Aptos" w:hAnsi="Aptos"/>
        </w:rPr>
      </w:pPr>
      <w:r w:rsidRPr="00E73264">
        <w:rPr>
          <w:rFonts w:ascii="Aptos" w:hAnsi="Aptos"/>
        </w:rPr>
        <w:br/>
        <w:t>Pairwise correlations among fixed-effect predictors</w:t>
      </w:r>
      <w:r w:rsidR="00920244">
        <w:rPr>
          <w:rFonts w:ascii="Aptos" w:hAnsi="Aptos"/>
        </w:rPr>
        <w:t xml:space="preserve"> (Fig S1 g)</w:t>
      </w:r>
      <w:r w:rsidRPr="00E73264">
        <w:rPr>
          <w:rFonts w:ascii="Aptos" w:hAnsi="Aptos"/>
        </w:rPr>
        <w:t xml:space="preserve"> reveal</w:t>
      </w:r>
      <w:r w:rsidR="00920244">
        <w:rPr>
          <w:rFonts w:ascii="Aptos" w:hAnsi="Aptos"/>
        </w:rPr>
        <w:t xml:space="preserve">ed </w:t>
      </w:r>
      <w:r w:rsidR="00920244" w:rsidRPr="003B328D">
        <w:rPr>
          <w:rFonts w:ascii="Aptos" w:hAnsi="Aptos"/>
          <w:lang w:val="en-US"/>
        </w:rPr>
        <w:t>strong association between Pain and Amputee status (r ≈ 0.7 across trials), reflecting the nested structure of the sample, and a moderate-to-high correlation between Age and Amputee (r ≈ 0.8), consistent with demographic imbalance between groups</w:t>
      </w:r>
      <w:r w:rsidRPr="00E73264">
        <w:rPr>
          <w:rFonts w:ascii="Aptos" w:hAnsi="Aptos"/>
        </w:rPr>
        <w:t xml:space="preserve">. Variance inflation factors (VIFs) for all predictors were below the conventional threshold of </w:t>
      </w:r>
      <w:r w:rsidR="00920244">
        <w:rPr>
          <w:rFonts w:ascii="Aptos" w:hAnsi="Aptos"/>
        </w:rPr>
        <w:t>(</w:t>
      </w:r>
      <w:r w:rsidRPr="00E73264">
        <w:rPr>
          <w:rFonts w:ascii="Aptos" w:hAnsi="Aptos"/>
        </w:rPr>
        <w:t>5</w:t>
      </w:r>
      <w:r w:rsidR="00920244">
        <w:rPr>
          <w:rFonts w:ascii="Aptos" w:hAnsi="Aptos"/>
        </w:rPr>
        <w:t>)</w:t>
      </w:r>
      <w:r w:rsidRPr="00E73264">
        <w:rPr>
          <w:rFonts w:ascii="Aptos" w:hAnsi="Aptos"/>
        </w:rPr>
        <w:t>, indicating that multicollinearity was unlikely to substantially inflate standard errors or compromise interpretability of the fixed-effect estimates.</w:t>
      </w:r>
    </w:p>
    <w:p w14:paraId="7CD20C34" w14:textId="4F31F562" w:rsidR="00E73264" w:rsidRPr="00E73264" w:rsidRDefault="00E73264" w:rsidP="00E73264">
      <w:pPr>
        <w:rPr>
          <w:rFonts w:ascii="Aptos" w:hAnsi="Aptos"/>
        </w:rPr>
      </w:pPr>
      <w:r w:rsidRPr="00E73264">
        <w:rPr>
          <w:rFonts w:ascii="Aptos" w:hAnsi="Aptos"/>
        </w:rPr>
        <w:br/>
        <w:t>The Q–Q plot and histogram of subject-specific random intercepts</w:t>
      </w:r>
      <w:r w:rsidR="00920244">
        <w:rPr>
          <w:rFonts w:ascii="Aptos" w:hAnsi="Aptos"/>
        </w:rPr>
        <w:t xml:space="preserve"> (Fig S1 h and i)</w:t>
      </w:r>
      <w:r w:rsidRPr="00E73264">
        <w:rPr>
          <w:rFonts w:ascii="Aptos" w:hAnsi="Aptos"/>
        </w:rPr>
        <w:t xml:space="preserve"> showed </w:t>
      </w:r>
      <w:r w:rsidR="00920244">
        <w:rPr>
          <w:rFonts w:ascii="Aptos" w:hAnsi="Aptos"/>
        </w:rPr>
        <w:t>some deviations from normality.</w:t>
      </w:r>
      <w:r w:rsidRPr="00E73264">
        <w:rPr>
          <w:rFonts w:ascii="Aptos" w:hAnsi="Aptos"/>
        </w:rPr>
        <w:t xml:space="preserve"> No extreme outliers were observed, supporting the adequacy of the random-intercept specification.</w:t>
      </w:r>
    </w:p>
    <w:p w14:paraId="701AD889" w14:textId="77777777" w:rsidR="00920244" w:rsidRDefault="00920244" w:rsidP="00920244">
      <w:pPr>
        <w:rPr>
          <w:rFonts w:ascii="Aptos" w:hAnsi="Aptos"/>
        </w:rPr>
      </w:pPr>
    </w:p>
    <w:p w14:paraId="153B362A" w14:textId="39180D0D" w:rsidR="001A6143" w:rsidRPr="00F05768" w:rsidRDefault="00920244" w:rsidP="0035350E">
      <w:pPr>
        <w:rPr>
          <w:rFonts w:ascii="Aptos" w:hAnsi="Aptos"/>
          <w:b/>
          <w:bCs/>
          <w:lang w:val="en-US"/>
        </w:rPr>
      </w:pPr>
      <w:r w:rsidRPr="003B328D">
        <w:rPr>
          <w:rFonts w:ascii="Aptos" w:hAnsi="Aptos"/>
          <w:lang w:val="en-US"/>
        </w:rPr>
        <w:t>The model converged without warnings</w:t>
      </w:r>
      <w:r w:rsidR="0035350E">
        <w:rPr>
          <w:rFonts w:ascii="Aptos" w:hAnsi="Aptos"/>
          <w:lang w:val="en-US"/>
        </w:rPr>
        <w:t xml:space="preserve">. </w:t>
      </w:r>
      <w:r w:rsidR="0035350E" w:rsidRPr="00F05768">
        <w:rPr>
          <w:rFonts w:ascii="Aptos" w:hAnsi="Aptos"/>
          <w:b/>
          <w:bCs/>
          <w:lang w:val="en-US"/>
        </w:rPr>
        <w:t xml:space="preserve">Taken together, </w:t>
      </w:r>
      <w:r w:rsidR="001A6143" w:rsidRPr="00F05768">
        <w:rPr>
          <w:rFonts w:ascii="Aptos" w:hAnsi="Aptos"/>
          <w:b/>
          <w:bCs/>
          <w:lang w:val="en-US"/>
        </w:rPr>
        <w:t>the model diagnostics did not indicate violations severe enough to invalidate the resulting inferences.</w:t>
      </w:r>
    </w:p>
    <w:p w14:paraId="53957B51" w14:textId="39180D0D" w:rsidR="0069215B" w:rsidRPr="0069215B" w:rsidRDefault="0069215B" w:rsidP="00C93AB7">
      <w:pPr>
        <w:pStyle w:val="Heading3"/>
        <w:rPr>
          <w:lang w:val="en-US"/>
        </w:rPr>
      </w:pPr>
      <w:bookmarkStart w:id="3" w:name="_Toc216886394"/>
      <w:r>
        <w:rPr>
          <w:lang w:val="en-US"/>
        </w:rPr>
        <w:lastRenderedPageBreak/>
        <w:t>Subject-level l</w:t>
      </w:r>
      <w:r>
        <w:rPr>
          <w:lang w:val="en-US"/>
        </w:rPr>
        <w:t>inear model</w:t>
      </w:r>
      <w:r>
        <w:rPr>
          <w:lang w:val="en-US"/>
        </w:rPr>
        <w:t xml:space="preserve"> </w:t>
      </w:r>
      <w:r w:rsidR="00F05768">
        <w:rPr>
          <w:lang w:val="en-US"/>
        </w:rPr>
        <w:t>of theta power</w:t>
      </w:r>
      <w:bookmarkEnd w:id="3"/>
    </w:p>
    <w:p w14:paraId="280F5E88" w14:textId="0ABA6731" w:rsidR="0069215B" w:rsidRDefault="0069215B" w:rsidP="0069215B">
      <w:pPr>
        <w:keepNext/>
      </w:pPr>
      <w:r>
        <w:rPr>
          <w:noProof/>
        </w:rPr>
        <w:drawing>
          <wp:inline distT="0" distB="0" distL="0" distR="0" wp14:anchorId="2C157980" wp14:editId="6E098135">
            <wp:extent cx="5731510" cy="3618230"/>
            <wp:effectExtent l="0" t="0" r="0" b="1270"/>
            <wp:docPr id="2071853126" name="Picture 4" descr="A group of blue and white graph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71853126" name="Picture 4" descr="A group of blue and white graph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18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AA45AB" w14:textId="2B0D1833" w:rsidR="0069215B" w:rsidRPr="0006572B" w:rsidRDefault="0069215B" w:rsidP="0069215B">
      <w:pPr>
        <w:pStyle w:val="Caption"/>
      </w:pPr>
      <w:r>
        <w:t xml:space="preserve">Figure S </w:t>
      </w:r>
      <w:r>
        <w:fldChar w:fldCharType="begin"/>
      </w:r>
      <w:r>
        <w:instrText xml:space="preserve"> SEQ Figure_S \* ARABIC </w:instrText>
      </w:r>
      <w:r>
        <w:fldChar w:fldCharType="separate"/>
      </w:r>
      <w:r>
        <w:rPr>
          <w:noProof/>
        </w:rPr>
        <w:t>2</w:t>
      </w:r>
      <w:r>
        <w:fldChar w:fldCharType="end"/>
      </w:r>
      <w:r>
        <w:t xml:space="preserve"> </w:t>
      </w:r>
      <w:r w:rsidRPr="00932587">
        <w:t xml:space="preserve">Diagnostics for the </w:t>
      </w:r>
      <w:r>
        <w:t xml:space="preserve">subject level linear </w:t>
      </w:r>
      <w:r w:rsidRPr="00932587">
        <w:t xml:space="preserve"> model of whole-brain theta power.</w:t>
      </w:r>
      <w:r>
        <w:t xml:space="preserve"> </w:t>
      </w:r>
      <w:r w:rsidRPr="00932587">
        <w:t xml:space="preserve">(a) Histogram of log-transformed average theta power per </w:t>
      </w:r>
      <w:r>
        <w:t>subject</w:t>
      </w:r>
      <w:r w:rsidRPr="00932587">
        <w:t>.</w:t>
      </w:r>
      <w:r>
        <w:t xml:space="preserve"> </w:t>
      </w:r>
      <w:r w:rsidRPr="00932587">
        <w:t>(b) Distribution of the estimated PLP fixed-effect coefficient obtained from 5,000 subject-level bootstrap resamples.</w:t>
      </w:r>
      <w:r>
        <w:t xml:space="preserve"> </w:t>
      </w:r>
      <w:r w:rsidRPr="00932587">
        <w:t>(c) Distribution of the estimated Amputation fixed-effect coefficient obtained from 5,000 subject-level bootstrap resamples.</w:t>
      </w:r>
      <w:r>
        <w:t xml:space="preserve"> </w:t>
      </w:r>
      <w:r w:rsidRPr="00932587">
        <w:t>(d) Residuals plotted against fitted values from the linear model.</w:t>
      </w:r>
      <w:r>
        <w:t xml:space="preserve"> </w:t>
      </w:r>
      <w:r w:rsidRPr="00932587">
        <w:t>(e) Quantile–quantile (Q–Q) plot of model residuals.</w:t>
      </w:r>
      <w:r>
        <w:t xml:space="preserve"> </w:t>
      </w:r>
      <w:r w:rsidRPr="00932587">
        <w:t>(f) Histogram of model residuals.</w:t>
      </w:r>
      <w:r>
        <w:t xml:space="preserve"> </w:t>
      </w:r>
      <w:r w:rsidRPr="00932587">
        <w:t>(g) Pairwise correlation matrix of predictors included in the model.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8"/>
        <w:gridCol w:w="1249"/>
      </w:tblGrid>
      <w:tr w:rsidR="0069215B" w14:paraId="02B40F37" w14:textId="77777777" w:rsidTr="005E7800">
        <w:tc>
          <w:tcPr>
            <w:tcW w:w="2248" w:type="dxa"/>
          </w:tcPr>
          <w:p w14:paraId="4F3FAF26" w14:textId="77777777" w:rsidR="0069215B" w:rsidRPr="00E73264" w:rsidRDefault="0069215B" w:rsidP="005E7800">
            <w:pPr>
              <w:jc w:val="center"/>
              <w:rPr>
                <w:b/>
                <w:bCs/>
              </w:rPr>
            </w:pPr>
            <w:r w:rsidRPr="00E73264">
              <w:rPr>
                <w:b/>
                <w:bCs/>
              </w:rPr>
              <w:t>Model fit statistic</w:t>
            </w:r>
          </w:p>
        </w:tc>
        <w:tc>
          <w:tcPr>
            <w:tcW w:w="1249" w:type="dxa"/>
          </w:tcPr>
          <w:p w14:paraId="592F3293" w14:textId="77777777" w:rsidR="0069215B" w:rsidRPr="00E73264" w:rsidRDefault="0069215B" w:rsidP="005E7800">
            <w:pPr>
              <w:jc w:val="center"/>
              <w:rPr>
                <w:b/>
                <w:bCs/>
              </w:rPr>
            </w:pPr>
            <w:r w:rsidRPr="00E73264">
              <w:rPr>
                <w:b/>
                <w:bCs/>
              </w:rPr>
              <w:t>Value</w:t>
            </w:r>
          </w:p>
        </w:tc>
      </w:tr>
      <w:tr w:rsidR="0069215B" w14:paraId="6760958F" w14:textId="77777777" w:rsidTr="005E7800">
        <w:tc>
          <w:tcPr>
            <w:tcW w:w="2248" w:type="dxa"/>
          </w:tcPr>
          <w:p w14:paraId="50B87457" w14:textId="7506755F" w:rsidR="0069215B" w:rsidRDefault="0069215B" w:rsidP="005E7800">
            <w:pPr>
              <w:jc w:val="center"/>
            </w:pPr>
            <w:r>
              <w:t>Ordinary</w:t>
            </w:r>
            <w:r>
              <w:t xml:space="preserve"> </w:t>
            </w:r>
            <w:r w:rsidRPr="0006572B">
              <w:t>R</w:t>
            </w:r>
            <w:r w:rsidRPr="0006572B">
              <w:rPr>
                <w:vertAlign w:val="superscript"/>
              </w:rPr>
              <w:t>2</w:t>
            </w:r>
          </w:p>
        </w:tc>
        <w:tc>
          <w:tcPr>
            <w:tcW w:w="1249" w:type="dxa"/>
          </w:tcPr>
          <w:p w14:paraId="4F5412C3" w14:textId="2AACB28D" w:rsidR="0069215B" w:rsidRDefault="0069215B" w:rsidP="005E7800">
            <w:pPr>
              <w:jc w:val="center"/>
            </w:pPr>
            <w:r w:rsidRPr="0006572B">
              <w:t>0.</w:t>
            </w:r>
            <w:r>
              <w:t>203</w:t>
            </w:r>
          </w:p>
        </w:tc>
      </w:tr>
      <w:tr w:rsidR="0069215B" w14:paraId="679077BC" w14:textId="77777777" w:rsidTr="005E7800">
        <w:tc>
          <w:tcPr>
            <w:tcW w:w="2248" w:type="dxa"/>
          </w:tcPr>
          <w:p w14:paraId="7F567D2A" w14:textId="717212DE" w:rsidR="0069215B" w:rsidRDefault="0069215B" w:rsidP="005E7800">
            <w:pPr>
              <w:jc w:val="center"/>
            </w:pPr>
            <w:r>
              <w:t>Adjusted</w:t>
            </w:r>
            <w:r>
              <w:t xml:space="preserve"> </w:t>
            </w:r>
            <w:r w:rsidRPr="0006572B">
              <w:t>R</w:t>
            </w:r>
            <w:r w:rsidRPr="0006572B">
              <w:rPr>
                <w:vertAlign w:val="superscript"/>
              </w:rPr>
              <w:t>2</w:t>
            </w:r>
          </w:p>
        </w:tc>
        <w:tc>
          <w:tcPr>
            <w:tcW w:w="1249" w:type="dxa"/>
          </w:tcPr>
          <w:p w14:paraId="340CBBE1" w14:textId="0C9624F7" w:rsidR="0069215B" w:rsidRDefault="0069215B" w:rsidP="005E7800">
            <w:pPr>
              <w:jc w:val="center"/>
            </w:pPr>
            <w:r w:rsidRPr="0006572B">
              <w:t>0.</w:t>
            </w:r>
            <w:r>
              <w:t>106</w:t>
            </w:r>
          </w:p>
        </w:tc>
      </w:tr>
      <w:tr w:rsidR="0069215B" w14:paraId="25426691" w14:textId="77777777" w:rsidTr="005E7800">
        <w:tc>
          <w:tcPr>
            <w:tcW w:w="2248" w:type="dxa"/>
          </w:tcPr>
          <w:p w14:paraId="2C4E4EB3" w14:textId="77777777" w:rsidR="0069215B" w:rsidRDefault="0069215B" w:rsidP="005E7800">
            <w:pPr>
              <w:jc w:val="center"/>
            </w:pPr>
            <w:r w:rsidRPr="0006572B">
              <w:t>VIF Age</w:t>
            </w:r>
          </w:p>
        </w:tc>
        <w:tc>
          <w:tcPr>
            <w:tcW w:w="1249" w:type="dxa"/>
          </w:tcPr>
          <w:p w14:paraId="532DF5FA" w14:textId="5AFFB5EE" w:rsidR="0069215B" w:rsidRDefault="0069215B" w:rsidP="005E7800">
            <w:pPr>
              <w:jc w:val="center"/>
            </w:pPr>
            <w:r w:rsidRPr="0006572B">
              <w:t>2.915</w:t>
            </w:r>
          </w:p>
        </w:tc>
      </w:tr>
      <w:tr w:rsidR="0069215B" w14:paraId="32BB4479" w14:textId="77777777" w:rsidTr="005E7800">
        <w:tc>
          <w:tcPr>
            <w:tcW w:w="2248" w:type="dxa"/>
          </w:tcPr>
          <w:p w14:paraId="7F658DFB" w14:textId="77777777" w:rsidR="0069215B" w:rsidRDefault="0069215B" w:rsidP="005E7800">
            <w:pPr>
              <w:jc w:val="center"/>
            </w:pPr>
            <w:r w:rsidRPr="0006572B">
              <w:t>VIF Amp</w:t>
            </w:r>
          </w:p>
        </w:tc>
        <w:tc>
          <w:tcPr>
            <w:tcW w:w="1249" w:type="dxa"/>
          </w:tcPr>
          <w:p w14:paraId="7604D70F" w14:textId="22162B9D" w:rsidR="0069215B" w:rsidRDefault="0069215B" w:rsidP="005E7800">
            <w:pPr>
              <w:jc w:val="center"/>
            </w:pPr>
            <w:r w:rsidRPr="0006572B">
              <w:t>4.3999</w:t>
            </w:r>
          </w:p>
        </w:tc>
      </w:tr>
      <w:tr w:rsidR="0069215B" w14:paraId="5C5726BB" w14:textId="77777777" w:rsidTr="005E7800">
        <w:tc>
          <w:tcPr>
            <w:tcW w:w="2248" w:type="dxa"/>
          </w:tcPr>
          <w:p w14:paraId="553EB0B2" w14:textId="77777777" w:rsidR="0069215B" w:rsidRDefault="0069215B" w:rsidP="005E7800">
            <w:pPr>
              <w:jc w:val="center"/>
            </w:pPr>
            <w:r w:rsidRPr="0006572B">
              <w:t>VIF Pain</w:t>
            </w:r>
          </w:p>
        </w:tc>
        <w:tc>
          <w:tcPr>
            <w:tcW w:w="1249" w:type="dxa"/>
          </w:tcPr>
          <w:p w14:paraId="610D753A" w14:textId="034C6050" w:rsidR="0069215B" w:rsidRDefault="0069215B" w:rsidP="005E7800">
            <w:pPr>
              <w:jc w:val="center"/>
            </w:pPr>
            <w:r w:rsidRPr="0006572B">
              <w:t>2.1145</w:t>
            </w:r>
          </w:p>
        </w:tc>
      </w:tr>
      <w:tr w:rsidR="0069215B" w14:paraId="7EF1A7BD" w14:textId="77777777" w:rsidTr="005E7800">
        <w:tc>
          <w:tcPr>
            <w:tcW w:w="2248" w:type="dxa"/>
          </w:tcPr>
          <w:p w14:paraId="1675CD05" w14:textId="77777777" w:rsidR="0069215B" w:rsidRPr="0006572B" w:rsidRDefault="0069215B" w:rsidP="005E7800">
            <w:pPr>
              <w:jc w:val="center"/>
            </w:pPr>
            <w:r w:rsidRPr="0006572B">
              <w:t>VIF Sex</w:t>
            </w:r>
          </w:p>
        </w:tc>
        <w:tc>
          <w:tcPr>
            <w:tcW w:w="1249" w:type="dxa"/>
          </w:tcPr>
          <w:p w14:paraId="404700AC" w14:textId="3CC2BA30" w:rsidR="0069215B" w:rsidRPr="0006572B" w:rsidRDefault="0069215B" w:rsidP="005E7800">
            <w:pPr>
              <w:jc w:val="center"/>
            </w:pPr>
            <w:r w:rsidRPr="0006572B">
              <w:t>1.2375</w:t>
            </w:r>
          </w:p>
        </w:tc>
      </w:tr>
    </w:tbl>
    <w:p w14:paraId="357CACF8" w14:textId="77777777" w:rsidR="0069215B" w:rsidRDefault="0069215B" w:rsidP="0035350E">
      <w:pPr>
        <w:rPr>
          <w:rFonts w:ascii="Aptos" w:hAnsi="Aptos"/>
          <w:lang w:val="en-US"/>
        </w:rPr>
      </w:pPr>
    </w:p>
    <w:p w14:paraId="519397ED" w14:textId="27538033" w:rsidR="0069215B" w:rsidRPr="0069215B" w:rsidRDefault="0069215B" w:rsidP="0069215B">
      <w:pPr>
        <w:rPr>
          <w:rFonts w:ascii="Aptos" w:hAnsi="Aptos"/>
        </w:rPr>
      </w:pPr>
      <w:r w:rsidRPr="00E73264">
        <w:rPr>
          <w:rFonts w:ascii="Aptos" w:hAnsi="Aptos"/>
        </w:rPr>
        <w:t xml:space="preserve">Model fit was quantified using </w:t>
      </w:r>
      <w:r>
        <w:rPr>
          <w:rFonts w:ascii="Aptos" w:hAnsi="Aptos"/>
        </w:rPr>
        <w:t>the adjusted</w:t>
      </w:r>
      <w:r w:rsidRPr="00E73264">
        <w:rPr>
          <w:rFonts w:ascii="Aptos" w:hAnsi="Aptos"/>
        </w:rPr>
        <w:t xml:space="preserve"> R²</w:t>
      </w:r>
      <w:r>
        <w:rPr>
          <w:rFonts w:ascii="Aptos" w:hAnsi="Aptos"/>
        </w:rPr>
        <w:t xml:space="preserve"> value</w:t>
      </w:r>
      <w:r w:rsidRPr="0069215B">
        <w:rPr>
          <w:rFonts w:ascii="Aptos" w:hAnsi="Aptos"/>
        </w:rPr>
        <w:t xml:space="preserve">, as it accounts for the number of predictors relative to sample size. The adjusted R² indicates that the model explained </w:t>
      </w:r>
      <w:r w:rsidR="002E52C8">
        <w:rPr>
          <w:rFonts w:ascii="Aptos" w:hAnsi="Aptos"/>
        </w:rPr>
        <w:t>a</w:t>
      </w:r>
      <w:r w:rsidRPr="0069215B">
        <w:rPr>
          <w:rFonts w:ascii="Aptos" w:hAnsi="Aptos"/>
        </w:rPr>
        <w:t xml:space="preserve"> moderate proportion</w:t>
      </w:r>
      <w:r w:rsidR="002E52C8">
        <w:rPr>
          <w:rFonts w:ascii="Aptos" w:hAnsi="Aptos"/>
        </w:rPr>
        <w:t xml:space="preserve"> (20%)</w:t>
      </w:r>
      <w:r w:rsidRPr="0069215B">
        <w:rPr>
          <w:rFonts w:ascii="Aptos" w:hAnsi="Aptos"/>
        </w:rPr>
        <w:t xml:space="preserve"> of variance in the dependent variable.</w:t>
      </w:r>
      <w:r w:rsidR="002E52C8">
        <w:rPr>
          <w:rFonts w:ascii="Aptos" w:hAnsi="Aptos"/>
        </w:rPr>
        <w:t xml:space="preserve"> </w:t>
      </w:r>
      <w:r w:rsidRPr="0069215B">
        <w:rPr>
          <w:rFonts w:ascii="Aptos" w:hAnsi="Aptos"/>
        </w:rPr>
        <w:t xml:space="preserve">For completeness, the </w:t>
      </w:r>
      <w:r w:rsidR="002E52C8">
        <w:rPr>
          <w:rFonts w:ascii="Aptos" w:hAnsi="Aptos"/>
        </w:rPr>
        <w:t>ordinary</w:t>
      </w:r>
      <w:r w:rsidRPr="0069215B">
        <w:rPr>
          <w:rFonts w:ascii="Aptos" w:hAnsi="Aptos"/>
        </w:rPr>
        <w:t xml:space="preserve"> R² is also reported, reflecting the proportion of variance explained by the predictors without correction for model complexity</w:t>
      </w:r>
    </w:p>
    <w:p w14:paraId="186CA108" w14:textId="7F567017" w:rsidR="0069215B" w:rsidRPr="00E73264" w:rsidRDefault="0069215B" w:rsidP="0069215B">
      <w:pPr>
        <w:rPr>
          <w:rFonts w:ascii="Aptos" w:hAnsi="Aptos"/>
          <w:b/>
          <w:bCs/>
        </w:rPr>
      </w:pPr>
      <w:r w:rsidRPr="00E73264">
        <w:rPr>
          <w:rFonts w:ascii="Aptos" w:hAnsi="Aptos"/>
        </w:rPr>
        <w:br/>
        <w:t xml:space="preserve">The histogram of the dependent variable </w:t>
      </w:r>
      <w:r>
        <w:rPr>
          <w:rFonts w:ascii="Aptos" w:hAnsi="Aptos"/>
        </w:rPr>
        <w:t>(Fig S</w:t>
      </w:r>
      <w:r w:rsidR="002E52C8">
        <w:rPr>
          <w:rFonts w:ascii="Aptos" w:hAnsi="Aptos"/>
        </w:rPr>
        <w:t>2</w:t>
      </w:r>
      <w:r>
        <w:rPr>
          <w:rFonts w:ascii="Aptos" w:hAnsi="Aptos"/>
        </w:rPr>
        <w:t xml:space="preserve"> a) </w:t>
      </w:r>
      <w:r w:rsidRPr="00E73264">
        <w:rPr>
          <w:rFonts w:ascii="Aptos" w:hAnsi="Aptos"/>
        </w:rPr>
        <w:t xml:space="preserve">indicate a </w:t>
      </w:r>
      <w:r>
        <w:rPr>
          <w:rFonts w:ascii="Aptos" w:hAnsi="Aptos"/>
        </w:rPr>
        <w:t>somewhat skewed</w:t>
      </w:r>
      <w:r w:rsidRPr="00E73264">
        <w:rPr>
          <w:rFonts w:ascii="Aptos" w:hAnsi="Aptos"/>
        </w:rPr>
        <w:t xml:space="preserve"> distribution. No extreme values suggesting gross violations of distributional assumptions </w:t>
      </w:r>
      <w:r>
        <w:rPr>
          <w:rFonts w:ascii="Aptos" w:hAnsi="Aptos"/>
        </w:rPr>
        <w:t>a</w:t>
      </w:r>
      <w:r w:rsidRPr="00E73264">
        <w:rPr>
          <w:rFonts w:ascii="Aptos" w:hAnsi="Aptos"/>
        </w:rPr>
        <w:t>re observed.</w:t>
      </w:r>
    </w:p>
    <w:p w14:paraId="003C83B7" w14:textId="4384FDF9" w:rsidR="0069215B" w:rsidRDefault="0069215B" w:rsidP="0069215B">
      <w:pPr>
        <w:rPr>
          <w:rFonts w:ascii="Aptos" w:hAnsi="Aptos"/>
        </w:rPr>
      </w:pPr>
      <w:r w:rsidRPr="00E73264">
        <w:rPr>
          <w:rFonts w:ascii="Aptos" w:hAnsi="Aptos"/>
        </w:rPr>
        <w:br/>
        <w:t>The bootstrap distributions of the fixed-effect coefficients for PLP and Amputation</w:t>
      </w:r>
      <w:r>
        <w:rPr>
          <w:rFonts w:ascii="Aptos" w:hAnsi="Aptos"/>
        </w:rPr>
        <w:t xml:space="preserve"> (Fig S</w:t>
      </w:r>
      <w:r w:rsidR="002E52C8">
        <w:rPr>
          <w:rFonts w:ascii="Aptos" w:hAnsi="Aptos"/>
        </w:rPr>
        <w:t>2</w:t>
      </w:r>
      <w:r>
        <w:rPr>
          <w:rFonts w:ascii="Aptos" w:hAnsi="Aptos"/>
        </w:rPr>
        <w:t xml:space="preserve"> b and c)</w:t>
      </w:r>
      <w:r w:rsidRPr="00E73264">
        <w:rPr>
          <w:rFonts w:ascii="Aptos" w:hAnsi="Aptos"/>
        </w:rPr>
        <w:t xml:space="preserve"> </w:t>
      </w:r>
      <w:r>
        <w:rPr>
          <w:rFonts w:ascii="Aptos" w:hAnsi="Aptos"/>
        </w:rPr>
        <w:t>a</w:t>
      </w:r>
      <w:r w:rsidRPr="00E73264">
        <w:rPr>
          <w:rFonts w:ascii="Aptos" w:hAnsi="Aptos"/>
        </w:rPr>
        <w:t>re approximately bell-shaped. The absence of multimodality suggests that estimates were not driven by a small number of influential subjects.</w:t>
      </w:r>
      <w:r w:rsidRPr="00E73264">
        <w:rPr>
          <w:rFonts w:ascii="Aptos" w:hAnsi="Aptos"/>
        </w:rPr>
        <w:br/>
      </w:r>
      <w:r w:rsidRPr="00E73264">
        <w:rPr>
          <w:rFonts w:ascii="Aptos" w:hAnsi="Aptos"/>
        </w:rPr>
        <w:lastRenderedPageBreak/>
        <w:t xml:space="preserve">Residuals </w:t>
      </w:r>
      <w:r>
        <w:rPr>
          <w:rFonts w:ascii="Aptos" w:hAnsi="Aptos"/>
        </w:rPr>
        <w:t>(Fig S</w:t>
      </w:r>
      <w:r w:rsidR="002E52C8">
        <w:rPr>
          <w:rFonts w:ascii="Aptos" w:hAnsi="Aptos"/>
        </w:rPr>
        <w:t>2</w:t>
      </w:r>
      <w:r>
        <w:rPr>
          <w:rFonts w:ascii="Aptos" w:hAnsi="Aptos"/>
        </w:rPr>
        <w:t xml:space="preserve"> d) a</w:t>
      </w:r>
      <w:r w:rsidRPr="00E73264">
        <w:rPr>
          <w:rFonts w:ascii="Aptos" w:hAnsi="Aptos"/>
        </w:rPr>
        <w:t>re centered around zero across the range of fitted values, with no clear systematic structure, providing no strong evidence for heteroscedasticity or major model misspecification.</w:t>
      </w:r>
      <w:r>
        <w:rPr>
          <w:rFonts w:ascii="Aptos" w:hAnsi="Aptos"/>
        </w:rPr>
        <w:t xml:space="preserve"> </w:t>
      </w:r>
      <w:r w:rsidRPr="00E73264">
        <w:rPr>
          <w:rFonts w:ascii="Aptos" w:hAnsi="Aptos"/>
        </w:rPr>
        <w:t xml:space="preserve">The Q–Q plot and histogram </w:t>
      </w:r>
      <w:r>
        <w:rPr>
          <w:rFonts w:ascii="Aptos" w:hAnsi="Aptos"/>
        </w:rPr>
        <w:t>(Fig S</w:t>
      </w:r>
      <w:r w:rsidR="002E52C8">
        <w:rPr>
          <w:rFonts w:ascii="Aptos" w:hAnsi="Aptos"/>
        </w:rPr>
        <w:t>2</w:t>
      </w:r>
      <w:r>
        <w:rPr>
          <w:rFonts w:ascii="Aptos" w:hAnsi="Aptos"/>
        </w:rPr>
        <w:t xml:space="preserve"> e and f) </w:t>
      </w:r>
      <w:r w:rsidR="002E52C8">
        <w:rPr>
          <w:rFonts w:ascii="Aptos" w:hAnsi="Aptos"/>
        </w:rPr>
        <w:t xml:space="preserve">show </w:t>
      </w:r>
      <w:r>
        <w:rPr>
          <w:rFonts w:ascii="Aptos" w:hAnsi="Aptos"/>
        </w:rPr>
        <w:t>some</w:t>
      </w:r>
      <w:r w:rsidRPr="00E73264">
        <w:rPr>
          <w:rFonts w:ascii="Aptos" w:hAnsi="Aptos"/>
        </w:rPr>
        <w:t xml:space="preserve"> deviations from normality, primarily in the </w:t>
      </w:r>
      <w:r>
        <w:rPr>
          <w:rFonts w:ascii="Aptos" w:hAnsi="Aptos"/>
        </w:rPr>
        <w:t>end ranges.</w:t>
      </w:r>
      <w:r w:rsidRPr="00E73264">
        <w:rPr>
          <w:rFonts w:ascii="Aptos" w:hAnsi="Aptos"/>
        </w:rPr>
        <w:t xml:space="preserve"> Given the limited sample size, these deviations were considered acceptable and were further accounted for through the use of bootstrap-based confidence intervals.</w:t>
      </w:r>
    </w:p>
    <w:p w14:paraId="06118CC2" w14:textId="590BB036" w:rsidR="0069215B" w:rsidRPr="00E73264" w:rsidRDefault="0069215B" w:rsidP="0069215B">
      <w:pPr>
        <w:rPr>
          <w:rFonts w:ascii="Aptos" w:hAnsi="Aptos"/>
        </w:rPr>
      </w:pPr>
      <w:r w:rsidRPr="00E73264">
        <w:rPr>
          <w:rFonts w:ascii="Aptos" w:hAnsi="Aptos"/>
        </w:rPr>
        <w:br/>
        <w:t>Pairwise correlations among predictors</w:t>
      </w:r>
      <w:r>
        <w:rPr>
          <w:rFonts w:ascii="Aptos" w:hAnsi="Aptos"/>
        </w:rPr>
        <w:t xml:space="preserve"> (Fig S</w:t>
      </w:r>
      <w:r>
        <w:rPr>
          <w:rFonts w:ascii="Aptos" w:hAnsi="Aptos"/>
        </w:rPr>
        <w:t>2</w:t>
      </w:r>
      <w:r>
        <w:rPr>
          <w:rFonts w:ascii="Aptos" w:hAnsi="Aptos"/>
        </w:rPr>
        <w:t xml:space="preserve"> g)</w:t>
      </w:r>
      <w:r w:rsidRPr="00E73264">
        <w:rPr>
          <w:rFonts w:ascii="Aptos" w:hAnsi="Aptos"/>
        </w:rPr>
        <w:t xml:space="preserve"> reveal</w:t>
      </w:r>
      <w:r>
        <w:rPr>
          <w:rFonts w:ascii="Aptos" w:hAnsi="Aptos"/>
        </w:rPr>
        <w:t xml:space="preserve">ed </w:t>
      </w:r>
      <w:r w:rsidRPr="003B328D">
        <w:rPr>
          <w:rFonts w:ascii="Aptos" w:hAnsi="Aptos"/>
          <w:lang w:val="en-US"/>
        </w:rPr>
        <w:t>strong association between Pain and Amputee status (r ≈ 0.7 across trials), reflecting the nested structure of the sample, and a high correlation between Age and Amputee (r ≈ 0.</w:t>
      </w:r>
      <w:r>
        <w:rPr>
          <w:rFonts w:ascii="Aptos" w:hAnsi="Aptos"/>
          <w:lang w:val="en-US"/>
        </w:rPr>
        <w:t>9</w:t>
      </w:r>
      <w:r w:rsidRPr="003B328D">
        <w:rPr>
          <w:rFonts w:ascii="Aptos" w:hAnsi="Aptos"/>
          <w:lang w:val="en-US"/>
        </w:rPr>
        <w:t>), consistent with demographic imbalance between groups</w:t>
      </w:r>
      <w:r w:rsidRPr="00E73264">
        <w:rPr>
          <w:rFonts w:ascii="Aptos" w:hAnsi="Aptos"/>
        </w:rPr>
        <w:t xml:space="preserve">. Variance inflation factors (VIFs) for all predictors were below the conventional threshold of </w:t>
      </w:r>
      <w:r>
        <w:rPr>
          <w:rFonts w:ascii="Aptos" w:hAnsi="Aptos"/>
        </w:rPr>
        <w:t>(</w:t>
      </w:r>
      <w:r w:rsidRPr="00E73264">
        <w:rPr>
          <w:rFonts w:ascii="Aptos" w:hAnsi="Aptos"/>
        </w:rPr>
        <w:t>5</w:t>
      </w:r>
      <w:r>
        <w:rPr>
          <w:rFonts w:ascii="Aptos" w:hAnsi="Aptos"/>
        </w:rPr>
        <w:t>)</w:t>
      </w:r>
      <w:r w:rsidRPr="00E73264">
        <w:rPr>
          <w:rFonts w:ascii="Aptos" w:hAnsi="Aptos"/>
        </w:rPr>
        <w:t>, indicating that multicollinearity was unlikely to substantially inflate standard errors or compromise interpretability of the fixed-effect estimates.</w:t>
      </w:r>
    </w:p>
    <w:p w14:paraId="6A51B1C3" w14:textId="77777777" w:rsidR="0069215B" w:rsidRDefault="0069215B" w:rsidP="0069215B">
      <w:pPr>
        <w:rPr>
          <w:rFonts w:ascii="Aptos" w:hAnsi="Aptos"/>
        </w:rPr>
      </w:pPr>
    </w:p>
    <w:p w14:paraId="07EB28D7" w14:textId="6C4B8417" w:rsidR="0069215B" w:rsidRDefault="0069215B" w:rsidP="0035350E">
      <w:pPr>
        <w:rPr>
          <w:rFonts w:ascii="Aptos" w:hAnsi="Aptos"/>
          <w:lang w:val="en-US"/>
        </w:rPr>
      </w:pPr>
      <w:r w:rsidRPr="003B328D">
        <w:rPr>
          <w:rFonts w:ascii="Aptos" w:hAnsi="Aptos"/>
          <w:lang w:val="en-US"/>
        </w:rPr>
        <w:t>The model converged without warnings</w:t>
      </w:r>
      <w:r>
        <w:rPr>
          <w:rFonts w:ascii="Aptos" w:hAnsi="Aptos"/>
          <w:lang w:val="en-US"/>
        </w:rPr>
        <w:t xml:space="preserve">. </w:t>
      </w:r>
      <w:r w:rsidRPr="00F05768">
        <w:rPr>
          <w:rFonts w:ascii="Aptos" w:hAnsi="Aptos"/>
          <w:b/>
          <w:bCs/>
          <w:lang w:val="en-US"/>
        </w:rPr>
        <w:t>Taken together, the model diagnostics did not indicate violations severe enough to invalidate the resulting inferences.</w:t>
      </w:r>
    </w:p>
    <w:p w14:paraId="3A16FD88" w14:textId="5D5CE1D0" w:rsidR="00CB5AC5" w:rsidRDefault="00FE11D8" w:rsidP="00FE11D8">
      <w:pPr>
        <w:pStyle w:val="Heading2"/>
        <w:rPr>
          <w:lang w:val="en-US"/>
        </w:rPr>
      </w:pPr>
      <w:bookmarkStart w:id="4" w:name="_Toc216886395"/>
      <w:r w:rsidRPr="003B328D">
        <w:rPr>
          <w:rFonts w:eastAsia="Times New Roman"/>
          <w:lang w:val="en-US"/>
        </w:rPr>
        <w:t xml:space="preserve">Research Question </w:t>
      </w:r>
      <w:r>
        <w:rPr>
          <w:lang w:val="en-US"/>
        </w:rPr>
        <w:t>2</w:t>
      </w:r>
      <w:r w:rsidRPr="003B328D">
        <w:rPr>
          <w:rFonts w:eastAsia="Times New Roman"/>
          <w:lang w:val="en-US"/>
        </w:rPr>
        <w:t>:</w:t>
      </w:r>
      <w:r>
        <w:rPr>
          <w:lang w:val="en-US"/>
        </w:rPr>
        <w:t xml:space="preserve"> Peak Alpha Frequency</w:t>
      </w:r>
      <w:bookmarkEnd w:id="4"/>
    </w:p>
    <w:p w14:paraId="0AC68050" w14:textId="6BCD1606" w:rsidR="00F05768" w:rsidRDefault="00F05768" w:rsidP="00F05768">
      <w:pPr>
        <w:pStyle w:val="Heading3"/>
        <w:rPr>
          <w:lang w:val="en-US"/>
        </w:rPr>
      </w:pPr>
      <w:bookmarkStart w:id="5" w:name="_Toc216886396"/>
      <w:r>
        <w:rPr>
          <w:lang w:val="en-US"/>
        </w:rPr>
        <w:t xml:space="preserve">Linear mixed-effects model </w:t>
      </w:r>
      <w:r>
        <w:rPr>
          <w:lang w:val="en-US"/>
        </w:rPr>
        <w:t>of PAF-Max</w:t>
      </w:r>
      <w:bookmarkEnd w:id="5"/>
    </w:p>
    <w:p w14:paraId="7C35211A" w14:textId="7E3E5F2B" w:rsidR="00F05768" w:rsidRDefault="00DF5655" w:rsidP="00F05768">
      <w:pPr>
        <w:keepNext/>
      </w:pPr>
      <w:r>
        <w:rPr>
          <w:noProof/>
        </w:rPr>
        <w:drawing>
          <wp:inline distT="0" distB="0" distL="0" distR="0" wp14:anchorId="39D5F9C5" wp14:editId="6FFD30CF">
            <wp:extent cx="5731510" cy="3611245"/>
            <wp:effectExtent l="0" t="0" r="0" b="0"/>
            <wp:docPr id="810412827" name="Picture 9" descr="A collage of graph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412827" name="Picture 9" descr="A collage of graphs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11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D43CA73" w14:textId="4569A594" w:rsidR="00F05768" w:rsidRDefault="00F05768" w:rsidP="00F05768">
      <w:pPr>
        <w:pStyle w:val="Caption"/>
      </w:pPr>
      <w:r>
        <w:t xml:space="preserve">Figure S </w:t>
      </w:r>
      <w:r>
        <w:fldChar w:fldCharType="begin"/>
      </w:r>
      <w:r>
        <w:instrText xml:space="preserve"> SEQ Figure_S \* ARABIC </w:instrText>
      </w:r>
      <w:r>
        <w:fldChar w:fldCharType="separate"/>
      </w:r>
      <w:r w:rsidR="00DF5655">
        <w:rPr>
          <w:noProof/>
        </w:rPr>
        <w:t>3</w:t>
      </w:r>
      <w:r>
        <w:fldChar w:fldCharType="end"/>
      </w:r>
      <w:r>
        <w:t xml:space="preserve"> </w:t>
      </w:r>
      <w:r w:rsidRPr="00932587">
        <w:t xml:space="preserve">Diagnostics for the linear mixed-effects model of whole-brain </w:t>
      </w:r>
      <w:r>
        <w:t>PAF-Max</w:t>
      </w:r>
      <w:r w:rsidRPr="00932587">
        <w:t>.</w:t>
      </w:r>
      <w:r>
        <w:t xml:space="preserve"> </w:t>
      </w:r>
      <w:r w:rsidRPr="00932587">
        <w:t xml:space="preserve">(a) Histogram of </w:t>
      </w:r>
      <w:r w:rsidR="00B760AA">
        <w:t>PA</w:t>
      </w:r>
      <w:r>
        <w:t>F-Max</w:t>
      </w:r>
      <w:r w:rsidRPr="00932587">
        <w:t xml:space="preserve"> per trial.</w:t>
      </w:r>
      <w:r>
        <w:t xml:space="preserve"> </w:t>
      </w:r>
      <w:r w:rsidRPr="00932587">
        <w:t>(b) Distribution of the estimated PLP fixed-effect coefficient obtained from 5,000 subject-level bootstrap resamples.</w:t>
      </w:r>
      <w:r>
        <w:t xml:space="preserve"> </w:t>
      </w:r>
      <w:r w:rsidRPr="00932587">
        <w:t>(c) Distribution of the estimated Amputation fixed-effect coefficient obtained from 5,000 subject-level bootstrap resamples.</w:t>
      </w:r>
      <w:r>
        <w:t xml:space="preserve"> </w:t>
      </w:r>
      <w:r w:rsidRPr="00932587">
        <w:t>(d) Residuals plotted against fitted values from the linear mixed-effects model.</w:t>
      </w:r>
      <w:r>
        <w:t xml:space="preserve"> </w:t>
      </w:r>
      <w:r w:rsidRPr="00932587">
        <w:t>(e) Quantile–quantile (Q–Q) plot of model residuals.</w:t>
      </w:r>
      <w:r>
        <w:t xml:space="preserve"> </w:t>
      </w:r>
      <w:r w:rsidRPr="00932587">
        <w:t>(f) Histogram of model residuals.</w:t>
      </w:r>
      <w:r>
        <w:t xml:space="preserve"> </w:t>
      </w:r>
      <w:r w:rsidRPr="00932587">
        <w:t>(g) Pairwise correlation matrix of fixed-effect predictors included in the model.</w:t>
      </w:r>
      <w:r>
        <w:t xml:space="preserve"> </w:t>
      </w:r>
      <w:r w:rsidRPr="00932587">
        <w:t>(h) Q–Q plot of subject-specific random intercepts.</w:t>
      </w:r>
      <w:r>
        <w:t xml:space="preserve"> </w:t>
      </w:r>
      <w:r w:rsidRPr="00932587">
        <w:t>(i) Histogram of subject-specific random intercepts.</w:t>
      </w:r>
    </w:p>
    <w:p w14:paraId="61DE3202" w14:textId="77777777" w:rsidR="00F85D1F" w:rsidRPr="00F85D1F" w:rsidRDefault="00F85D1F" w:rsidP="00F85D1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8"/>
        <w:gridCol w:w="1249"/>
      </w:tblGrid>
      <w:tr w:rsidR="00F05768" w:rsidRPr="006C5B99" w14:paraId="5F1B2759" w14:textId="77777777" w:rsidTr="005E7800">
        <w:tc>
          <w:tcPr>
            <w:tcW w:w="2248" w:type="dxa"/>
          </w:tcPr>
          <w:p w14:paraId="4CBA55C0" w14:textId="77777777" w:rsidR="00F05768" w:rsidRPr="006C5B99" w:rsidRDefault="00F05768" w:rsidP="005E7800">
            <w:pPr>
              <w:jc w:val="center"/>
              <w:rPr>
                <w:rFonts w:ascii="Aptos" w:hAnsi="Aptos"/>
                <w:b/>
                <w:bCs/>
              </w:rPr>
            </w:pPr>
            <w:r w:rsidRPr="006C5B99">
              <w:rPr>
                <w:rFonts w:ascii="Aptos" w:hAnsi="Aptos"/>
                <w:b/>
                <w:bCs/>
              </w:rPr>
              <w:lastRenderedPageBreak/>
              <w:t>Model fit statistic</w:t>
            </w:r>
          </w:p>
        </w:tc>
        <w:tc>
          <w:tcPr>
            <w:tcW w:w="1249" w:type="dxa"/>
          </w:tcPr>
          <w:p w14:paraId="23787487" w14:textId="77777777" w:rsidR="00F05768" w:rsidRPr="006C5B99" w:rsidRDefault="00F05768" w:rsidP="005E7800">
            <w:pPr>
              <w:jc w:val="center"/>
              <w:rPr>
                <w:rFonts w:ascii="Aptos" w:hAnsi="Aptos"/>
                <w:b/>
                <w:bCs/>
              </w:rPr>
            </w:pPr>
            <w:r w:rsidRPr="006C5B99">
              <w:rPr>
                <w:rFonts w:ascii="Aptos" w:hAnsi="Aptos"/>
                <w:b/>
                <w:bCs/>
              </w:rPr>
              <w:t>Value</w:t>
            </w:r>
          </w:p>
        </w:tc>
      </w:tr>
      <w:tr w:rsidR="00F05768" w:rsidRPr="006C5B99" w14:paraId="6CAA9891" w14:textId="77777777" w:rsidTr="005E7800">
        <w:tc>
          <w:tcPr>
            <w:tcW w:w="2248" w:type="dxa"/>
          </w:tcPr>
          <w:p w14:paraId="2FC16609" w14:textId="77777777" w:rsidR="00F05768" w:rsidRPr="006C5B99" w:rsidRDefault="00F05768" w:rsidP="005E7800">
            <w:pPr>
              <w:jc w:val="center"/>
              <w:rPr>
                <w:rFonts w:ascii="Aptos" w:hAnsi="Aptos"/>
              </w:rPr>
            </w:pPr>
            <w:r w:rsidRPr="006C5B99">
              <w:rPr>
                <w:rFonts w:ascii="Aptos" w:hAnsi="Aptos"/>
              </w:rPr>
              <w:t xml:space="preserve">Marginal </w:t>
            </w:r>
            <w:r w:rsidRPr="0006572B">
              <w:rPr>
                <w:rFonts w:ascii="Aptos" w:hAnsi="Aptos"/>
              </w:rPr>
              <w:t>R</w:t>
            </w:r>
            <w:r w:rsidRPr="0006572B">
              <w:rPr>
                <w:rFonts w:ascii="Aptos" w:hAnsi="Aptos"/>
                <w:vertAlign w:val="superscript"/>
              </w:rPr>
              <w:t>2</w:t>
            </w:r>
          </w:p>
        </w:tc>
        <w:tc>
          <w:tcPr>
            <w:tcW w:w="1249" w:type="dxa"/>
          </w:tcPr>
          <w:p w14:paraId="297445E8" w14:textId="5102B46E" w:rsidR="00F05768" w:rsidRPr="006C5B99" w:rsidRDefault="00F05768" w:rsidP="005E7800">
            <w:pPr>
              <w:jc w:val="center"/>
              <w:rPr>
                <w:rFonts w:ascii="Aptos" w:hAnsi="Aptos"/>
              </w:rPr>
            </w:pPr>
            <w:r w:rsidRPr="0006572B">
              <w:rPr>
                <w:rFonts w:ascii="Aptos" w:hAnsi="Aptos"/>
              </w:rPr>
              <w:t>0</w:t>
            </w:r>
            <w:r w:rsidRPr="006C5B99">
              <w:rPr>
                <w:rFonts w:ascii="Aptos" w:hAnsi="Aptos"/>
              </w:rPr>
              <w:t>.082</w:t>
            </w:r>
          </w:p>
        </w:tc>
      </w:tr>
      <w:tr w:rsidR="00F05768" w:rsidRPr="006C5B99" w14:paraId="3828720B" w14:textId="77777777" w:rsidTr="005E7800">
        <w:tc>
          <w:tcPr>
            <w:tcW w:w="2248" w:type="dxa"/>
          </w:tcPr>
          <w:p w14:paraId="67ABD0DC" w14:textId="77777777" w:rsidR="00F05768" w:rsidRPr="006C5B99" w:rsidRDefault="00F05768" w:rsidP="005E7800">
            <w:pPr>
              <w:jc w:val="center"/>
              <w:rPr>
                <w:rFonts w:ascii="Aptos" w:hAnsi="Aptos"/>
              </w:rPr>
            </w:pPr>
            <w:r w:rsidRPr="006C5B99">
              <w:rPr>
                <w:rFonts w:ascii="Aptos" w:hAnsi="Aptos"/>
              </w:rPr>
              <w:t xml:space="preserve">Conditional </w:t>
            </w:r>
            <w:r w:rsidRPr="0006572B">
              <w:rPr>
                <w:rFonts w:ascii="Aptos" w:hAnsi="Aptos"/>
              </w:rPr>
              <w:t>R</w:t>
            </w:r>
            <w:r w:rsidRPr="0006572B">
              <w:rPr>
                <w:rFonts w:ascii="Aptos" w:hAnsi="Aptos"/>
                <w:vertAlign w:val="superscript"/>
              </w:rPr>
              <w:t>2</w:t>
            </w:r>
          </w:p>
        </w:tc>
        <w:tc>
          <w:tcPr>
            <w:tcW w:w="1249" w:type="dxa"/>
          </w:tcPr>
          <w:p w14:paraId="45786E33" w14:textId="1D834097" w:rsidR="00F05768" w:rsidRPr="006C5B99" w:rsidRDefault="00F05768" w:rsidP="005E7800">
            <w:pPr>
              <w:jc w:val="center"/>
              <w:rPr>
                <w:rFonts w:ascii="Aptos" w:hAnsi="Aptos"/>
              </w:rPr>
            </w:pPr>
            <w:r w:rsidRPr="0006572B">
              <w:rPr>
                <w:rFonts w:ascii="Aptos" w:hAnsi="Aptos"/>
              </w:rPr>
              <w:t>0.</w:t>
            </w:r>
            <w:r w:rsidRPr="006C5B99">
              <w:rPr>
                <w:rFonts w:ascii="Aptos" w:hAnsi="Aptos"/>
              </w:rPr>
              <w:t>164</w:t>
            </w:r>
          </w:p>
        </w:tc>
      </w:tr>
      <w:tr w:rsidR="00F05768" w:rsidRPr="006C5B99" w14:paraId="751D3B26" w14:textId="77777777" w:rsidTr="005E7800">
        <w:tc>
          <w:tcPr>
            <w:tcW w:w="2248" w:type="dxa"/>
          </w:tcPr>
          <w:p w14:paraId="02ABEFD5" w14:textId="77777777" w:rsidR="00F05768" w:rsidRPr="006C5B99" w:rsidRDefault="00F05768" w:rsidP="005E7800">
            <w:pPr>
              <w:jc w:val="center"/>
              <w:rPr>
                <w:rFonts w:ascii="Aptos" w:hAnsi="Aptos"/>
              </w:rPr>
            </w:pPr>
            <w:r w:rsidRPr="0006572B">
              <w:rPr>
                <w:rFonts w:ascii="Aptos" w:hAnsi="Aptos"/>
              </w:rPr>
              <w:t>VIF</w:t>
            </w:r>
            <w:r w:rsidRPr="006C5B99">
              <w:rPr>
                <w:rFonts w:ascii="Aptos" w:hAnsi="Aptos"/>
              </w:rPr>
              <w:t xml:space="preserve"> </w:t>
            </w:r>
            <w:r w:rsidRPr="0006572B">
              <w:rPr>
                <w:rFonts w:ascii="Aptos" w:hAnsi="Aptos"/>
              </w:rPr>
              <w:t>Age</w:t>
            </w:r>
          </w:p>
        </w:tc>
        <w:tc>
          <w:tcPr>
            <w:tcW w:w="1249" w:type="dxa"/>
          </w:tcPr>
          <w:p w14:paraId="191C7E12" w14:textId="5B9228B3" w:rsidR="00F05768" w:rsidRPr="006C5B99" w:rsidRDefault="00F05768" w:rsidP="00F05768">
            <w:pPr>
              <w:jc w:val="center"/>
              <w:rPr>
                <w:rFonts w:ascii="Aptos" w:hAnsi="Aptos"/>
              </w:rPr>
            </w:pPr>
            <w:r w:rsidRPr="00F05768">
              <w:rPr>
                <w:rFonts w:ascii="Aptos" w:hAnsi="Aptos"/>
              </w:rPr>
              <w:t>2.1753</w:t>
            </w:r>
          </w:p>
        </w:tc>
      </w:tr>
      <w:tr w:rsidR="00F05768" w:rsidRPr="006C5B99" w14:paraId="3A195D04" w14:textId="77777777" w:rsidTr="005E7800">
        <w:tc>
          <w:tcPr>
            <w:tcW w:w="2248" w:type="dxa"/>
          </w:tcPr>
          <w:p w14:paraId="7D732400" w14:textId="77777777" w:rsidR="00F05768" w:rsidRPr="006C5B99" w:rsidRDefault="00F05768" w:rsidP="005E7800">
            <w:pPr>
              <w:jc w:val="center"/>
              <w:rPr>
                <w:rFonts w:ascii="Aptos" w:hAnsi="Aptos"/>
              </w:rPr>
            </w:pPr>
            <w:r w:rsidRPr="0006572B">
              <w:rPr>
                <w:rFonts w:ascii="Aptos" w:hAnsi="Aptos"/>
              </w:rPr>
              <w:t>VIF</w:t>
            </w:r>
            <w:r w:rsidRPr="006C5B99">
              <w:rPr>
                <w:rFonts w:ascii="Aptos" w:hAnsi="Aptos"/>
              </w:rPr>
              <w:t xml:space="preserve"> </w:t>
            </w:r>
            <w:r w:rsidRPr="0006572B">
              <w:rPr>
                <w:rFonts w:ascii="Aptos" w:hAnsi="Aptos"/>
              </w:rPr>
              <w:t>Amp</w:t>
            </w:r>
          </w:p>
        </w:tc>
        <w:tc>
          <w:tcPr>
            <w:tcW w:w="1249" w:type="dxa"/>
          </w:tcPr>
          <w:p w14:paraId="4539164D" w14:textId="2DD40C21" w:rsidR="00F05768" w:rsidRPr="006C5B99" w:rsidRDefault="00F05768" w:rsidP="00F05768">
            <w:pPr>
              <w:jc w:val="center"/>
              <w:rPr>
                <w:rFonts w:ascii="Aptos" w:hAnsi="Aptos"/>
              </w:rPr>
            </w:pPr>
            <w:r w:rsidRPr="00F05768">
              <w:rPr>
                <w:rFonts w:ascii="Aptos" w:hAnsi="Aptos"/>
              </w:rPr>
              <w:t>4.2906</w:t>
            </w:r>
          </w:p>
        </w:tc>
      </w:tr>
      <w:tr w:rsidR="00F05768" w:rsidRPr="006C5B99" w14:paraId="587297C2" w14:textId="77777777" w:rsidTr="005E7800">
        <w:tc>
          <w:tcPr>
            <w:tcW w:w="2248" w:type="dxa"/>
          </w:tcPr>
          <w:p w14:paraId="7A124282" w14:textId="77777777" w:rsidR="00F05768" w:rsidRPr="006C5B99" w:rsidRDefault="00F05768" w:rsidP="005E7800">
            <w:pPr>
              <w:jc w:val="center"/>
              <w:rPr>
                <w:rFonts w:ascii="Aptos" w:hAnsi="Aptos"/>
              </w:rPr>
            </w:pPr>
            <w:r w:rsidRPr="0006572B">
              <w:rPr>
                <w:rFonts w:ascii="Aptos" w:hAnsi="Aptos"/>
              </w:rPr>
              <w:t>VIF</w:t>
            </w:r>
            <w:r w:rsidRPr="006C5B99">
              <w:rPr>
                <w:rFonts w:ascii="Aptos" w:hAnsi="Aptos"/>
              </w:rPr>
              <w:t xml:space="preserve"> </w:t>
            </w:r>
            <w:r w:rsidRPr="0006572B">
              <w:rPr>
                <w:rFonts w:ascii="Aptos" w:hAnsi="Aptos"/>
              </w:rPr>
              <w:t>Pain</w:t>
            </w:r>
          </w:p>
        </w:tc>
        <w:tc>
          <w:tcPr>
            <w:tcW w:w="1249" w:type="dxa"/>
          </w:tcPr>
          <w:p w14:paraId="298E7030" w14:textId="35866A6D" w:rsidR="00F05768" w:rsidRPr="006C5B99" w:rsidRDefault="00F05768" w:rsidP="00F05768">
            <w:pPr>
              <w:jc w:val="center"/>
              <w:rPr>
                <w:rFonts w:ascii="Aptos" w:hAnsi="Aptos"/>
              </w:rPr>
            </w:pPr>
            <w:r w:rsidRPr="00F05768">
              <w:rPr>
                <w:rFonts w:ascii="Aptos" w:hAnsi="Aptos"/>
              </w:rPr>
              <w:t>2.388</w:t>
            </w:r>
          </w:p>
        </w:tc>
      </w:tr>
      <w:tr w:rsidR="00F05768" w:rsidRPr="006C5B99" w14:paraId="46F2DBE0" w14:textId="77777777" w:rsidTr="005E7800">
        <w:tc>
          <w:tcPr>
            <w:tcW w:w="2248" w:type="dxa"/>
          </w:tcPr>
          <w:p w14:paraId="3F34E1C4" w14:textId="77777777" w:rsidR="00F05768" w:rsidRPr="006C5B99" w:rsidRDefault="00F05768" w:rsidP="005E7800">
            <w:pPr>
              <w:jc w:val="center"/>
              <w:rPr>
                <w:rFonts w:ascii="Aptos" w:hAnsi="Aptos"/>
              </w:rPr>
            </w:pPr>
            <w:r w:rsidRPr="0006572B">
              <w:rPr>
                <w:rFonts w:ascii="Aptos" w:hAnsi="Aptos"/>
              </w:rPr>
              <w:t>VIF</w:t>
            </w:r>
            <w:r w:rsidRPr="006C5B99">
              <w:rPr>
                <w:rFonts w:ascii="Aptos" w:hAnsi="Aptos"/>
              </w:rPr>
              <w:t xml:space="preserve"> </w:t>
            </w:r>
            <w:r w:rsidRPr="0006572B">
              <w:rPr>
                <w:rFonts w:ascii="Aptos" w:hAnsi="Aptos"/>
              </w:rPr>
              <w:t>Sex</w:t>
            </w:r>
          </w:p>
        </w:tc>
        <w:tc>
          <w:tcPr>
            <w:tcW w:w="1249" w:type="dxa"/>
          </w:tcPr>
          <w:p w14:paraId="6AC5F271" w14:textId="58289350" w:rsidR="00F05768" w:rsidRPr="006C5B99" w:rsidRDefault="00F05768" w:rsidP="00F05768">
            <w:pPr>
              <w:jc w:val="center"/>
              <w:rPr>
                <w:rFonts w:ascii="Aptos" w:hAnsi="Aptos"/>
              </w:rPr>
            </w:pPr>
            <w:r w:rsidRPr="00F05768">
              <w:rPr>
                <w:rFonts w:ascii="Aptos" w:hAnsi="Aptos"/>
              </w:rPr>
              <w:t>1.2244</w:t>
            </w:r>
          </w:p>
        </w:tc>
      </w:tr>
    </w:tbl>
    <w:p w14:paraId="15F59E4C" w14:textId="77777777" w:rsidR="00F05768" w:rsidRPr="00F05768" w:rsidRDefault="00F05768" w:rsidP="00F05768">
      <w:pPr>
        <w:rPr>
          <w:lang w:val="en-US"/>
        </w:rPr>
      </w:pPr>
    </w:p>
    <w:p w14:paraId="4524D7D8" w14:textId="7109A8F0" w:rsidR="00F05768" w:rsidRPr="0069215B" w:rsidRDefault="00F05768" w:rsidP="00F05768">
      <w:pPr>
        <w:rPr>
          <w:rFonts w:asciiTheme="minorHAnsi" w:hAnsiTheme="minorHAnsi"/>
        </w:rPr>
      </w:pPr>
      <w:r w:rsidRPr="00E73264">
        <w:rPr>
          <w:rFonts w:ascii="Aptos" w:hAnsi="Aptos"/>
        </w:rPr>
        <w:t xml:space="preserve">Model fit was quantified using marginal and conditional R² values. The marginal R² reflects the variance explained by the fixed effects alone, while the conditional R² reflects the variance explained by both fixed and random effects. </w:t>
      </w:r>
      <w:r>
        <w:rPr>
          <w:rFonts w:ascii="Aptos" w:hAnsi="Aptos"/>
        </w:rPr>
        <w:t>For PAF-Max the</w:t>
      </w:r>
      <w:r w:rsidR="00C073D1">
        <w:rPr>
          <w:rFonts w:ascii="Aptos" w:hAnsi="Aptos"/>
        </w:rPr>
        <w:t>se values indiacte that the</w:t>
      </w:r>
      <w:r w:rsidRPr="00DF72FA">
        <w:rPr>
          <w:rFonts w:ascii="Aptos" w:hAnsi="Aptos"/>
        </w:rPr>
        <w:t xml:space="preserve"> mixed-effects model explained only a modest proportion of variance</w:t>
      </w:r>
      <w:r w:rsidR="00C073D1">
        <w:rPr>
          <w:rFonts w:ascii="Aptos" w:hAnsi="Aptos"/>
        </w:rPr>
        <w:t>.</w:t>
      </w:r>
    </w:p>
    <w:p w14:paraId="31795C00" w14:textId="7777B02A" w:rsidR="00F05768" w:rsidRPr="00E73264" w:rsidRDefault="00F05768" w:rsidP="00F05768">
      <w:pPr>
        <w:rPr>
          <w:rFonts w:ascii="Aptos" w:hAnsi="Aptos"/>
          <w:b/>
          <w:bCs/>
        </w:rPr>
      </w:pPr>
      <w:r w:rsidRPr="00E73264">
        <w:rPr>
          <w:rFonts w:ascii="Aptos" w:hAnsi="Aptos"/>
        </w:rPr>
        <w:br/>
        <w:t xml:space="preserve">The histogram of the dependent variable </w:t>
      </w:r>
      <w:r>
        <w:rPr>
          <w:rFonts w:ascii="Aptos" w:hAnsi="Aptos"/>
        </w:rPr>
        <w:t>(Fig S</w:t>
      </w:r>
      <w:r w:rsidR="00C073D1">
        <w:rPr>
          <w:rFonts w:ascii="Aptos" w:hAnsi="Aptos"/>
        </w:rPr>
        <w:t>3</w:t>
      </w:r>
      <w:r>
        <w:rPr>
          <w:rFonts w:ascii="Aptos" w:hAnsi="Aptos"/>
        </w:rPr>
        <w:t xml:space="preserve"> a) </w:t>
      </w:r>
      <w:r w:rsidRPr="00E73264">
        <w:rPr>
          <w:rFonts w:ascii="Aptos" w:hAnsi="Aptos"/>
        </w:rPr>
        <w:t xml:space="preserve">indicate a </w:t>
      </w:r>
      <w:r>
        <w:rPr>
          <w:rFonts w:ascii="Aptos" w:hAnsi="Aptos"/>
        </w:rPr>
        <w:t>somewhat skewed</w:t>
      </w:r>
      <w:r w:rsidRPr="00E73264">
        <w:rPr>
          <w:rFonts w:ascii="Aptos" w:hAnsi="Aptos"/>
        </w:rPr>
        <w:t xml:space="preserve"> distribution. No extreme values suggesting gross violations of distributional assumptions </w:t>
      </w:r>
      <w:r>
        <w:rPr>
          <w:rFonts w:ascii="Aptos" w:hAnsi="Aptos"/>
        </w:rPr>
        <w:t>a</w:t>
      </w:r>
      <w:r w:rsidRPr="00E73264">
        <w:rPr>
          <w:rFonts w:ascii="Aptos" w:hAnsi="Aptos"/>
        </w:rPr>
        <w:t>re observed.</w:t>
      </w:r>
    </w:p>
    <w:p w14:paraId="17CB405F" w14:textId="4776D7B0" w:rsidR="00F05768" w:rsidRDefault="00F05768" w:rsidP="00F05768">
      <w:pPr>
        <w:rPr>
          <w:rFonts w:ascii="Aptos" w:hAnsi="Aptos"/>
        </w:rPr>
      </w:pPr>
      <w:r w:rsidRPr="00E73264">
        <w:rPr>
          <w:rFonts w:ascii="Aptos" w:hAnsi="Aptos"/>
        </w:rPr>
        <w:br/>
        <w:t>The bootstrap distributions of the fixed-effect coefficients for PLP and Amputation</w:t>
      </w:r>
      <w:r>
        <w:rPr>
          <w:rFonts w:ascii="Aptos" w:hAnsi="Aptos"/>
        </w:rPr>
        <w:t xml:space="preserve"> (Fig S</w:t>
      </w:r>
      <w:r w:rsidR="00C073D1">
        <w:rPr>
          <w:rFonts w:ascii="Aptos" w:hAnsi="Aptos"/>
        </w:rPr>
        <w:t>3</w:t>
      </w:r>
      <w:r>
        <w:rPr>
          <w:rFonts w:ascii="Aptos" w:hAnsi="Aptos"/>
        </w:rPr>
        <w:t xml:space="preserve"> b and c)</w:t>
      </w:r>
      <w:r w:rsidRPr="00E73264">
        <w:rPr>
          <w:rFonts w:ascii="Aptos" w:hAnsi="Aptos"/>
        </w:rPr>
        <w:t xml:space="preserve"> </w:t>
      </w:r>
      <w:r>
        <w:rPr>
          <w:rFonts w:ascii="Aptos" w:hAnsi="Aptos"/>
        </w:rPr>
        <w:t>a</w:t>
      </w:r>
      <w:r w:rsidRPr="00E73264">
        <w:rPr>
          <w:rFonts w:ascii="Aptos" w:hAnsi="Aptos"/>
        </w:rPr>
        <w:t>re approximately bell-shaped, with slight</w:t>
      </w:r>
      <w:r>
        <w:rPr>
          <w:rFonts w:ascii="Aptos" w:hAnsi="Aptos"/>
        </w:rPr>
        <w:t xml:space="preserve"> </w:t>
      </w:r>
      <w:r w:rsidRPr="00E73264">
        <w:rPr>
          <w:rFonts w:ascii="Aptos" w:hAnsi="Aptos"/>
        </w:rPr>
        <w:t>skewness. The absence of multimodality suggests that estimates were not driven by a small number of influential subjects.</w:t>
      </w:r>
    </w:p>
    <w:p w14:paraId="6B714437" w14:textId="625D3224" w:rsidR="00F05768" w:rsidRDefault="00F05768" w:rsidP="00F05768">
      <w:pPr>
        <w:rPr>
          <w:rFonts w:ascii="Aptos" w:hAnsi="Aptos"/>
        </w:rPr>
      </w:pPr>
      <w:r w:rsidRPr="00E73264">
        <w:rPr>
          <w:rFonts w:ascii="Aptos" w:hAnsi="Aptos"/>
        </w:rPr>
        <w:br/>
        <w:t xml:space="preserve">Residuals </w:t>
      </w:r>
      <w:r>
        <w:rPr>
          <w:rFonts w:ascii="Aptos" w:hAnsi="Aptos"/>
        </w:rPr>
        <w:t>(Fig S</w:t>
      </w:r>
      <w:r w:rsidR="00C073D1">
        <w:rPr>
          <w:rFonts w:ascii="Aptos" w:hAnsi="Aptos"/>
        </w:rPr>
        <w:t>3</w:t>
      </w:r>
      <w:r>
        <w:rPr>
          <w:rFonts w:ascii="Aptos" w:hAnsi="Aptos"/>
        </w:rPr>
        <w:t xml:space="preserve"> d) a</w:t>
      </w:r>
      <w:r w:rsidRPr="00E73264">
        <w:rPr>
          <w:rFonts w:ascii="Aptos" w:hAnsi="Aptos"/>
        </w:rPr>
        <w:t>re centered around zero across the range of fitted values, with no clear systematic structure, providing no strong evidence for heteroscedasticity or major model misspecification.</w:t>
      </w:r>
      <w:r>
        <w:rPr>
          <w:rFonts w:ascii="Aptos" w:hAnsi="Aptos"/>
        </w:rPr>
        <w:t xml:space="preserve"> </w:t>
      </w:r>
      <w:r w:rsidRPr="00E73264">
        <w:rPr>
          <w:rFonts w:ascii="Aptos" w:hAnsi="Aptos"/>
        </w:rPr>
        <w:t xml:space="preserve">The Q–Q plot and histogram </w:t>
      </w:r>
      <w:r>
        <w:rPr>
          <w:rFonts w:ascii="Aptos" w:hAnsi="Aptos"/>
        </w:rPr>
        <w:t>(Fig S</w:t>
      </w:r>
      <w:r w:rsidR="00C073D1">
        <w:rPr>
          <w:rFonts w:ascii="Aptos" w:hAnsi="Aptos"/>
        </w:rPr>
        <w:t>3</w:t>
      </w:r>
      <w:r>
        <w:rPr>
          <w:rFonts w:ascii="Aptos" w:hAnsi="Aptos"/>
        </w:rPr>
        <w:t xml:space="preserve"> e and f) show some</w:t>
      </w:r>
      <w:r w:rsidRPr="00E73264">
        <w:rPr>
          <w:rFonts w:ascii="Aptos" w:hAnsi="Aptos"/>
        </w:rPr>
        <w:t xml:space="preserve"> deviations from normality, primarily in the </w:t>
      </w:r>
      <w:r>
        <w:rPr>
          <w:rFonts w:ascii="Aptos" w:hAnsi="Aptos"/>
        </w:rPr>
        <w:t>end ranges.</w:t>
      </w:r>
      <w:r w:rsidRPr="00E73264">
        <w:rPr>
          <w:rFonts w:ascii="Aptos" w:hAnsi="Aptos"/>
        </w:rPr>
        <w:t xml:space="preserve"> Given the limited sample size, these deviations were considered acceptable and were further accounted for through the use of bootstrap-based confidence intervals.</w:t>
      </w:r>
    </w:p>
    <w:p w14:paraId="7352EBA9" w14:textId="65E8A268" w:rsidR="00F05768" w:rsidRDefault="00F05768" w:rsidP="00F05768">
      <w:pPr>
        <w:rPr>
          <w:rFonts w:ascii="Aptos" w:hAnsi="Aptos"/>
        </w:rPr>
      </w:pPr>
      <w:r w:rsidRPr="00E73264">
        <w:rPr>
          <w:rFonts w:ascii="Aptos" w:hAnsi="Aptos"/>
        </w:rPr>
        <w:br/>
        <w:t>Pairwise correlations among fixed-effect predictors</w:t>
      </w:r>
      <w:r>
        <w:rPr>
          <w:rFonts w:ascii="Aptos" w:hAnsi="Aptos"/>
        </w:rPr>
        <w:t xml:space="preserve"> (Fig S</w:t>
      </w:r>
      <w:r w:rsidR="007678CF">
        <w:rPr>
          <w:rFonts w:ascii="Aptos" w:hAnsi="Aptos"/>
        </w:rPr>
        <w:t>3</w:t>
      </w:r>
      <w:r>
        <w:rPr>
          <w:rFonts w:ascii="Aptos" w:hAnsi="Aptos"/>
        </w:rPr>
        <w:t xml:space="preserve"> g)</w:t>
      </w:r>
      <w:r w:rsidRPr="00E73264">
        <w:rPr>
          <w:rFonts w:ascii="Aptos" w:hAnsi="Aptos"/>
        </w:rPr>
        <w:t xml:space="preserve"> reveal</w:t>
      </w:r>
      <w:r>
        <w:rPr>
          <w:rFonts w:ascii="Aptos" w:hAnsi="Aptos"/>
        </w:rPr>
        <w:t xml:space="preserve">ed </w:t>
      </w:r>
      <w:r w:rsidRPr="003B328D">
        <w:rPr>
          <w:rFonts w:ascii="Aptos" w:hAnsi="Aptos"/>
          <w:lang w:val="en-US"/>
        </w:rPr>
        <w:t>strong association between Pain and Amputee status (r ≈ 0.7 across trials), reflecting the nested structure of the sample, and a moderate-to-high correlation between Age and Amputee (r ≈ 0.8), consistent with demographic imbalance between groups</w:t>
      </w:r>
      <w:r w:rsidRPr="00E73264">
        <w:rPr>
          <w:rFonts w:ascii="Aptos" w:hAnsi="Aptos"/>
        </w:rPr>
        <w:t xml:space="preserve">. Variance inflation factors (VIFs) for all predictors were below the conventional threshold of </w:t>
      </w:r>
      <w:r>
        <w:rPr>
          <w:rFonts w:ascii="Aptos" w:hAnsi="Aptos"/>
        </w:rPr>
        <w:t>(</w:t>
      </w:r>
      <w:r w:rsidRPr="00E73264">
        <w:rPr>
          <w:rFonts w:ascii="Aptos" w:hAnsi="Aptos"/>
        </w:rPr>
        <w:t>5</w:t>
      </w:r>
      <w:r>
        <w:rPr>
          <w:rFonts w:ascii="Aptos" w:hAnsi="Aptos"/>
        </w:rPr>
        <w:t>)</w:t>
      </w:r>
      <w:r w:rsidRPr="00E73264">
        <w:rPr>
          <w:rFonts w:ascii="Aptos" w:hAnsi="Aptos"/>
        </w:rPr>
        <w:t>, indicating that multicollinearity was unlikely to substantially inflate standard errors or compromise interpretability of the fixed-effect estimates.</w:t>
      </w:r>
    </w:p>
    <w:p w14:paraId="4F27B1FF" w14:textId="16178CF0" w:rsidR="00F05768" w:rsidRPr="00E73264" w:rsidRDefault="00F05768" w:rsidP="00F05768">
      <w:pPr>
        <w:rPr>
          <w:rFonts w:ascii="Aptos" w:hAnsi="Aptos"/>
        </w:rPr>
      </w:pPr>
      <w:r w:rsidRPr="00E73264">
        <w:rPr>
          <w:rFonts w:ascii="Aptos" w:hAnsi="Aptos"/>
        </w:rPr>
        <w:br/>
        <w:t>The Q–Q plot and histogram of subject-specific random intercepts</w:t>
      </w:r>
      <w:r>
        <w:rPr>
          <w:rFonts w:ascii="Aptos" w:hAnsi="Aptos"/>
        </w:rPr>
        <w:t xml:space="preserve"> (Fig S</w:t>
      </w:r>
      <w:r w:rsidR="007678CF">
        <w:rPr>
          <w:rFonts w:ascii="Aptos" w:hAnsi="Aptos"/>
        </w:rPr>
        <w:t>3</w:t>
      </w:r>
      <w:r>
        <w:rPr>
          <w:rFonts w:ascii="Aptos" w:hAnsi="Aptos"/>
        </w:rPr>
        <w:t xml:space="preserve"> h and i)</w:t>
      </w:r>
      <w:r w:rsidRPr="00E73264">
        <w:rPr>
          <w:rFonts w:ascii="Aptos" w:hAnsi="Aptos"/>
        </w:rPr>
        <w:t xml:space="preserve"> showed </w:t>
      </w:r>
      <w:r>
        <w:rPr>
          <w:rFonts w:ascii="Aptos" w:hAnsi="Aptos"/>
        </w:rPr>
        <w:t>some deviations from normality.</w:t>
      </w:r>
      <w:r w:rsidRPr="00E73264">
        <w:rPr>
          <w:rFonts w:ascii="Aptos" w:hAnsi="Aptos"/>
        </w:rPr>
        <w:t xml:space="preserve"> No extreme outliers were observed, supporting the adequacy of the random-intercept specification.</w:t>
      </w:r>
    </w:p>
    <w:p w14:paraId="40E46A5D" w14:textId="77777777" w:rsidR="00F05768" w:rsidRDefault="00F05768" w:rsidP="00F05768">
      <w:pPr>
        <w:rPr>
          <w:rFonts w:ascii="Aptos" w:hAnsi="Aptos"/>
        </w:rPr>
      </w:pPr>
    </w:p>
    <w:p w14:paraId="71428936" w14:textId="53E12851" w:rsidR="00FE11D8" w:rsidRPr="006C5B99" w:rsidRDefault="00F05768" w:rsidP="00CB5AC5">
      <w:pPr>
        <w:rPr>
          <w:rFonts w:ascii="Aptos" w:hAnsi="Aptos"/>
          <w:b/>
          <w:bCs/>
          <w:lang w:val="en-US"/>
        </w:rPr>
      </w:pPr>
      <w:r w:rsidRPr="003B328D">
        <w:rPr>
          <w:rFonts w:ascii="Aptos" w:hAnsi="Aptos"/>
          <w:lang w:val="en-US"/>
        </w:rPr>
        <w:t>The</w:t>
      </w:r>
      <w:r>
        <w:rPr>
          <w:rFonts w:ascii="Aptos" w:hAnsi="Aptos"/>
          <w:lang w:val="en-US"/>
        </w:rPr>
        <w:t xml:space="preserve"> </w:t>
      </w:r>
      <w:r w:rsidRPr="003B328D">
        <w:rPr>
          <w:rFonts w:ascii="Aptos" w:hAnsi="Aptos"/>
          <w:lang w:val="en-US"/>
        </w:rPr>
        <w:t>model converged without warnings</w:t>
      </w:r>
      <w:r>
        <w:rPr>
          <w:rFonts w:ascii="Aptos" w:hAnsi="Aptos"/>
          <w:lang w:val="en-US"/>
        </w:rPr>
        <w:t xml:space="preserve">. </w:t>
      </w:r>
      <w:r w:rsidR="00A72510" w:rsidRPr="00A72510">
        <w:rPr>
          <w:rFonts w:ascii="Aptos" w:hAnsi="Aptos"/>
          <w:b/>
          <w:bCs/>
        </w:rPr>
        <w:t xml:space="preserve">Taken together, the model diagnostics indicate that results should be interpreted with appropriate caution given the modest sample size, which limits the precision of fixed-effect estimates and results in low explained variance and some deviations from normality </w:t>
      </w:r>
      <w:r w:rsidR="00A72510" w:rsidRPr="00A72510">
        <w:rPr>
          <w:rFonts w:ascii="Aptos" w:hAnsi="Aptos"/>
          <w:b/>
          <w:bCs/>
        </w:rPr>
        <w:lastRenderedPageBreak/>
        <w:t>assumptions. These issues are partially mitigated through the use of resampling-based inference.</w:t>
      </w:r>
    </w:p>
    <w:p w14:paraId="776870FB" w14:textId="18D8E54B" w:rsidR="00C073D1" w:rsidRDefault="00C073D1" w:rsidP="00C073D1">
      <w:pPr>
        <w:pStyle w:val="Heading3"/>
        <w:rPr>
          <w:lang w:val="en-US"/>
        </w:rPr>
      </w:pPr>
      <w:bookmarkStart w:id="6" w:name="_Toc216886397"/>
      <w:r>
        <w:rPr>
          <w:lang w:val="en-US"/>
        </w:rPr>
        <w:t xml:space="preserve">Subject-level linear model of </w:t>
      </w:r>
      <w:r>
        <w:rPr>
          <w:lang w:val="en-US"/>
        </w:rPr>
        <w:t>PAF-Max</w:t>
      </w:r>
      <w:bookmarkEnd w:id="6"/>
    </w:p>
    <w:p w14:paraId="30F9C944" w14:textId="501B0237" w:rsidR="00C93AB7" w:rsidRDefault="00DF5655" w:rsidP="00C93AB7">
      <w:pPr>
        <w:keepNext/>
      </w:pPr>
      <w:r>
        <w:rPr>
          <w:noProof/>
        </w:rPr>
        <w:drawing>
          <wp:inline distT="0" distB="0" distL="0" distR="0" wp14:anchorId="3730D62B" wp14:editId="7292420F">
            <wp:extent cx="5731510" cy="3660775"/>
            <wp:effectExtent l="0" t="0" r="0" b="0"/>
            <wp:docPr id="1800857838" name="Picture 8" descr="A group of blue graph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0857838" name="Picture 8" descr="A group of blue graphs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60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9AB1023" w14:textId="7142580E" w:rsidR="00C93AB7" w:rsidRPr="0006572B" w:rsidRDefault="00C93AB7" w:rsidP="00C93AB7">
      <w:pPr>
        <w:pStyle w:val="Caption"/>
      </w:pPr>
      <w:r>
        <w:t xml:space="preserve">Figure S </w:t>
      </w:r>
      <w:r>
        <w:fldChar w:fldCharType="begin"/>
      </w:r>
      <w:r>
        <w:instrText xml:space="preserve"> SEQ Figure_S \* ARABIC </w:instrText>
      </w:r>
      <w:r>
        <w:fldChar w:fldCharType="separate"/>
      </w:r>
      <w:r w:rsidR="00DF5655">
        <w:rPr>
          <w:noProof/>
        </w:rPr>
        <w:t>4</w:t>
      </w:r>
      <w:r>
        <w:fldChar w:fldCharType="end"/>
      </w:r>
      <w:r>
        <w:t xml:space="preserve"> </w:t>
      </w:r>
      <w:r w:rsidRPr="00932587">
        <w:t xml:space="preserve">Diagnostics for the </w:t>
      </w:r>
      <w:r>
        <w:t xml:space="preserve">subject level linear </w:t>
      </w:r>
      <w:r w:rsidRPr="00932587">
        <w:t xml:space="preserve">model of whole-brain </w:t>
      </w:r>
      <w:r>
        <w:t>PAF-Max</w:t>
      </w:r>
      <w:r w:rsidRPr="00932587">
        <w:t>.</w:t>
      </w:r>
      <w:r>
        <w:t xml:space="preserve"> </w:t>
      </w:r>
      <w:r w:rsidRPr="00932587">
        <w:t xml:space="preserve">(a) Histogram </w:t>
      </w:r>
      <w:r>
        <w:t>of PAF-Max</w:t>
      </w:r>
      <w:r w:rsidRPr="00932587">
        <w:t xml:space="preserve"> per </w:t>
      </w:r>
      <w:r>
        <w:t>subject</w:t>
      </w:r>
      <w:r w:rsidRPr="00932587">
        <w:t>.</w:t>
      </w:r>
      <w:r>
        <w:t xml:space="preserve"> </w:t>
      </w:r>
      <w:r w:rsidRPr="00932587">
        <w:t>(b) Distribution of the estimated PLP fixed-effect coefficient obtained from 5,000 subject-level bootstrap resamples.</w:t>
      </w:r>
      <w:r>
        <w:t xml:space="preserve"> </w:t>
      </w:r>
      <w:r w:rsidRPr="00932587">
        <w:t>(c) Distribution of the estimated Amputation fixed-effect coefficient obtained from 5,000 subject-level bootstrap resamples.</w:t>
      </w:r>
      <w:r>
        <w:t xml:space="preserve"> </w:t>
      </w:r>
      <w:r w:rsidRPr="00932587">
        <w:t>(d) Residuals plotted against fitted values from the linear model.</w:t>
      </w:r>
      <w:r>
        <w:t xml:space="preserve"> </w:t>
      </w:r>
      <w:r w:rsidRPr="00932587">
        <w:t>(e) Quantile–quantile (Q–Q) plot of model residuals.</w:t>
      </w:r>
      <w:r>
        <w:t xml:space="preserve"> </w:t>
      </w:r>
      <w:r w:rsidRPr="00932587">
        <w:t>(f) Histogram of model residuals.</w:t>
      </w:r>
      <w:r>
        <w:t xml:space="preserve"> </w:t>
      </w:r>
      <w:r w:rsidRPr="00932587">
        <w:t>(g) Pairwise correlation matrix of predictors included in the model.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8"/>
        <w:gridCol w:w="1249"/>
      </w:tblGrid>
      <w:tr w:rsidR="00C93AB7" w:rsidRPr="006C5B99" w14:paraId="489CA2F0" w14:textId="77777777" w:rsidTr="005E7800">
        <w:tc>
          <w:tcPr>
            <w:tcW w:w="2248" w:type="dxa"/>
          </w:tcPr>
          <w:p w14:paraId="32971822" w14:textId="77777777" w:rsidR="00C93AB7" w:rsidRPr="006C5B99" w:rsidRDefault="00C93AB7" w:rsidP="005E7800">
            <w:pPr>
              <w:jc w:val="center"/>
              <w:rPr>
                <w:rFonts w:ascii="Aptos" w:hAnsi="Aptos"/>
                <w:b/>
                <w:bCs/>
              </w:rPr>
            </w:pPr>
            <w:r w:rsidRPr="006C5B99">
              <w:rPr>
                <w:rFonts w:ascii="Aptos" w:hAnsi="Aptos"/>
                <w:b/>
                <w:bCs/>
              </w:rPr>
              <w:t>Model fit statistic</w:t>
            </w:r>
          </w:p>
        </w:tc>
        <w:tc>
          <w:tcPr>
            <w:tcW w:w="1249" w:type="dxa"/>
          </w:tcPr>
          <w:p w14:paraId="6985AF22" w14:textId="77777777" w:rsidR="00C93AB7" w:rsidRPr="006C5B99" w:rsidRDefault="00C93AB7" w:rsidP="005E7800">
            <w:pPr>
              <w:jc w:val="center"/>
              <w:rPr>
                <w:rFonts w:ascii="Aptos" w:hAnsi="Aptos"/>
                <w:b/>
                <w:bCs/>
              </w:rPr>
            </w:pPr>
            <w:r w:rsidRPr="006C5B99">
              <w:rPr>
                <w:rFonts w:ascii="Aptos" w:hAnsi="Aptos"/>
                <w:b/>
                <w:bCs/>
              </w:rPr>
              <w:t>Value</w:t>
            </w:r>
          </w:p>
        </w:tc>
      </w:tr>
      <w:tr w:rsidR="00C93AB7" w:rsidRPr="006C5B99" w14:paraId="3A057E0E" w14:textId="77777777" w:rsidTr="005E7800">
        <w:tc>
          <w:tcPr>
            <w:tcW w:w="2248" w:type="dxa"/>
          </w:tcPr>
          <w:p w14:paraId="3C23A721" w14:textId="77777777" w:rsidR="00C93AB7" w:rsidRPr="006C5B99" w:rsidRDefault="00C93AB7" w:rsidP="005E7800">
            <w:pPr>
              <w:jc w:val="center"/>
              <w:rPr>
                <w:rFonts w:ascii="Aptos" w:hAnsi="Aptos"/>
              </w:rPr>
            </w:pPr>
            <w:r w:rsidRPr="006C5B99">
              <w:rPr>
                <w:rFonts w:ascii="Aptos" w:hAnsi="Aptos"/>
              </w:rPr>
              <w:t xml:space="preserve">Ordinary </w:t>
            </w:r>
            <w:r w:rsidRPr="0006572B">
              <w:rPr>
                <w:rFonts w:ascii="Aptos" w:hAnsi="Aptos"/>
              </w:rPr>
              <w:t>R</w:t>
            </w:r>
            <w:r w:rsidRPr="0006572B">
              <w:rPr>
                <w:rFonts w:ascii="Aptos" w:hAnsi="Aptos"/>
                <w:vertAlign w:val="superscript"/>
              </w:rPr>
              <w:t>2</w:t>
            </w:r>
          </w:p>
        </w:tc>
        <w:tc>
          <w:tcPr>
            <w:tcW w:w="1249" w:type="dxa"/>
          </w:tcPr>
          <w:p w14:paraId="3ECF83F1" w14:textId="4AD5DC27" w:rsidR="00C93AB7" w:rsidRPr="006C5B99" w:rsidRDefault="00C93AB7" w:rsidP="005E7800">
            <w:pPr>
              <w:jc w:val="center"/>
              <w:rPr>
                <w:rFonts w:ascii="Aptos" w:hAnsi="Aptos"/>
              </w:rPr>
            </w:pPr>
            <w:r w:rsidRPr="0006572B">
              <w:rPr>
                <w:rFonts w:ascii="Aptos" w:hAnsi="Aptos"/>
              </w:rPr>
              <w:t>0.</w:t>
            </w:r>
            <w:r w:rsidRPr="006C5B99">
              <w:rPr>
                <w:rFonts w:ascii="Aptos" w:hAnsi="Aptos"/>
              </w:rPr>
              <w:t>061</w:t>
            </w:r>
          </w:p>
        </w:tc>
      </w:tr>
      <w:tr w:rsidR="00C93AB7" w:rsidRPr="006C5B99" w14:paraId="0CF6D76E" w14:textId="77777777" w:rsidTr="005E7800">
        <w:tc>
          <w:tcPr>
            <w:tcW w:w="2248" w:type="dxa"/>
          </w:tcPr>
          <w:p w14:paraId="7FC1C030" w14:textId="77777777" w:rsidR="00C93AB7" w:rsidRPr="006C5B99" w:rsidRDefault="00C93AB7" w:rsidP="005E7800">
            <w:pPr>
              <w:jc w:val="center"/>
              <w:rPr>
                <w:rFonts w:ascii="Aptos" w:hAnsi="Aptos"/>
              </w:rPr>
            </w:pPr>
            <w:r w:rsidRPr="006C5B99">
              <w:rPr>
                <w:rFonts w:ascii="Aptos" w:hAnsi="Aptos"/>
              </w:rPr>
              <w:t xml:space="preserve">Adjusted </w:t>
            </w:r>
            <w:r w:rsidRPr="0006572B">
              <w:rPr>
                <w:rFonts w:ascii="Aptos" w:hAnsi="Aptos"/>
              </w:rPr>
              <w:t>R</w:t>
            </w:r>
            <w:r w:rsidRPr="0006572B">
              <w:rPr>
                <w:rFonts w:ascii="Aptos" w:hAnsi="Aptos"/>
                <w:vertAlign w:val="superscript"/>
              </w:rPr>
              <w:t>2</w:t>
            </w:r>
          </w:p>
        </w:tc>
        <w:tc>
          <w:tcPr>
            <w:tcW w:w="1249" w:type="dxa"/>
          </w:tcPr>
          <w:p w14:paraId="46F7013A" w14:textId="5A802A48" w:rsidR="00C93AB7" w:rsidRPr="006C5B99" w:rsidRDefault="00C93AB7" w:rsidP="005E7800">
            <w:pPr>
              <w:jc w:val="center"/>
              <w:rPr>
                <w:rFonts w:ascii="Aptos" w:hAnsi="Aptos"/>
              </w:rPr>
            </w:pPr>
            <w:r w:rsidRPr="006C5B99">
              <w:rPr>
                <w:rFonts w:ascii="Aptos" w:hAnsi="Aptos"/>
              </w:rPr>
              <w:t>-0.060</w:t>
            </w:r>
          </w:p>
        </w:tc>
      </w:tr>
      <w:tr w:rsidR="00C93AB7" w:rsidRPr="006C5B99" w14:paraId="37A3DE9E" w14:textId="77777777" w:rsidTr="005E7800">
        <w:tc>
          <w:tcPr>
            <w:tcW w:w="2248" w:type="dxa"/>
          </w:tcPr>
          <w:p w14:paraId="74B343C4" w14:textId="77777777" w:rsidR="00C93AB7" w:rsidRPr="006C5B99" w:rsidRDefault="00C93AB7" w:rsidP="005E7800">
            <w:pPr>
              <w:jc w:val="center"/>
              <w:rPr>
                <w:rFonts w:ascii="Aptos" w:hAnsi="Aptos"/>
              </w:rPr>
            </w:pPr>
            <w:r w:rsidRPr="0006572B">
              <w:rPr>
                <w:rFonts w:ascii="Aptos" w:hAnsi="Aptos"/>
              </w:rPr>
              <w:t>VIF</w:t>
            </w:r>
            <w:r w:rsidRPr="006C5B99">
              <w:rPr>
                <w:rFonts w:ascii="Aptos" w:hAnsi="Aptos"/>
              </w:rPr>
              <w:t xml:space="preserve"> </w:t>
            </w:r>
            <w:r w:rsidRPr="0006572B">
              <w:rPr>
                <w:rFonts w:ascii="Aptos" w:hAnsi="Aptos"/>
              </w:rPr>
              <w:t>Age</w:t>
            </w:r>
          </w:p>
        </w:tc>
        <w:tc>
          <w:tcPr>
            <w:tcW w:w="1249" w:type="dxa"/>
          </w:tcPr>
          <w:p w14:paraId="1C3BA7DF" w14:textId="64955EB7" w:rsidR="00C93AB7" w:rsidRPr="006C5B99" w:rsidRDefault="00C93AB7" w:rsidP="00C93AB7">
            <w:pPr>
              <w:jc w:val="center"/>
              <w:rPr>
                <w:rFonts w:ascii="Aptos" w:hAnsi="Aptos"/>
              </w:rPr>
            </w:pPr>
            <w:r w:rsidRPr="00C93AB7">
              <w:rPr>
                <w:rFonts w:ascii="Aptos" w:hAnsi="Aptos"/>
              </w:rPr>
              <w:t>2.9788</w:t>
            </w:r>
          </w:p>
        </w:tc>
      </w:tr>
      <w:tr w:rsidR="00C93AB7" w:rsidRPr="006C5B99" w14:paraId="71E12C38" w14:textId="77777777" w:rsidTr="005E7800">
        <w:tc>
          <w:tcPr>
            <w:tcW w:w="2248" w:type="dxa"/>
          </w:tcPr>
          <w:p w14:paraId="24A02D9D" w14:textId="77777777" w:rsidR="00C93AB7" w:rsidRPr="006C5B99" w:rsidRDefault="00C93AB7" w:rsidP="005E7800">
            <w:pPr>
              <w:jc w:val="center"/>
              <w:rPr>
                <w:rFonts w:ascii="Aptos" w:hAnsi="Aptos"/>
              </w:rPr>
            </w:pPr>
            <w:r w:rsidRPr="0006572B">
              <w:rPr>
                <w:rFonts w:ascii="Aptos" w:hAnsi="Aptos"/>
              </w:rPr>
              <w:t>VIF</w:t>
            </w:r>
            <w:r w:rsidRPr="006C5B99">
              <w:rPr>
                <w:rFonts w:ascii="Aptos" w:hAnsi="Aptos"/>
              </w:rPr>
              <w:t xml:space="preserve"> </w:t>
            </w:r>
            <w:r w:rsidRPr="0006572B">
              <w:rPr>
                <w:rFonts w:ascii="Aptos" w:hAnsi="Aptos"/>
              </w:rPr>
              <w:t>Amp</w:t>
            </w:r>
          </w:p>
        </w:tc>
        <w:tc>
          <w:tcPr>
            <w:tcW w:w="1249" w:type="dxa"/>
          </w:tcPr>
          <w:p w14:paraId="3002AE30" w14:textId="3F7ED105" w:rsidR="00C93AB7" w:rsidRPr="006C5B99" w:rsidRDefault="00C93AB7" w:rsidP="00C93AB7">
            <w:pPr>
              <w:jc w:val="center"/>
              <w:rPr>
                <w:rFonts w:ascii="Aptos" w:hAnsi="Aptos"/>
              </w:rPr>
            </w:pPr>
            <w:r w:rsidRPr="00C93AB7">
              <w:rPr>
                <w:rFonts w:ascii="Aptos" w:hAnsi="Aptos"/>
              </w:rPr>
              <w:t>5.3548</w:t>
            </w:r>
          </w:p>
        </w:tc>
      </w:tr>
      <w:tr w:rsidR="00C93AB7" w:rsidRPr="006C5B99" w14:paraId="0D56D0E2" w14:textId="77777777" w:rsidTr="005E7800">
        <w:tc>
          <w:tcPr>
            <w:tcW w:w="2248" w:type="dxa"/>
          </w:tcPr>
          <w:p w14:paraId="666A56CE" w14:textId="77777777" w:rsidR="00C93AB7" w:rsidRPr="006C5B99" w:rsidRDefault="00C93AB7" w:rsidP="005E7800">
            <w:pPr>
              <w:jc w:val="center"/>
              <w:rPr>
                <w:rFonts w:ascii="Aptos" w:hAnsi="Aptos"/>
              </w:rPr>
            </w:pPr>
            <w:r w:rsidRPr="0006572B">
              <w:rPr>
                <w:rFonts w:ascii="Aptos" w:hAnsi="Aptos"/>
              </w:rPr>
              <w:t>VIF</w:t>
            </w:r>
            <w:r w:rsidRPr="006C5B99">
              <w:rPr>
                <w:rFonts w:ascii="Aptos" w:hAnsi="Aptos"/>
              </w:rPr>
              <w:t xml:space="preserve"> </w:t>
            </w:r>
            <w:r w:rsidRPr="0006572B">
              <w:rPr>
                <w:rFonts w:ascii="Aptos" w:hAnsi="Aptos"/>
              </w:rPr>
              <w:t>Pain</w:t>
            </w:r>
          </w:p>
        </w:tc>
        <w:tc>
          <w:tcPr>
            <w:tcW w:w="1249" w:type="dxa"/>
          </w:tcPr>
          <w:p w14:paraId="1890FD6C" w14:textId="57FC188C" w:rsidR="00C93AB7" w:rsidRPr="006C5B99" w:rsidRDefault="00C93AB7" w:rsidP="00C93AB7">
            <w:pPr>
              <w:jc w:val="center"/>
              <w:rPr>
                <w:rFonts w:ascii="Aptos" w:hAnsi="Aptos"/>
              </w:rPr>
            </w:pPr>
            <w:r w:rsidRPr="00C93AB7">
              <w:rPr>
                <w:rFonts w:ascii="Aptos" w:hAnsi="Aptos"/>
              </w:rPr>
              <w:t>2.469</w:t>
            </w:r>
          </w:p>
        </w:tc>
      </w:tr>
      <w:tr w:rsidR="00C93AB7" w:rsidRPr="006C5B99" w14:paraId="3A990425" w14:textId="77777777" w:rsidTr="005E7800">
        <w:tc>
          <w:tcPr>
            <w:tcW w:w="2248" w:type="dxa"/>
          </w:tcPr>
          <w:p w14:paraId="56982DDD" w14:textId="77777777" w:rsidR="00C93AB7" w:rsidRPr="006C5B99" w:rsidRDefault="00C93AB7" w:rsidP="005E7800">
            <w:pPr>
              <w:jc w:val="center"/>
              <w:rPr>
                <w:rFonts w:ascii="Aptos" w:hAnsi="Aptos"/>
              </w:rPr>
            </w:pPr>
            <w:r w:rsidRPr="0006572B">
              <w:rPr>
                <w:rFonts w:ascii="Aptos" w:hAnsi="Aptos"/>
              </w:rPr>
              <w:t>VIF</w:t>
            </w:r>
            <w:r w:rsidRPr="006C5B99">
              <w:rPr>
                <w:rFonts w:ascii="Aptos" w:hAnsi="Aptos"/>
              </w:rPr>
              <w:t xml:space="preserve"> </w:t>
            </w:r>
            <w:r w:rsidRPr="0006572B">
              <w:rPr>
                <w:rFonts w:ascii="Aptos" w:hAnsi="Aptos"/>
              </w:rPr>
              <w:t>Sex</w:t>
            </w:r>
          </w:p>
        </w:tc>
        <w:tc>
          <w:tcPr>
            <w:tcW w:w="1249" w:type="dxa"/>
          </w:tcPr>
          <w:p w14:paraId="2724673B" w14:textId="590F32F9" w:rsidR="00C93AB7" w:rsidRPr="006C5B99" w:rsidRDefault="00C93AB7" w:rsidP="00C93AB7">
            <w:pPr>
              <w:jc w:val="center"/>
              <w:rPr>
                <w:rFonts w:ascii="Aptos" w:hAnsi="Aptos"/>
              </w:rPr>
            </w:pPr>
            <w:r w:rsidRPr="00C93AB7">
              <w:rPr>
                <w:rFonts w:ascii="Aptos" w:hAnsi="Aptos"/>
              </w:rPr>
              <w:t>1.3131</w:t>
            </w:r>
          </w:p>
        </w:tc>
      </w:tr>
    </w:tbl>
    <w:p w14:paraId="016E48C5" w14:textId="77777777" w:rsidR="00C073D1" w:rsidRDefault="00C073D1" w:rsidP="00CB5AC5">
      <w:pPr>
        <w:rPr>
          <w:lang w:val="en-US"/>
        </w:rPr>
      </w:pPr>
    </w:p>
    <w:p w14:paraId="43C6553B" w14:textId="5BC463BC" w:rsidR="003A4E29" w:rsidRPr="0069215B" w:rsidRDefault="003A4E29" w:rsidP="003A4E29">
      <w:pPr>
        <w:rPr>
          <w:rFonts w:ascii="Aptos" w:hAnsi="Aptos"/>
        </w:rPr>
      </w:pPr>
      <w:r w:rsidRPr="00E73264">
        <w:rPr>
          <w:rFonts w:ascii="Aptos" w:hAnsi="Aptos"/>
        </w:rPr>
        <w:t xml:space="preserve">Model fit was quantified using </w:t>
      </w:r>
      <w:r>
        <w:rPr>
          <w:rFonts w:ascii="Aptos" w:hAnsi="Aptos"/>
        </w:rPr>
        <w:t>the adjusted</w:t>
      </w:r>
      <w:r w:rsidRPr="00E73264">
        <w:rPr>
          <w:rFonts w:ascii="Aptos" w:hAnsi="Aptos"/>
        </w:rPr>
        <w:t xml:space="preserve"> R²</w:t>
      </w:r>
      <w:r>
        <w:rPr>
          <w:rFonts w:ascii="Aptos" w:hAnsi="Aptos"/>
        </w:rPr>
        <w:t xml:space="preserve"> value</w:t>
      </w:r>
      <w:r w:rsidRPr="0069215B">
        <w:rPr>
          <w:rFonts w:ascii="Aptos" w:hAnsi="Aptos"/>
        </w:rPr>
        <w:t xml:space="preserve">, as it accounts for the number of predictors relative to sample size. </w:t>
      </w:r>
      <w:r w:rsidRPr="003A4E29">
        <w:rPr>
          <w:rFonts w:ascii="Aptos" w:hAnsi="Aptos"/>
        </w:rPr>
        <w:t>The low negative adjusted R² indicates that, after accounting for model complexity, the predictors did not explain substantial variance beyond that expected by chance.</w:t>
      </w:r>
    </w:p>
    <w:p w14:paraId="2AC0975F" w14:textId="3B36EE34" w:rsidR="003A4E29" w:rsidRPr="00E73264" w:rsidRDefault="003A4E29" w:rsidP="003A4E29">
      <w:pPr>
        <w:rPr>
          <w:rFonts w:ascii="Aptos" w:hAnsi="Aptos"/>
          <w:b/>
          <w:bCs/>
        </w:rPr>
      </w:pPr>
      <w:r w:rsidRPr="00E73264">
        <w:rPr>
          <w:rFonts w:ascii="Aptos" w:hAnsi="Aptos"/>
        </w:rPr>
        <w:br/>
        <w:t xml:space="preserve">The histogram of the dependent variable </w:t>
      </w:r>
      <w:r>
        <w:rPr>
          <w:rFonts w:ascii="Aptos" w:hAnsi="Aptos"/>
        </w:rPr>
        <w:t>(Fig S</w:t>
      </w:r>
      <w:r w:rsidR="00DF5655">
        <w:rPr>
          <w:rFonts w:ascii="Aptos" w:hAnsi="Aptos"/>
        </w:rPr>
        <w:t>4</w:t>
      </w:r>
      <w:r>
        <w:rPr>
          <w:rFonts w:ascii="Aptos" w:hAnsi="Aptos"/>
        </w:rPr>
        <w:t xml:space="preserve"> a) </w:t>
      </w:r>
      <w:r w:rsidRPr="00E73264">
        <w:rPr>
          <w:rFonts w:ascii="Aptos" w:hAnsi="Aptos"/>
        </w:rPr>
        <w:t xml:space="preserve">indicate a </w:t>
      </w:r>
      <w:r>
        <w:rPr>
          <w:rFonts w:ascii="Aptos" w:hAnsi="Aptos"/>
        </w:rPr>
        <w:t>somewhat skewed</w:t>
      </w:r>
      <w:r w:rsidRPr="00E73264">
        <w:rPr>
          <w:rFonts w:ascii="Aptos" w:hAnsi="Aptos"/>
        </w:rPr>
        <w:t xml:space="preserve"> distribution. No extreme values suggesting gross violations of distributional assumptions </w:t>
      </w:r>
      <w:r>
        <w:rPr>
          <w:rFonts w:ascii="Aptos" w:hAnsi="Aptos"/>
        </w:rPr>
        <w:t>a</w:t>
      </w:r>
      <w:r w:rsidRPr="00E73264">
        <w:rPr>
          <w:rFonts w:ascii="Aptos" w:hAnsi="Aptos"/>
        </w:rPr>
        <w:t>re observed.</w:t>
      </w:r>
    </w:p>
    <w:p w14:paraId="397BD04F" w14:textId="1D6D456A" w:rsidR="003A4E29" w:rsidRDefault="003A4E29" w:rsidP="003A4E29">
      <w:pPr>
        <w:rPr>
          <w:rFonts w:ascii="Aptos" w:hAnsi="Aptos"/>
        </w:rPr>
      </w:pPr>
      <w:r w:rsidRPr="00E73264">
        <w:rPr>
          <w:rFonts w:ascii="Aptos" w:hAnsi="Aptos"/>
        </w:rPr>
        <w:br/>
        <w:t>The bootstrap distributions of the fixed-effect coefficients for PLP and Amputation</w:t>
      </w:r>
      <w:r>
        <w:rPr>
          <w:rFonts w:ascii="Aptos" w:hAnsi="Aptos"/>
        </w:rPr>
        <w:t xml:space="preserve"> (Fig </w:t>
      </w:r>
      <w:r>
        <w:rPr>
          <w:rFonts w:ascii="Aptos" w:hAnsi="Aptos"/>
        </w:rPr>
        <w:lastRenderedPageBreak/>
        <w:t>S</w:t>
      </w:r>
      <w:r w:rsidR="00DF5655">
        <w:rPr>
          <w:rFonts w:ascii="Aptos" w:hAnsi="Aptos"/>
        </w:rPr>
        <w:t>4</w:t>
      </w:r>
      <w:r>
        <w:rPr>
          <w:rFonts w:ascii="Aptos" w:hAnsi="Aptos"/>
        </w:rPr>
        <w:t xml:space="preserve"> b and c)</w:t>
      </w:r>
      <w:r w:rsidRPr="00E73264">
        <w:rPr>
          <w:rFonts w:ascii="Aptos" w:hAnsi="Aptos"/>
        </w:rPr>
        <w:t xml:space="preserve"> </w:t>
      </w:r>
      <w:r>
        <w:rPr>
          <w:rFonts w:ascii="Aptos" w:hAnsi="Aptos"/>
        </w:rPr>
        <w:t>a</w:t>
      </w:r>
      <w:r w:rsidRPr="00E73264">
        <w:rPr>
          <w:rFonts w:ascii="Aptos" w:hAnsi="Aptos"/>
        </w:rPr>
        <w:t>re approximately bell-shaped. The absence of multimodality suggests that estimates were not driven by a small number of influential subjects.</w:t>
      </w:r>
    </w:p>
    <w:p w14:paraId="5DF33466" w14:textId="4C66D73E" w:rsidR="003A4E29" w:rsidRDefault="003A4E29" w:rsidP="003A4E29">
      <w:pPr>
        <w:rPr>
          <w:rFonts w:ascii="Aptos" w:hAnsi="Aptos"/>
        </w:rPr>
      </w:pPr>
      <w:r w:rsidRPr="00E73264">
        <w:rPr>
          <w:rFonts w:ascii="Aptos" w:hAnsi="Aptos"/>
        </w:rPr>
        <w:br/>
        <w:t xml:space="preserve">Residuals </w:t>
      </w:r>
      <w:r>
        <w:rPr>
          <w:rFonts w:ascii="Aptos" w:hAnsi="Aptos"/>
        </w:rPr>
        <w:t>(Fig S</w:t>
      </w:r>
      <w:r w:rsidR="00DF5655">
        <w:rPr>
          <w:rFonts w:ascii="Aptos" w:hAnsi="Aptos"/>
        </w:rPr>
        <w:t>4</w:t>
      </w:r>
      <w:r>
        <w:rPr>
          <w:rFonts w:ascii="Aptos" w:hAnsi="Aptos"/>
        </w:rPr>
        <w:t xml:space="preserve"> d) a</w:t>
      </w:r>
      <w:r w:rsidRPr="00E73264">
        <w:rPr>
          <w:rFonts w:ascii="Aptos" w:hAnsi="Aptos"/>
        </w:rPr>
        <w:t>re centered around zero across the range of fitted values, with no clear systematic structure, providing no strong evidence for heteroscedasticity or major model misspecification.</w:t>
      </w:r>
      <w:r>
        <w:rPr>
          <w:rFonts w:ascii="Aptos" w:hAnsi="Aptos"/>
        </w:rPr>
        <w:t xml:space="preserve"> </w:t>
      </w:r>
      <w:r w:rsidRPr="00E73264">
        <w:rPr>
          <w:rFonts w:ascii="Aptos" w:hAnsi="Aptos"/>
        </w:rPr>
        <w:t xml:space="preserve">The Q–Q plot and histogram </w:t>
      </w:r>
      <w:r>
        <w:rPr>
          <w:rFonts w:ascii="Aptos" w:hAnsi="Aptos"/>
        </w:rPr>
        <w:t>(Fig S</w:t>
      </w:r>
      <w:r w:rsidR="00DF5655">
        <w:rPr>
          <w:rFonts w:ascii="Aptos" w:hAnsi="Aptos"/>
        </w:rPr>
        <w:t>4</w:t>
      </w:r>
      <w:r>
        <w:rPr>
          <w:rFonts w:ascii="Aptos" w:hAnsi="Aptos"/>
        </w:rPr>
        <w:t xml:space="preserve"> e and f) show some</w:t>
      </w:r>
      <w:r w:rsidRPr="00E73264">
        <w:rPr>
          <w:rFonts w:ascii="Aptos" w:hAnsi="Aptos"/>
        </w:rPr>
        <w:t xml:space="preserve"> deviations from normality, primarily in the </w:t>
      </w:r>
      <w:r>
        <w:rPr>
          <w:rFonts w:ascii="Aptos" w:hAnsi="Aptos"/>
        </w:rPr>
        <w:t>end ranges.</w:t>
      </w:r>
      <w:r w:rsidRPr="00E73264">
        <w:rPr>
          <w:rFonts w:ascii="Aptos" w:hAnsi="Aptos"/>
        </w:rPr>
        <w:t xml:space="preserve"> Given the limited sample size, these deviations were considered acceptable and were further accounted for through the use of bootstrap-based confidence intervals.</w:t>
      </w:r>
    </w:p>
    <w:p w14:paraId="753C637A" w14:textId="3DBD4950" w:rsidR="00C073D1" w:rsidRPr="00DF5655" w:rsidRDefault="003A4E29" w:rsidP="00CB5AC5">
      <w:pPr>
        <w:rPr>
          <w:rFonts w:ascii="Aptos" w:hAnsi="Aptos"/>
        </w:rPr>
      </w:pPr>
      <w:r w:rsidRPr="00E73264">
        <w:rPr>
          <w:rFonts w:ascii="Aptos" w:hAnsi="Aptos"/>
        </w:rPr>
        <w:br/>
        <w:t>Pairwise correlations among predictors</w:t>
      </w:r>
      <w:r>
        <w:rPr>
          <w:rFonts w:ascii="Aptos" w:hAnsi="Aptos"/>
        </w:rPr>
        <w:t xml:space="preserve"> (Fig S</w:t>
      </w:r>
      <w:r w:rsidR="00DF5655">
        <w:rPr>
          <w:rFonts w:ascii="Aptos" w:hAnsi="Aptos"/>
        </w:rPr>
        <w:t>4</w:t>
      </w:r>
      <w:r>
        <w:rPr>
          <w:rFonts w:ascii="Aptos" w:hAnsi="Aptos"/>
        </w:rPr>
        <w:t xml:space="preserve"> g)</w:t>
      </w:r>
      <w:r w:rsidRPr="00E73264">
        <w:rPr>
          <w:rFonts w:ascii="Aptos" w:hAnsi="Aptos"/>
        </w:rPr>
        <w:t xml:space="preserve"> reveal</w:t>
      </w:r>
      <w:r>
        <w:rPr>
          <w:rFonts w:ascii="Aptos" w:hAnsi="Aptos"/>
        </w:rPr>
        <w:t xml:space="preserve">ed </w:t>
      </w:r>
      <w:r w:rsidRPr="003B328D">
        <w:rPr>
          <w:rFonts w:ascii="Aptos" w:hAnsi="Aptos"/>
          <w:lang w:val="en-US"/>
        </w:rPr>
        <w:t>strong association between Pain and Amputee status (r ≈ 0.7 across trials), reflecting the nested structure of the sample, and a high correlation between Age and Amputee (r ≈ 0.</w:t>
      </w:r>
      <w:r>
        <w:rPr>
          <w:rFonts w:ascii="Aptos" w:hAnsi="Aptos"/>
          <w:lang w:val="en-US"/>
        </w:rPr>
        <w:t>9</w:t>
      </w:r>
      <w:r w:rsidRPr="003B328D">
        <w:rPr>
          <w:rFonts w:ascii="Aptos" w:hAnsi="Aptos"/>
          <w:lang w:val="en-US"/>
        </w:rPr>
        <w:t>), consistent with demographic imbalance between groups</w:t>
      </w:r>
      <w:r w:rsidRPr="00E73264">
        <w:rPr>
          <w:rFonts w:ascii="Aptos" w:hAnsi="Aptos"/>
        </w:rPr>
        <w:t xml:space="preserve">. Variance inflation factors (VIFs) for all predictors were below the conventional threshold of </w:t>
      </w:r>
      <w:r>
        <w:rPr>
          <w:rFonts w:ascii="Aptos" w:hAnsi="Aptos"/>
        </w:rPr>
        <w:t>(</w:t>
      </w:r>
      <w:r w:rsidRPr="00E73264">
        <w:rPr>
          <w:rFonts w:ascii="Aptos" w:hAnsi="Aptos"/>
        </w:rPr>
        <w:t>5</w:t>
      </w:r>
      <w:r>
        <w:rPr>
          <w:rFonts w:ascii="Aptos" w:hAnsi="Aptos"/>
        </w:rPr>
        <w:t>)</w:t>
      </w:r>
      <w:r w:rsidR="00DF5655">
        <w:rPr>
          <w:rFonts w:ascii="Aptos" w:hAnsi="Aptos"/>
        </w:rPr>
        <w:t xml:space="preserve"> except for Amputation.</w:t>
      </w:r>
    </w:p>
    <w:p w14:paraId="4D847474" w14:textId="7DA4D6A2" w:rsidR="00C073D1" w:rsidRDefault="00C073D1" w:rsidP="00C073D1">
      <w:pPr>
        <w:spacing w:before="100" w:beforeAutospacing="1" w:after="100" w:afterAutospacing="1"/>
        <w:rPr>
          <w:rFonts w:ascii="Aptos" w:hAnsi="Aptos"/>
        </w:rPr>
      </w:pPr>
      <w:r>
        <w:rPr>
          <w:rFonts w:ascii="Aptos" w:hAnsi="Aptos"/>
        </w:rPr>
        <w:t xml:space="preserve">As a diagnostic (not pre-registered) test we refit the model without </w:t>
      </w:r>
      <w:r w:rsidRPr="00C540CC">
        <w:rPr>
          <w:rFonts w:ascii="Aptos" w:hAnsi="Aptos"/>
        </w:rPr>
        <w:t xml:space="preserve">Amputation </w:t>
      </w:r>
      <w:r>
        <w:rPr>
          <w:rFonts w:ascii="Aptos" w:hAnsi="Aptos"/>
        </w:rPr>
        <w:t xml:space="preserve">as a covariate, to inspect if collinearity (indicated by the high correlation and VIF Amp </w:t>
      </w:r>
      <w:r>
        <w:rPr>
          <w:rFonts w:ascii="Aptos" w:hAnsi="Aptos"/>
        </w:rPr>
        <w:t xml:space="preserve">&gt; </w:t>
      </w:r>
      <w:r>
        <w:rPr>
          <w:rFonts w:ascii="Aptos" w:hAnsi="Aptos"/>
        </w:rPr>
        <w:t xml:space="preserve">5) of Amputation and Age might be obscuring the expected Age-related effect. However, this </w:t>
      </w:r>
      <w:r w:rsidRPr="00C540CC">
        <w:rPr>
          <w:rFonts w:ascii="Aptos" w:hAnsi="Aptos"/>
        </w:rPr>
        <w:t>did not strengthen the Age effect—instead, the Age coefficient became smaller</w:t>
      </w:r>
      <w:r>
        <w:rPr>
          <w:rFonts w:ascii="Aptos" w:hAnsi="Aptos"/>
        </w:rPr>
        <w:t xml:space="preserve"> (0.099)</w:t>
      </w:r>
      <w:r w:rsidRPr="00C540CC">
        <w:rPr>
          <w:rFonts w:ascii="Aptos" w:hAnsi="Aptos"/>
        </w:rPr>
        <w:t xml:space="preserve"> and nonsignificant</w:t>
      </w:r>
      <w:r>
        <w:rPr>
          <w:rFonts w:ascii="Aptos" w:hAnsi="Aptos"/>
        </w:rPr>
        <w:t xml:space="preserve"> (p = </w:t>
      </w:r>
      <w:r w:rsidRPr="00F05768">
        <w:rPr>
          <w:rFonts w:ascii="Aptos" w:hAnsi="Aptos"/>
        </w:rPr>
        <w:t>0.54</w:t>
      </w:r>
      <w:r>
        <w:rPr>
          <w:rFonts w:ascii="Aptos" w:hAnsi="Aptos"/>
        </w:rPr>
        <w:t>5)</w:t>
      </w:r>
      <w:r w:rsidRPr="00C540CC">
        <w:rPr>
          <w:rFonts w:ascii="Aptos" w:hAnsi="Aptos"/>
        </w:rPr>
        <w:t xml:space="preserve">—indicating that the null Age finding </w:t>
      </w:r>
      <w:r>
        <w:rPr>
          <w:rFonts w:ascii="Aptos" w:hAnsi="Aptos"/>
        </w:rPr>
        <w:t xml:space="preserve">likely </w:t>
      </w:r>
      <w:r w:rsidRPr="00C540CC">
        <w:rPr>
          <w:rFonts w:ascii="Aptos" w:hAnsi="Aptos"/>
        </w:rPr>
        <w:t xml:space="preserve">is not attributable to collinearity with Amputation. </w:t>
      </w:r>
    </w:p>
    <w:p w14:paraId="5D597FB0" w14:textId="35F655C7" w:rsidR="00C073D1" w:rsidRDefault="00DF5655" w:rsidP="00CB5AC5">
      <w:pPr>
        <w:rPr>
          <w:rFonts w:ascii="Aptos" w:hAnsi="Aptos"/>
          <w:b/>
          <w:bCs/>
        </w:rPr>
      </w:pPr>
      <w:r w:rsidRPr="003B328D">
        <w:rPr>
          <w:rFonts w:ascii="Aptos" w:hAnsi="Aptos"/>
          <w:lang w:val="en-US"/>
        </w:rPr>
        <w:t>The</w:t>
      </w:r>
      <w:r>
        <w:rPr>
          <w:rFonts w:ascii="Aptos" w:hAnsi="Aptos"/>
          <w:lang w:val="en-US"/>
        </w:rPr>
        <w:t xml:space="preserve"> </w:t>
      </w:r>
      <w:r w:rsidRPr="003B328D">
        <w:rPr>
          <w:rFonts w:ascii="Aptos" w:hAnsi="Aptos"/>
          <w:lang w:val="en-US"/>
        </w:rPr>
        <w:t>model converged without warnings</w:t>
      </w:r>
      <w:r>
        <w:rPr>
          <w:rFonts w:ascii="Aptos" w:hAnsi="Aptos"/>
          <w:lang w:val="en-US"/>
        </w:rPr>
        <w:t xml:space="preserve">. </w:t>
      </w:r>
      <w:r w:rsidRPr="00A72510">
        <w:rPr>
          <w:rFonts w:ascii="Aptos" w:hAnsi="Aptos"/>
          <w:b/>
          <w:bCs/>
        </w:rPr>
        <w:t xml:space="preserve">Taken together, the model diagnostics indicate that results should be interpreted with appropriate caution </w:t>
      </w:r>
      <w:r w:rsidRPr="00DF5655">
        <w:rPr>
          <w:rFonts w:ascii="Aptos" w:hAnsi="Aptos"/>
          <w:b/>
          <w:bCs/>
        </w:rPr>
        <w:t>and are presented as a robustness analysis rather than a primary inferential test.</w:t>
      </w:r>
    </w:p>
    <w:p w14:paraId="18165EDB" w14:textId="77777777" w:rsidR="00517987" w:rsidRDefault="00517987" w:rsidP="00CB5AC5">
      <w:pPr>
        <w:rPr>
          <w:rFonts w:ascii="Aptos" w:hAnsi="Aptos"/>
          <w:b/>
          <w:bCs/>
        </w:rPr>
      </w:pPr>
    </w:p>
    <w:p w14:paraId="475D34E7" w14:textId="7FD47C7F" w:rsidR="00517987" w:rsidRDefault="00517987" w:rsidP="00517987">
      <w:pPr>
        <w:pStyle w:val="Heading3"/>
        <w:rPr>
          <w:lang w:val="en-US"/>
        </w:rPr>
      </w:pPr>
      <w:bookmarkStart w:id="7" w:name="_Toc216886398"/>
      <w:r>
        <w:rPr>
          <w:lang w:val="en-US"/>
        </w:rPr>
        <w:lastRenderedPageBreak/>
        <w:t>Linear mixed-effects model of PAF-</w:t>
      </w:r>
      <w:proofErr w:type="spellStart"/>
      <w:r>
        <w:rPr>
          <w:lang w:val="en-US"/>
        </w:rPr>
        <w:t>CoG</w:t>
      </w:r>
      <w:bookmarkEnd w:id="7"/>
      <w:proofErr w:type="spellEnd"/>
    </w:p>
    <w:p w14:paraId="5DC35935" w14:textId="157325A0" w:rsidR="00517987" w:rsidRDefault="00703BFD" w:rsidP="00517987">
      <w:pPr>
        <w:keepNext/>
      </w:pPr>
      <w:r>
        <w:rPr>
          <w:noProof/>
        </w:rPr>
        <w:drawing>
          <wp:inline distT="0" distB="0" distL="0" distR="0" wp14:anchorId="7D772DF5" wp14:editId="47443355">
            <wp:extent cx="5731510" cy="3560445"/>
            <wp:effectExtent l="0" t="0" r="0" b="0"/>
            <wp:docPr id="183401897" name="Picture 12" descr="A collage of graph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01897" name="Picture 12" descr="A collage of graphs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560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A42378C" w14:textId="1FFF43F6" w:rsidR="00517987" w:rsidRPr="0006572B" w:rsidRDefault="00517987" w:rsidP="00517987">
      <w:pPr>
        <w:pStyle w:val="Caption"/>
      </w:pPr>
      <w:r>
        <w:t xml:space="preserve">Figure S </w:t>
      </w:r>
      <w:r>
        <w:fldChar w:fldCharType="begin"/>
      </w:r>
      <w:r>
        <w:instrText xml:space="preserve"> SEQ Figure_S \* ARABIC </w:instrText>
      </w:r>
      <w:r>
        <w:fldChar w:fldCharType="separate"/>
      </w:r>
      <w:r w:rsidR="002A5A7F">
        <w:rPr>
          <w:noProof/>
        </w:rPr>
        <w:t>5</w:t>
      </w:r>
      <w:r>
        <w:fldChar w:fldCharType="end"/>
      </w:r>
      <w:r>
        <w:t xml:space="preserve"> </w:t>
      </w:r>
      <w:r w:rsidRPr="00932587">
        <w:t xml:space="preserve">Diagnostics for the linear mixed-effects model of whole-brain </w:t>
      </w:r>
      <w:r>
        <w:t>PA</w:t>
      </w:r>
      <w:r w:rsidR="00B760AA">
        <w:t>F</w:t>
      </w:r>
      <w:r>
        <w:t>-</w:t>
      </w:r>
      <w:r w:rsidR="00B760AA">
        <w:t>CoG</w:t>
      </w:r>
      <w:r w:rsidRPr="00932587">
        <w:t>.</w:t>
      </w:r>
      <w:r>
        <w:t xml:space="preserve"> </w:t>
      </w:r>
      <w:r w:rsidRPr="00932587">
        <w:t xml:space="preserve">(a) Histogram of </w:t>
      </w:r>
      <w:r w:rsidR="00B760AA">
        <w:t>PA</w:t>
      </w:r>
      <w:r>
        <w:t>F-</w:t>
      </w:r>
      <w:r w:rsidR="00B760AA">
        <w:t>CoG</w:t>
      </w:r>
      <w:r w:rsidRPr="00932587">
        <w:t xml:space="preserve"> per trial.</w:t>
      </w:r>
      <w:r>
        <w:t xml:space="preserve"> </w:t>
      </w:r>
      <w:r w:rsidRPr="00932587">
        <w:t>(b) Distribution of the estimated PLP fixed-effect coefficient obtained from 5,000 subject-level bootstrap resamples.</w:t>
      </w:r>
      <w:r>
        <w:t xml:space="preserve"> </w:t>
      </w:r>
      <w:r w:rsidRPr="00932587">
        <w:t>(c) Distribution of the estimated Amputation fixed-effect coefficient obtained from 5,000 subject-level bootstrap resamples.</w:t>
      </w:r>
      <w:r>
        <w:t xml:space="preserve"> </w:t>
      </w:r>
      <w:r w:rsidRPr="00932587">
        <w:t>(d) Residuals plotted against fitted values from the linear mixed-effects model.</w:t>
      </w:r>
      <w:r>
        <w:t xml:space="preserve"> </w:t>
      </w:r>
      <w:r w:rsidRPr="00932587">
        <w:t>(e) Quantile–quantile (Q–Q) plot of model residuals.</w:t>
      </w:r>
      <w:r>
        <w:t xml:space="preserve"> </w:t>
      </w:r>
      <w:r w:rsidRPr="00932587">
        <w:t>(f) Histogram of model residuals.</w:t>
      </w:r>
      <w:r>
        <w:t xml:space="preserve"> </w:t>
      </w:r>
      <w:r w:rsidRPr="00932587">
        <w:t>(g) Pairwise correlation matrix of fixed-effect predictors included in the model.</w:t>
      </w:r>
      <w:r>
        <w:t xml:space="preserve"> </w:t>
      </w:r>
      <w:r w:rsidRPr="00932587">
        <w:t>(h) Q–Q plot of subject-specific random intercepts.</w:t>
      </w:r>
      <w:r>
        <w:t xml:space="preserve"> </w:t>
      </w:r>
      <w:r w:rsidRPr="00932587">
        <w:t>(i) Histogram of subject-specific random intercepts.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8"/>
        <w:gridCol w:w="1249"/>
      </w:tblGrid>
      <w:tr w:rsidR="00517987" w14:paraId="6EA0AB88" w14:textId="77777777" w:rsidTr="005E7800">
        <w:tc>
          <w:tcPr>
            <w:tcW w:w="2248" w:type="dxa"/>
          </w:tcPr>
          <w:p w14:paraId="4959C1E9" w14:textId="77777777" w:rsidR="00517987" w:rsidRPr="00E73264" w:rsidRDefault="00517987" w:rsidP="005E7800">
            <w:pPr>
              <w:jc w:val="center"/>
              <w:rPr>
                <w:b/>
                <w:bCs/>
              </w:rPr>
            </w:pPr>
            <w:r w:rsidRPr="00E73264">
              <w:rPr>
                <w:b/>
                <w:bCs/>
              </w:rPr>
              <w:t>Model fit statistic</w:t>
            </w:r>
          </w:p>
        </w:tc>
        <w:tc>
          <w:tcPr>
            <w:tcW w:w="1249" w:type="dxa"/>
          </w:tcPr>
          <w:p w14:paraId="1370EF80" w14:textId="77777777" w:rsidR="00517987" w:rsidRPr="00E73264" w:rsidRDefault="00517987" w:rsidP="005E7800">
            <w:pPr>
              <w:jc w:val="center"/>
              <w:rPr>
                <w:b/>
                <w:bCs/>
              </w:rPr>
            </w:pPr>
            <w:r w:rsidRPr="00E73264">
              <w:rPr>
                <w:b/>
                <w:bCs/>
              </w:rPr>
              <w:t>Value</w:t>
            </w:r>
          </w:p>
        </w:tc>
      </w:tr>
      <w:tr w:rsidR="00517987" w14:paraId="4F329AEF" w14:textId="77777777" w:rsidTr="005E7800">
        <w:tc>
          <w:tcPr>
            <w:tcW w:w="2248" w:type="dxa"/>
          </w:tcPr>
          <w:p w14:paraId="24E17CCA" w14:textId="77777777" w:rsidR="00517987" w:rsidRDefault="00517987" w:rsidP="005E7800">
            <w:pPr>
              <w:jc w:val="center"/>
            </w:pPr>
            <w:r>
              <w:t xml:space="preserve">Marginal </w:t>
            </w:r>
            <w:r w:rsidRPr="0006572B">
              <w:t>R</w:t>
            </w:r>
            <w:r w:rsidRPr="0006572B">
              <w:rPr>
                <w:vertAlign w:val="superscript"/>
              </w:rPr>
              <w:t>2</w:t>
            </w:r>
          </w:p>
        </w:tc>
        <w:tc>
          <w:tcPr>
            <w:tcW w:w="1249" w:type="dxa"/>
          </w:tcPr>
          <w:p w14:paraId="797D18F0" w14:textId="1260EE17" w:rsidR="00517987" w:rsidRDefault="00517987" w:rsidP="005E7800">
            <w:pPr>
              <w:jc w:val="center"/>
            </w:pPr>
            <w:r w:rsidRPr="0006572B">
              <w:t>0</w:t>
            </w:r>
            <w:r>
              <w:t>.</w:t>
            </w:r>
            <w:r w:rsidR="00B760AA">
              <w:t>236</w:t>
            </w:r>
          </w:p>
        </w:tc>
      </w:tr>
      <w:tr w:rsidR="00517987" w14:paraId="363B4133" w14:textId="77777777" w:rsidTr="005E7800">
        <w:tc>
          <w:tcPr>
            <w:tcW w:w="2248" w:type="dxa"/>
          </w:tcPr>
          <w:p w14:paraId="636EA44E" w14:textId="77777777" w:rsidR="00517987" w:rsidRDefault="00517987" w:rsidP="005E7800">
            <w:pPr>
              <w:jc w:val="center"/>
            </w:pPr>
            <w:r>
              <w:t xml:space="preserve">Conditional </w:t>
            </w:r>
            <w:r w:rsidRPr="0006572B">
              <w:t>R</w:t>
            </w:r>
            <w:r w:rsidRPr="0006572B">
              <w:rPr>
                <w:vertAlign w:val="superscript"/>
              </w:rPr>
              <w:t>2</w:t>
            </w:r>
          </w:p>
        </w:tc>
        <w:tc>
          <w:tcPr>
            <w:tcW w:w="1249" w:type="dxa"/>
          </w:tcPr>
          <w:p w14:paraId="26A22A3E" w14:textId="5F8D2188" w:rsidR="00517987" w:rsidRDefault="00517987" w:rsidP="005E7800">
            <w:pPr>
              <w:jc w:val="center"/>
            </w:pPr>
            <w:r w:rsidRPr="0006572B">
              <w:t>0.</w:t>
            </w:r>
            <w:r w:rsidR="00B760AA">
              <w:t>861</w:t>
            </w:r>
          </w:p>
        </w:tc>
      </w:tr>
      <w:tr w:rsidR="00517987" w14:paraId="241A7ED9" w14:textId="77777777" w:rsidTr="005E7800">
        <w:tc>
          <w:tcPr>
            <w:tcW w:w="2248" w:type="dxa"/>
          </w:tcPr>
          <w:p w14:paraId="1A410F9B" w14:textId="77777777" w:rsidR="00517987" w:rsidRDefault="00517987" w:rsidP="005E7800">
            <w:pPr>
              <w:jc w:val="center"/>
            </w:pPr>
            <w:r w:rsidRPr="0006572B">
              <w:t>VIF Age</w:t>
            </w:r>
          </w:p>
        </w:tc>
        <w:tc>
          <w:tcPr>
            <w:tcW w:w="1249" w:type="dxa"/>
          </w:tcPr>
          <w:p w14:paraId="4D006B20" w14:textId="6C3A8FD3" w:rsidR="00517987" w:rsidRDefault="00B760AA" w:rsidP="00B760AA">
            <w:pPr>
              <w:jc w:val="center"/>
            </w:pPr>
            <w:r w:rsidRPr="00B760AA">
              <w:t>1.9423</w:t>
            </w:r>
          </w:p>
        </w:tc>
      </w:tr>
      <w:tr w:rsidR="00517987" w14:paraId="0CE84AB8" w14:textId="77777777" w:rsidTr="005E7800">
        <w:tc>
          <w:tcPr>
            <w:tcW w:w="2248" w:type="dxa"/>
          </w:tcPr>
          <w:p w14:paraId="2781049B" w14:textId="77777777" w:rsidR="00517987" w:rsidRDefault="00517987" w:rsidP="005E7800">
            <w:pPr>
              <w:jc w:val="center"/>
            </w:pPr>
            <w:r w:rsidRPr="0006572B">
              <w:t>VIF Amp</w:t>
            </w:r>
          </w:p>
        </w:tc>
        <w:tc>
          <w:tcPr>
            <w:tcW w:w="1249" w:type="dxa"/>
          </w:tcPr>
          <w:p w14:paraId="1B9A6383" w14:textId="756E25C0" w:rsidR="00517987" w:rsidRDefault="00B760AA" w:rsidP="00B760AA">
            <w:pPr>
              <w:jc w:val="center"/>
            </w:pPr>
            <w:r w:rsidRPr="00B760AA">
              <w:t>3.4419</w:t>
            </w:r>
          </w:p>
        </w:tc>
      </w:tr>
      <w:tr w:rsidR="00517987" w14:paraId="54C95C48" w14:textId="77777777" w:rsidTr="005E7800">
        <w:tc>
          <w:tcPr>
            <w:tcW w:w="2248" w:type="dxa"/>
          </w:tcPr>
          <w:p w14:paraId="46873C2D" w14:textId="77777777" w:rsidR="00517987" w:rsidRDefault="00517987" w:rsidP="005E7800">
            <w:pPr>
              <w:jc w:val="center"/>
            </w:pPr>
            <w:r w:rsidRPr="0006572B">
              <w:t>VIF Pain</w:t>
            </w:r>
          </w:p>
        </w:tc>
        <w:tc>
          <w:tcPr>
            <w:tcW w:w="1249" w:type="dxa"/>
          </w:tcPr>
          <w:p w14:paraId="4D1C6130" w14:textId="74451D71" w:rsidR="00517987" w:rsidRDefault="00B760AA" w:rsidP="00B760AA">
            <w:pPr>
              <w:jc w:val="center"/>
            </w:pPr>
            <w:r w:rsidRPr="00B760AA">
              <w:t>2.1707</w:t>
            </w:r>
          </w:p>
        </w:tc>
      </w:tr>
      <w:tr w:rsidR="00517987" w14:paraId="15AFC321" w14:textId="77777777" w:rsidTr="005E7800">
        <w:tc>
          <w:tcPr>
            <w:tcW w:w="2248" w:type="dxa"/>
          </w:tcPr>
          <w:p w14:paraId="4BE61AEF" w14:textId="77777777" w:rsidR="00517987" w:rsidRPr="0006572B" w:rsidRDefault="00517987" w:rsidP="005E7800">
            <w:pPr>
              <w:jc w:val="center"/>
            </w:pPr>
            <w:r w:rsidRPr="0006572B">
              <w:t>VIF Sex</w:t>
            </w:r>
          </w:p>
        </w:tc>
        <w:tc>
          <w:tcPr>
            <w:tcW w:w="1249" w:type="dxa"/>
          </w:tcPr>
          <w:p w14:paraId="55A4286D" w14:textId="7B6D2765" w:rsidR="00517987" w:rsidRPr="0006572B" w:rsidRDefault="00B760AA" w:rsidP="00B760AA">
            <w:pPr>
              <w:jc w:val="center"/>
            </w:pPr>
            <w:r w:rsidRPr="00B760AA">
              <w:t>1.1105</w:t>
            </w:r>
          </w:p>
        </w:tc>
      </w:tr>
    </w:tbl>
    <w:p w14:paraId="4DDD8C53" w14:textId="77777777" w:rsidR="00517987" w:rsidRDefault="00517987" w:rsidP="00CB5AC5">
      <w:pPr>
        <w:rPr>
          <w:lang w:val="en-US"/>
        </w:rPr>
      </w:pPr>
    </w:p>
    <w:p w14:paraId="3068D8AB" w14:textId="646BD025" w:rsidR="002A5A7F" w:rsidRPr="0069215B" w:rsidRDefault="002A5A7F" w:rsidP="002A5A7F">
      <w:pPr>
        <w:rPr>
          <w:rFonts w:asciiTheme="minorHAnsi" w:hAnsiTheme="minorHAnsi"/>
        </w:rPr>
      </w:pPr>
      <w:r w:rsidRPr="00E73264">
        <w:rPr>
          <w:rFonts w:ascii="Aptos" w:hAnsi="Aptos"/>
        </w:rPr>
        <w:t>Model fit was quantified using marginal and conditional R² values. The marginal R² reflects the variance explained by the fixed effects alone, while the conditional R² reflects the variance explained by both fixed and random effects. The difference between these values indicates that a substantial portion of variance was attributable to between-subject differences captured by the random intercepts.</w:t>
      </w:r>
    </w:p>
    <w:p w14:paraId="7F64B91D" w14:textId="6E01360F" w:rsidR="00703BFD" w:rsidRDefault="002A5A7F" w:rsidP="002A5A7F">
      <w:pPr>
        <w:rPr>
          <w:rFonts w:ascii="Aptos" w:hAnsi="Aptos"/>
        </w:rPr>
      </w:pPr>
      <w:r w:rsidRPr="00E73264">
        <w:rPr>
          <w:rFonts w:ascii="Aptos" w:hAnsi="Aptos"/>
        </w:rPr>
        <w:br/>
      </w:r>
      <w:r w:rsidR="00703BFD" w:rsidRPr="00E73264">
        <w:rPr>
          <w:rFonts w:ascii="Aptos" w:hAnsi="Aptos"/>
        </w:rPr>
        <w:t xml:space="preserve">The histogram of the dependent variable </w:t>
      </w:r>
      <w:r w:rsidR="00703BFD">
        <w:rPr>
          <w:rFonts w:ascii="Aptos" w:hAnsi="Aptos"/>
        </w:rPr>
        <w:t>(Fig S</w:t>
      </w:r>
      <w:r w:rsidR="00703BFD">
        <w:rPr>
          <w:rFonts w:ascii="Aptos" w:hAnsi="Aptos"/>
        </w:rPr>
        <w:t>5</w:t>
      </w:r>
      <w:r w:rsidR="00703BFD">
        <w:rPr>
          <w:rFonts w:ascii="Aptos" w:hAnsi="Aptos"/>
        </w:rPr>
        <w:t xml:space="preserve"> a) </w:t>
      </w:r>
      <w:r w:rsidR="00703BFD" w:rsidRPr="00E73264">
        <w:rPr>
          <w:rFonts w:ascii="Aptos" w:hAnsi="Aptos"/>
        </w:rPr>
        <w:t xml:space="preserve">indicate a </w:t>
      </w:r>
      <w:r w:rsidR="00703BFD">
        <w:rPr>
          <w:rFonts w:ascii="Aptos" w:hAnsi="Aptos"/>
        </w:rPr>
        <w:t>somewhat skewed</w:t>
      </w:r>
      <w:r w:rsidR="00703BFD" w:rsidRPr="00E73264">
        <w:rPr>
          <w:rFonts w:ascii="Aptos" w:hAnsi="Aptos"/>
        </w:rPr>
        <w:t xml:space="preserve"> distribution. No extreme values suggesting gross violations of distributional assumptions </w:t>
      </w:r>
      <w:r w:rsidR="00703BFD">
        <w:rPr>
          <w:rFonts w:ascii="Aptos" w:hAnsi="Aptos"/>
        </w:rPr>
        <w:t>a</w:t>
      </w:r>
      <w:r w:rsidR="00703BFD" w:rsidRPr="00E73264">
        <w:rPr>
          <w:rFonts w:ascii="Aptos" w:hAnsi="Aptos"/>
        </w:rPr>
        <w:t>re observed.</w:t>
      </w:r>
    </w:p>
    <w:p w14:paraId="6D10BEC1" w14:textId="77777777" w:rsidR="00703BFD" w:rsidRDefault="00703BFD" w:rsidP="002A5A7F">
      <w:pPr>
        <w:rPr>
          <w:rFonts w:ascii="Aptos" w:hAnsi="Aptos"/>
        </w:rPr>
      </w:pPr>
    </w:p>
    <w:p w14:paraId="3BD20B3E" w14:textId="561E8CEA" w:rsidR="002A5A7F" w:rsidRPr="00703BFD" w:rsidRDefault="002A5A7F" w:rsidP="002A5A7F">
      <w:pPr>
        <w:rPr>
          <w:rFonts w:ascii="Aptos" w:hAnsi="Aptos"/>
          <w:b/>
          <w:bCs/>
        </w:rPr>
      </w:pPr>
      <w:r w:rsidRPr="00E73264">
        <w:rPr>
          <w:rFonts w:ascii="Aptos" w:hAnsi="Aptos"/>
        </w:rPr>
        <w:t>The bootstrap distributions of the fixed-effect coefficients for PLP and Amputation</w:t>
      </w:r>
      <w:r>
        <w:rPr>
          <w:rFonts w:ascii="Aptos" w:hAnsi="Aptos"/>
        </w:rPr>
        <w:t xml:space="preserve"> (Fig S</w:t>
      </w:r>
      <w:r>
        <w:rPr>
          <w:rFonts w:ascii="Aptos" w:hAnsi="Aptos"/>
        </w:rPr>
        <w:t>5</w:t>
      </w:r>
      <w:r>
        <w:rPr>
          <w:rFonts w:ascii="Aptos" w:hAnsi="Aptos"/>
        </w:rPr>
        <w:t xml:space="preserve"> b and c)</w:t>
      </w:r>
      <w:r w:rsidRPr="00E73264">
        <w:rPr>
          <w:rFonts w:ascii="Aptos" w:hAnsi="Aptos"/>
        </w:rPr>
        <w:t xml:space="preserve"> </w:t>
      </w:r>
      <w:r>
        <w:rPr>
          <w:rFonts w:ascii="Aptos" w:hAnsi="Aptos"/>
        </w:rPr>
        <w:t>a</w:t>
      </w:r>
      <w:r w:rsidRPr="00E73264">
        <w:rPr>
          <w:rFonts w:ascii="Aptos" w:hAnsi="Aptos"/>
        </w:rPr>
        <w:t>re approximately bell-shaped. The absence of multimodality suggests that estimates were not driven by a small number of influential subjects.</w:t>
      </w:r>
    </w:p>
    <w:p w14:paraId="04062AEF" w14:textId="2E0CB320" w:rsidR="002A5A7F" w:rsidRDefault="002A5A7F" w:rsidP="002A5A7F">
      <w:pPr>
        <w:rPr>
          <w:rFonts w:ascii="Aptos" w:hAnsi="Aptos"/>
        </w:rPr>
      </w:pPr>
      <w:r w:rsidRPr="00E73264">
        <w:rPr>
          <w:rFonts w:ascii="Aptos" w:hAnsi="Aptos"/>
        </w:rPr>
        <w:lastRenderedPageBreak/>
        <w:br/>
        <w:t xml:space="preserve">Residuals </w:t>
      </w:r>
      <w:r>
        <w:rPr>
          <w:rFonts w:ascii="Aptos" w:hAnsi="Aptos"/>
        </w:rPr>
        <w:t>(Fig S</w:t>
      </w:r>
      <w:r>
        <w:rPr>
          <w:rFonts w:ascii="Aptos" w:hAnsi="Aptos"/>
        </w:rPr>
        <w:t>5</w:t>
      </w:r>
      <w:r>
        <w:rPr>
          <w:rFonts w:ascii="Aptos" w:hAnsi="Aptos"/>
        </w:rPr>
        <w:t xml:space="preserve"> d) a</w:t>
      </w:r>
      <w:r w:rsidRPr="00E73264">
        <w:rPr>
          <w:rFonts w:ascii="Aptos" w:hAnsi="Aptos"/>
        </w:rPr>
        <w:t>re centered around zero across the range of fitted values, with no clear systematic structure, providing no strong evidence for heteroscedasticity or major model misspecification.</w:t>
      </w:r>
      <w:r>
        <w:rPr>
          <w:rFonts w:ascii="Aptos" w:hAnsi="Aptos"/>
        </w:rPr>
        <w:t xml:space="preserve"> </w:t>
      </w:r>
      <w:r w:rsidRPr="00E73264">
        <w:rPr>
          <w:rFonts w:ascii="Aptos" w:hAnsi="Aptos"/>
        </w:rPr>
        <w:t xml:space="preserve">The Q–Q plot and histogram </w:t>
      </w:r>
      <w:r>
        <w:rPr>
          <w:rFonts w:ascii="Aptos" w:hAnsi="Aptos"/>
        </w:rPr>
        <w:t>(Fig S</w:t>
      </w:r>
      <w:r>
        <w:rPr>
          <w:rFonts w:ascii="Aptos" w:hAnsi="Aptos"/>
        </w:rPr>
        <w:t>5</w:t>
      </w:r>
      <w:r>
        <w:rPr>
          <w:rFonts w:ascii="Aptos" w:hAnsi="Aptos"/>
        </w:rPr>
        <w:t xml:space="preserve"> e and f) show some</w:t>
      </w:r>
      <w:r w:rsidRPr="00E73264">
        <w:rPr>
          <w:rFonts w:ascii="Aptos" w:hAnsi="Aptos"/>
        </w:rPr>
        <w:t xml:space="preserve"> deviations from normality, primarily in the </w:t>
      </w:r>
      <w:r>
        <w:rPr>
          <w:rFonts w:ascii="Aptos" w:hAnsi="Aptos"/>
        </w:rPr>
        <w:t>end ranges.</w:t>
      </w:r>
      <w:r w:rsidRPr="00E73264">
        <w:rPr>
          <w:rFonts w:ascii="Aptos" w:hAnsi="Aptos"/>
        </w:rPr>
        <w:t xml:space="preserve"> Given the limited sample size, these deviations were considered acceptable and were further accounted for through the use of bootstrap-based confidence intervals.</w:t>
      </w:r>
    </w:p>
    <w:p w14:paraId="7BA9CB64" w14:textId="2316EF10" w:rsidR="002A5A7F" w:rsidRDefault="002A5A7F" w:rsidP="002A5A7F">
      <w:pPr>
        <w:rPr>
          <w:rFonts w:ascii="Aptos" w:hAnsi="Aptos"/>
        </w:rPr>
      </w:pPr>
      <w:r w:rsidRPr="00E73264">
        <w:rPr>
          <w:rFonts w:ascii="Aptos" w:hAnsi="Aptos"/>
        </w:rPr>
        <w:br/>
        <w:t>Pairwise correlations among fixed-effect predictors</w:t>
      </w:r>
      <w:r>
        <w:rPr>
          <w:rFonts w:ascii="Aptos" w:hAnsi="Aptos"/>
        </w:rPr>
        <w:t xml:space="preserve"> (Fig S</w:t>
      </w:r>
      <w:r>
        <w:rPr>
          <w:rFonts w:ascii="Aptos" w:hAnsi="Aptos"/>
        </w:rPr>
        <w:t>5</w:t>
      </w:r>
      <w:r>
        <w:rPr>
          <w:rFonts w:ascii="Aptos" w:hAnsi="Aptos"/>
        </w:rPr>
        <w:t xml:space="preserve"> g)</w:t>
      </w:r>
      <w:r w:rsidRPr="00E73264">
        <w:rPr>
          <w:rFonts w:ascii="Aptos" w:hAnsi="Aptos"/>
        </w:rPr>
        <w:t xml:space="preserve"> reveal</w:t>
      </w:r>
      <w:r>
        <w:rPr>
          <w:rFonts w:ascii="Aptos" w:hAnsi="Aptos"/>
        </w:rPr>
        <w:t xml:space="preserve">ed </w:t>
      </w:r>
      <w:r w:rsidRPr="003B328D">
        <w:rPr>
          <w:rFonts w:ascii="Aptos" w:hAnsi="Aptos"/>
          <w:lang w:val="en-US"/>
        </w:rPr>
        <w:t>strong association between Pain and Amputee status (r ≈ 0.7 across trials), reflecting the nested structure of the sample, and a moderate-to-high correlation between Age and Amputee (r ≈ 0.8), consistent with demographic imbalance between groups</w:t>
      </w:r>
      <w:r w:rsidRPr="00E73264">
        <w:rPr>
          <w:rFonts w:ascii="Aptos" w:hAnsi="Aptos"/>
        </w:rPr>
        <w:t xml:space="preserve">. Variance inflation factors (VIFs) for all predictors were below the conventional threshold of </w:t>
      </w:r>
      <w:r>
        <w:rPr>
          <w:rFonts w:ascii="Aptos" w:hAnsi="Aptos"/>
        </w:rPr>
        <w:t>(</w:t>
      </w:r>
      <w:r w:rsidRPr="00E73264">
        <w:rPr>
          <w:rFonts w:ascii="Aptos" w:hAnsi="Aptos"/>
        </w:rPr>
        <w:t>5</w:t>
      </w:r>
      <w:r>
        <w:rPr>
          <w:rFonts w:ascii="Aptos" w:hAnsi="Aptos"/>
        </w:rPr>
        <w:t>)</w:t>
      </w:r>
      <w:r w:rsidRPr="00E73264">
        <w:rPr>
          <w:rFonts w:ascii="Aptos" w:hAnsi="Aptos"/>
        </w:rPr>
        <w:t>, indicating that multicollinearity was unlikely to substantially inflate standard errors or compromise interpretability of the fixed-effect estimates.</w:t>
      </w:r>
    </w:p>
    <w:p w14:paraId="3BECC0DA" w14:textId="7A3D1EDC" w:rsidR="002A5A7F" w:rsidRPr="00E73264" w:rsidRDefault="002A5A7F" w:rsidP="002A5A7F">
      <w:pPr>
        <w:rPr>
          <w:rFonts w:ascii="Aptos" w:hAnsi="Aptos"/>
        </w:rPr>
      </w:pPr>
      <w:r w:rsidRPr="00E73264">
        <w:rPr>
          <w:rFonts w:ascii="Aptos" w:hAnsi="Aptos"/>
        </w:rPr>
        <w:br/>
        <w:t>The Q–Q plot and histogram of subject-specific random intercepts</w:t>
      </w:r>
      <w:r>
        <w:rPr>
          <w:rFonts w:ascii="Aptos" w:hAnsi="Aptos"/>
        </w:rPr>
        <w:t xml:space="preserve"> (Fig S</w:t>
      </w:r>
      <w:r>
        <w:rPr>
          <w:rFonts w:ascii="Aptos" w:hAnsi="Aptos"/>
        </w:rPr>
        <w:t>5</w:t>
      </w:r>
      <w:r>
        <w:rPr>
          <w:rFonts w:ascii="Aptos" w:hAnsi="Aptos"/>
        </w:rPr>
        <w:t xml:space="preserve"> h and i)</w:t>
      </w:r>
      <w:r w:rsidRPr="00E73264">
        <w:rPr>
          <w:rFonts w:ascii="Aptos" w:hAnsi="Aptos"/>
        </w:rPr>
        <w:t xml:space="preserve"> showed </w:t>
      </w:r>
      <w:r>
        <w:rPr>
          <w:rFonts w:ascii="Aptos" w:hAnsi="Aptos"/>
        </w:rPr>
        <w:t>some deviations from normality.</w:t>
      </w:r>
      <w:r w:rsidRPr="00E73264">
        <w:rPr>
          <w:rFonts w:ascii="Aptos" w:hAnsi="Aptos"/>
        </w:rPr>
        <w:t xml:space="preserve"> No extreme outliers were observed, supporting the adequacy of the random-intercept specification.</w:t>
      </w:r>
    </w:p>
    <w:p w14:paraId="666AF5E9" w14:textId="77777777" w:rsidR="002A5A7F" w:rsidRDefault="002A5A7F" w:rsidP="00CB5AC5">
      <w:pPr>
        <w:rPr>
          <w:lang w:val="en-US"/>
        </w:rPr>
      </w:pPr>
    </w:p>
    <w:p w14:paraId="1C58FADE" w14:textId="4640A645" w:rsidR="002A5A7F" w:rsidRDefault="002A5A7F" w:rsidP="00CB5AC5">
      <w:pPr>
        <w:rPr>
          <w:rFonts w:ascii="Aptos" w:hAnsi="Aptos"/>
          <w:b/>
          <w:bCs/>
          <w:lang w:val="en-US"/>
        </w:rPr>
      </w:pPr>
      <w:r w:rsidRPr="003B328D">
        <w:rPr>
          <w:rFonts w:ascii="Aptos" w:hAnsi="Aptos"/>
          <w:lang w:val="en-US"/>
        </w:rPr>
        <w:t>The</w:t>
      </w:r>
      <w:r>
        <w:rPr>
          <w:rFonts w:ascii="Aptos" w:hAnsi="Aptos"/>
          <w:lang w:val="en-US"/>
        </w:rPr>
        <w:t xml:space="preserve"> </w:t>
      </w:r>
      <w:r w:rsidRPr="003B328D">
        <w:rPr>
          <w:rFonts w:ascii="Aptos" w:hAnsi="Aptos"/>
          <w:lang w:val="en-US"/>
        </w:rPr>
        <w:t>model converged without warnings</w:t>
      </w:r>
      <w:r>
        <w:rPr>
          <w:rFonts w:ascii="Aptos" w:hAnsi="Aptos"/>
          <w:lang w:val="en-US"/>
        </w:rPr>
        <w:t xml:space="preserve">. </w:t>
      </w:r>
      <w:r w:rsidRPr="00F05768">
        <w:rPr>
          <w:rFonts w:ascii="Aptos" w:hAnsi="Aptos"/>
          <w:b/>
          <w:bCs/>
          <w:lang w:val="en-US"/>
        </w:rPr>
        <w:t>Taken together, the model diagnostics did not indicate violations severe enough to invalidate the resulting inferences.</w:t>
      </w:r>
    </w:p>
    <w:p w14:paraId="4BD8BA2E" w14:textId="15B90282" w:rsidR="002A5A7F" w:rsidRDefault="002A5A7F" w:rsidP="002A5A7F">
      <w:pPr>
        <w:pStyle w:val="Heading3"/>
        <w:rPr>
          <w:lang w:val="en-US"/>
        </w:rPr>
      </w:pPr>
      <w:bookmarkStart w:id="8" w:name="_Toc216886399"/>
      <w:r>
        <w:rPr>
          <w:lang w:val="en-US"/>
        </w:rPr>
        <w:t>Subject-level linear model of PAF-</w:t>
      </w:r>
      <w:proofErr w:type="spellStart"/>
      <w:r>
        <w:rPr>
          <w:lang w:val="en-US"/>
        </w:rPr>
        <w:t>CoG</w:t>
      </w:r>
      <w:bookmarkEnd w:id="8"/>
      <w:proofErr w:type="spellEnd"/>
    </w:p>
    <w:p w14:paraId="546B50A0" w14:textId="16649FD3" w:rsidR="002A5A7F" w:rsidRDefault="00703BFD" w:rsidP="002A5A7F">
      <w:pPr>
        <w:keepNext/>
      </w:pPr>
      <w:r>
        <w:rPr>
          <w:noProof/>
        </w:rPr>
        <w:drawing>
          <wp:inline distT="0" distB="0" distL="0" distR="0" wp14:anchorId="2D5427F0" wp14:editId="1232F095">
            <wp:extent cx="5731510" cy="3662045"/>
            <wp:effectExtent l="0" t="0" r="0" b="0"/>
            <wp:docPr id="1458829713" name="Picture 13" descr="A group of blue graph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829713" name="Picture 13" descr="A group of blue graphs&#10;&#10;Description automatically generated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662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0E2C4" w14:textId="64AF5397" w:rsidR="002A5A7F" w:rsidRPr="0006572B" w:rsidRDefault="002A5A7F" w:rsidP="002A5A7F">
      <w:pPr>
        <w:pStyle w:val="Caption"/>
      </w:pPr>
      <w:r>
        <w:t xml:space="preserve">Figure S </w:t>
      </w:r>
      <w:r>
        <w:fldChar w:fldCharType="begin"/>
      </w:r>
      <w:r>
        <w:instrText xml:space="preserve"> SEQ Figure_S \* ARABIC </w:instrText>
      </w:r>
      <w:r>
        <w:fldChar w:fldCharType="separate"/>
      </w:r>
      <w:r w:rsidR="00C91A80">
        <w:rPr>
          <w:noProof/>
        </w:rPr>
        <w:t>6</w:t>
      </w:r>
      <w:r>
        <w:fldChar w:fldCharType="end"/>
      </w:r>
      <w:r>
        <w:t xml:space="preserve"> </w:t>
      </w:r>
      <w:r w:rsidRPr="00932587">
        <w:t xml:space="preserve">Diagnostics for the </w:t>
      </w:r>
      <w:r>
        <w:t xml:space="preserve">subject level linear </w:t>
      </w:r>
      <w:r w:rsidRPr="00932587">
        <w:t xml:space="preserve">model of whole-brain </w:t>
      </w:r>
      <w:r>
        <w:t>PAF-</w:t>
      </w:r>
      <w:r>
        <w:t>CoG</w:t>
      </w:r>
      <w:r w:rsidRPr="00932587">
        <w:t>.</w:t>
      </w:r>
      <w:r>
        <w:t xml:space="preserve"> </w:t>
      </w:r>
      <w:r w:rsidRPr="00932587">
        <w:t xml:space="preserve">(a) Histogram </w:t>
      </w:r>
      <w:r>
        <w:t>of PAF-</w:t>
      </w:r>
      <w:r>
        <w:t>CoG</w:t>
      </w:r>
      <w:r w:rsidRPr="00932587">
        <w:t xml:space="preserve"> per </w:t>
      </w:r>
      <w:r>
        <w:t>subject</w:t>
      </w:r>
      <w:r w:rsidRPr="00932587">
        <w:t>.</w:t>
      </w:r>
      <w:r>
        <w:t xml:space="preserve"> </w:t>
      </w:r>
      <w:r w:rsidRPr="00932587">
        <w:t>(b) Distribution of the estimated PLP fixed-effect coefficient obtained from 5,000 subject-level bootstrap resamples.</w:t>
      </w:r>
      <w:r>
        <w:t xml:space="preserve"> </w:t>
      </w:r>
      <w:r w:rsidRPr="00932587">
        <w:t>(c) Distribution of the estimated Amputation fixed-effect coefficient obtained from 5,000 subject-level bootstrap resamples.</w:t>
      </w:r>
      <w:r>
        <w:t xml:space="preserve"> </w:t>
      </w:r>
      <w:r w:rsidRPr="00932587">
        <w:t>(d) Residuals plotted against fitted values from the linear model.</w:t>
      </w:r>
      <w:r>
        <w:t xml:space="preserve"> </w:t>
      </w:r>
      <w:r w:rsidRPr="00932587">
        <w:t xml:space="preserve">(e) Quantile–quantile (Q–Q) </w:t>
      </w:r>
      <w:r w:rsidRPr="00932587">
        <w:lastRenderedPageBreak/>
        <w:t>plot of model residuals.</w:t>
      </w:r>
      <w:r>
        <w:t xml:space="preserve"> </w:t>
      </w:r>
      <w:r w:rsidRPr="00932587">
        <w:t>(f) Histogram of model residuals.</w:t>
      </w:r>
      <w:r>
        <w:t xml:space="preserve"> </w:t>
      </w:r>
      <w:r w:rsidRPr="00932587">
        <w:t>(g) Pairwise correlation matrix of predictors included in the model.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8"/>
        <w:gridCol w:w="1249"/>
      </w:tblGrid>
      <w:tr w:rsidR="002A5A7F" w14:paraId="501AA42E" w14:textId="77777777" w:rsidTr="005E7800">
        <w:tc>
          <w:tcPr>
            <w:tcW w:w="2248" w:type="dxa"/>
          </w:tcPr>
          <w:p w14:paraId="21084E79" w14:textId="77777777" w:rsidR="002A5A7F" w:rsidRPr="00E73264" w:rsidRDefault="002A5A7F" w:rsidP="005E7800">
            <w:pPr>
              <w:jc w:val="center"/>
              <w:rPr>
                <w:b/>
                <w:bCs/>
              </w:rPr>
            </w:pPr>
            <w:r w:rsidRPr="00E73264">
              <w:rPr>
                <w:b/>
                <w:bCs/>
              </w:rPr>
              <w:t>Model fit statistic</w:t>
            </w:r>
          </w:p>
        </w:tc>
        <w:tc>
          <w:tcPr>
            <w:tcW w:w="1249" w:type="dxa"/>
          </w:tcPr>
          <w:p w14:paraId="56B7468E" w14:textId="77777777" w:rsidR="002A5A7F" w:rsidRPr="00E73264" w:rsidRDefault="002A5A7F" w:rsidP="005E7800">
            <w:pPr>
              <w:jc w:val="center"/>
              <w:rPr>
                <w:b/>
                <w:bCs/>
              </w:rPr>
            </w:pPr>
            <w:r w:rsidRPr="00E73264">
              <w:rPr>
                <w:b/>
                <w:bCs/>
              </w:rPr>
              <w:t>Value</w:t>
            </w:r>
          </w:p>
        </w:tc>
      </w:tr>
      <w:tr w:rsidR="002A5A7F" w14:paraId="0B28F8E6" w14:textId="77777777" w:rsidTr="005E7800">
        <w:tc>
          <w:tcPr>
            <w:tcW w:w="2248" w:type="dxa"/>
          </w:tcPr>
          <w:p w14:paraId="29195673" w14:textId="77777777" w:rsidR="002A5A7F" w:rsidRDefault="002A5A7F" w:rsidP="005E7800">
            <w:pPr>
              <w:jc w:val="center"/>
            </w:pPr>
            <w:r>
              <w:t xml:space="preserve">Ordinary </w:t>
            </w:r>
            <w:r w:rsidRPr="0006572B">
              <w:t>R</w:t>
            </w:r>
            <w:r w:rsidRPr="0006572B">
              <w:rPr>
                <w:vertAlign w:val="superscript"/>
              </w:rPr>
              <w:t>2</w:t>
            </w:r>
          </w:p>
        </w:tc>
        <w:tc>
          <w:tcPr>
            <w:tcW w:w="1249" w:type="dxa"/>
          </w:tcPr>
          <w:p w14:paraId="4C16362B" w14:textId="7E6BF015" w:rsidR="002A5A7F" w:rsidRDefault="002A5A7F" w:rsidP="005E7800">
            <w:pPr>
              <w:jc w:val="center"/>
            </w:pPr>
            <w:r w:rsidRPr="0006572B">
              <w:t>0.</w:t>
            </w:r>
            <w:r>
              <w:t>205</w:t>
            </w:r>
          </w:p>
        </w:tc>
      </w:tr>
      <w:tr w:rsidR="002A5A7F" w14:paraId="200884AD" w14:textId="77777777" w:rsidTr="005E7800">
        <w:tc>
          <w:tcPr>
            <w:tcW w:w="2248" w:type="dxa"/>
          </w:tcPr>
          <w:p w14:paraId="3DE14AE6" w14:textId="77777777" w:rsidR="002A5A7F" w:rsidRDefault="002A5A7F" w:rsidP="005E7800">
            <w:pPr>
              <w:jc w:val="center"/>
            </w:pPr>
            <w:r>
              <w:t xml:space="preserve">Adjusted </w:t>
            </w:r>
            <w:r w:rsidRPr="0006572B">
              <w:t>R</w:t>
            </w:r>
            <w:r w:rsidRPr="0006572B">
              <w:rPr>
                <w:vertAlign w:val="superscript"/>
              </w:rPr>
              <w:t>2</w:t>
            </w:r>
          </w:p>
        </w:tc>
        <w:tc>
          <w:tcPr>
            <w:tcW w:w="1249" w:type="dxa"/>
          </w:tcPr>
          <w:p w14:paraId="07032E01" w14:textId="2DBD54C5" w:rsidR="002A5A7F" w:rsidRDefault="002A5A7F" w:rsidP="005E7800">
            <w:pPr>
              <w:jc w:val="center"/>
            </w:pPr>
            <w:r>
              <w:t>0.</w:t>
            </w:r>
            <w:r>
              <w:t>109</w:t>
            </w:r>
          </w:p>
        </w:tc>
      </w:tr>
      <w:tr w:rsidR="002A5A7F" w14:paraId="5D825497" w14:textId="77777777" w:rsidTr="005E7800">
        <w:tc>
          <w:tcPr>
            <w:tcW w:w="2248" w:type="dxa"/>
          </w:tcPr>
          <w:p w14:paraId="01D6B00D" w14:textId="77777777" w:rsidR="002A5A7F" w:rsidRDefault="002A5A7F" w:rsidP="005E7800">
            <w:pPr>
              <w:jc w:val="center"/>
            </w:pPr>
            <w:r w:rsidRPr="0006572B">
              <w:t>VIF Age</w:t>
            </w:r>
          </w:p>
        </w:tc>
        <w:tc>
          <w:tcPr>
            <w:tcW w:w="1249" w:type="dxa"/>
          </w:tcPr>
          <w:p w14:paraId="242C95FA" w14:textId="375243F9" w:rsidR="002A5A7F" w:rsidRDefault="002A5A7F" w:rsidP="002A5A7F">
            <w:pPr>
              <w:jc w:val="center"/>
            </w:pPr>
            <w:r w:rsidRPr="002A5A7F">
              <w:t>2.915</w:t>
            </w:r>
          </w:p>
        </w:tc>
      </w:tr>
      <w:tr w:rsidR="002A5A7F" w14:paraId="6B97E9A9" w14:textId="77777777" w:rsidTr="005E7800">
        <w:tc>
          <w:tcPr>
            <w:tcW w:w="2248" w:type="dxa"/>
          </w:tcPr>
          <w:p w14:paraId="6BF3FB3F" w14:textId="77777777" w:rsidR="002A5A7F" w:rsidRDefault="002A5A7F" w:rsidP="005E7800">
            <w:pPr>
              <w:jc w:val="center"/>
            </w:pPr>
            <w:r w:rsidRPr="0006572B">
              <w:t>VIF Amp</w:t>
            </w:r>
          </w:p>
        </w:tc>
        <w:tc>
          <w:tcPr>
            <w:tcW w:w="1249" w:type="dxa"/>
          </w:tcPr>
          <w:p w14:paraId="09FA8A4A" w14:textId="59453B4F" w:rsidR="002A5A7F" w:rsidRDefault="002A5A7F" w:rsidP="002A5A7F">
            <w:pPr>
              <w:jc w:val="center"/>
            </w:pPr>
            <w:r w:rsidRPr="002A5A7F">
              <w:t>4.3999</w:t>
            </w:r>
          </w:p>
        </w:tc>
      </w:tr>
      <w:tr w:rsidR="002A5A7F" w14:paraId="49E57219" w14:textId="77777777" w:rsidTr="005E7800">
        <w:tc>
          <w:tcPr>
            <w:tcW w:w="2248" w:type="dxa"/>
          </w:tcPr>
          <w:p w14:paraId="3DEBDBC0" w14:textId="77777777" w:rsidR="002A5A7F" w:rsidRDefault="002A5A7F" w:rsidP="005E7800">
            <w:pPr>
              <w:jc w:val="center"/>
            </w:pPr>
            <w:r w:rsidRPr="0006572B">
              <w:t>VIF Pain</w:t>
            </w:r>
          </w:p>
        </w:tc>
        <w:tc>
          <w:tcPr>
            <w:tcW w:w="1249" w:type="dxa"/>
          </w:tcPr>
          <w:p w14:paraId="1C5A290C" w14:textId="649124A3" w:rsidR="002A5A7F" w:rsidRDefault="002A5A7F" w:rsidP="002A5A7F">
            <w:pPr>
              <w:jc w:val="center"/>
            </w:pPr>
            <w:r w:rsidRPr="002A5A7F">
              <w:t>2.1145</w:t>
            </w:r>
          </w:p>
        </w:tc>
      </w:tr>
      <w:tr w:rsidR="002A5A7F" w14:paraId="6A94D7AB" w14:textId="77777777" w:rsidTr="005E7800">
        <w:tc>
          <w:tcPr>
            <w:tcW w:w="2248" w:type="dxa"/>
          </w:tcPr>
          <w:p w14:paraId="02570087" w14:textId="77777777" w:rsidR="002A5A7F" w:rsidRPr="0006572B" w:rsidRDefault="002A5A7F" w:rsidP="005E7800">
            <w:pPr>
              <w:jc w:val="center"/>
            </w:pPr>
            <w:r w:rsidRPr="0006572B">
              <w:t>VIF Sex</w:t>
            </w:r>
          </w:p>
        </w:tc>
        <w:tc>
          <w:tcPr>
            <w:tcW w:w="1249" w:type="dxa"/>
          </w:tcPr>
          <w:p w14:paraId="5EBBED8B" w14:textId="388856CE" w:rsidR="002A5A7F" w:rsidRPr="0006572B" w:rsidRDefault="002A5A7F" w:rsidP="002A5A7F">
            <w:pPr>
              <w:jc w:val="center"/>
            </w:pPr>
            <w:r w:rsidRPr="002A5A7F">
              <w:t>1.2375</w:t>
            </w:r>
          </w:p>
        </w:tc>
      </w:tr>
    </w:tbl>
    <w:p w14:paraId="314554F3" w14:textId="77777777" w:rsidR="002A5A7F" w:rsidRDefault="002A5A7F" w:rsidP="00CB5AC5">
      <w:pPr>
        <w:rPr>
          <w:lang w:val="en-US"/>
        </w:rPr>
      </w:pPr>
    </w:p>
    <w:p w14:paraId="333CA7A0" w14:textId="77777777" w:rsidR="00C91A80" w:rsidRPr="0069215B" w:rsidRDefault="00C91A80" w:rsidP="00C91A80">
      <w:pPr>
        <w:rPr>
          <w:rFonts w:ascii="Aptos" w:hAnsi="Aptos"/>
        </w:rPr>
      </w:pPr>
      <w:r w:rsidRPr="00E73264">
        <w:rPr>
          <w:rFonts w:ascii="Aptos" w:hAnsi="Aptos"/>
        </w:rPr>
        <w:t xml:space="preserve">Model fit was quantified using </w:t>
      </w:r>
      <w:r>
        <w:rPr>
          <w:rFonts w:ascii="Aptos" w:hAnsi="Aptos"/>
        </w:rPr>
        <w:t>the adjusted</w:t>
      </w:r>
      <w:r w:rsidRPr="00E73264">
        <w:rPr>
          <w:rFonts w:ascii="Aptos" w:hAnsi="Aptos"/>
        </w:rPr>
        <w:t xml:space="preserve"> R²</w:t>
      </w:r>
      <w:r>
        <w:rPr>
          <w:rFonts w:ascii="Aptos" w:hAnsi="Aptos"/>
        </w:rPr>
        <w:t xml:space="preserve"> value</w:t>
      </w:r>
      <w:r w:rsidRPr="0069215B">
        <w:rPr>
          <w:rFonts w:ascii="Aptos" w:hAnsi="Aptos"/>
        </w:rPr>
        <w:t xml:space="preserve">, as it accounts for the number of predictors relative to sample size. The adjusted R² indicates that the model explained </w:t>
      </w:r>
      <w:r>
        <w:rPr>
          <w:rFonts w:ascii="Aptos" w:hAnsi="Aptos"/>
        </w:rPr>
        <w:t>a</w:t>
      </w:r>
      <w:r w:rsidRPr="0069215B">
        <w:rPr>
          <w:rFonts w:ascii="Aptos" w:hAnsi="Aptos"/>
        </w:rPr>
        <w:t xml:space="preserve"> moderate proportion</w:t>
      </w:r>
      <w:r>
        <w:rPr>
          <w:rFonts w:ascii="Aptos" w:hAnsi="Aptos"/>
        </w:rPr>
        <w:t xml:space="preserve"> (20%)</w:t>
      </w:r>
      <w:r w:rsidRPr="0069215B">
        <w:rPr>
          <w:rFonts w:ascii="Aptos" w:hAnsi="Aptos"/>
        </w:rPr>
        <w:t xml:space="preserve"> of variance in the dependent variable.</w:t>
      </w:r>
      <w:r>
        <w:rPr>
          <w:rFonts w:ascii="Aptos" w:hAnsi="Aptos"/>
        </w:rPr>
        <w:t xml:space="preserve"> </w:t>
      </w:r>
      <w:r w:rsidRPr="0069215B">
        <w:rPr>
          <w:rFonts w:ascii="Aptos" w:hAnsi="Aptos"/>
        </w:rPr>
        <w:t xml:space="preserve">For completeness, the </w:t>
      </w:r>
      <w:r>
        <w:rPr>
          <w:rFonts w:ascii="Aptos" w:hAnsi="Aptos"/>
        </w:rPr>
        <w:t>ordinary</w:t>
      </w:r>
      <w:r w:rsidRPr="0069215B">
        <w:rPr>
          <w:rFonts w:ascii="Aptos" w:hAnsi="Aptos"/>
        </w:rPr>
        <w:t xml:space="preserve"> R² is also reported, reflecting the proportion of variance explained by the predictors without correction for model complexity</w:t>
      </w:r>
    </w:p>
    <w:p w14:paraId="38F7674A" w14:textId="3ECD1902" w:rsidR="00C91A80" w:rsidRPr="00E73264" w:rsidRDefault="00C91A80" w:rsidP="00C91A80">
      <w:pPr>
        <w:rPr>
          <w:rFonts w:ascii="Aptos" w:hAnsi="Aptos"/>
          <w:b/>
          <w:bCs/>
        </w:rPr>
      </w:pPr>
      <w:r w:rsidRPr="00E73264">
        <w:rPr>
          <w:rFonts w:ascii="Aptos" w:hAnsi="Aptos"/>
        </w:rPr>
        <w:br/>
        <w:t xml:space="preserve">The histogram of the dependent variable </w:t>
      </w:r>
      <w:r>
        <w:rPr>
          <w:rFonts w:ascii="Aptos" w:hAnsi="Aptos"/>
        </w:rPr>
        <w:t>(Fig S</w:t>
      </w:r>
      <w:r w:rsidR="00703BFD">
        <w:rPr>
          <w:rFonts w:ascii="Aptos" w:hAnsi="Aptos"/>
        </w:rPr>
        <w:t>6</w:t>
      </w:r>
      <w:r>
        <w:rPr>
          <w:rFonts w:ascii="Aptos" w:hAnsi="Aptos"/>
        </w:rPr>
        <w:t xml:space="preserve"> a) </w:t>
      </w:r>
      <w:r w:rsidRPr="00E73264">
        <w:rPr>
          <w:rFonts w:ascii="Aptos" w:hAnsi="Aptos"/>
        </w:rPr>
        <w:t xml:space="preserve">indicate a </w:t>
      </w:r>
      <w:r>
        <w:rPr>
          <w:rFonts w:ascii="Aptos" w:hAnsi="Aptos"/>
        </w:rPr>
        <w:t>somewhat skewed</w:t>
      </w:r>
      <w:r w:rsidRPr="00E73264">
        <w:rPr>
          <w:rFonts w:ascii="Aptos" w:hAnsi="Aptos"/>
        </w:rPr>
        <w:t xml:space="preserve"> distribution. No extreme values suggesting gross violations of distributional assumptions </w:t>
      </w:r>
      <w:r>
        <w:rPr>
          <w:rFonts w:ascii="Aptos" w:hAnsi="Aptos"/>
        </w:rPr>
        <w:t>a</w:t>
      </w:r>
      <w:r w:rsidRPr="00E73264">
        <w:rPr>
          <w:rFonts w:ascii="Aptos" w:hAnsi="Aptos"/>
        </w:rPr>
        <w:t>re observed.</w:t>
      </w:r>
    </w:p>
    <w:p w14:paraId="06424446" w14:textId="4202B2C1" w:rsidR="00C91A80" w:rsidRDefault="00C91A80" w:rsidP="00C91A80">
      <w:pPr>
        <w:rPr>
          <w:rFonts w:ascii="Aptos" w:hAnsi="Aptos"/>
        </w:rPr>
      </w:pPr>
      <w:r w:rsidRPr="00E73264">
        <w:rPr>
          <w:rFonts w:ascii="Aptos" w:hAnsi="Aptos"/>
        </w:rPr>
        <w:br/>
        <w:t>The bootstrap distributions of the fixed-effect coefficients for PLP and Amputation</w:t>
      </w:r>
      <w:r>
        <w:rPr>
          <w:rFonts w:ascii="Aptos" w:hAnsi="Aptos"/>
        </w:rPr>
        <w:t xml:space="preserve"> (Fig S</w:t>
      </w:r>
      <w:r w:rsidR="00703BFD">
        <w:rPr>
          <w:rFonts w:ascii="Aptos" w:hAnsi="Aptos"/>
        </w:rPr>
        <w:t>6</w:t>
      </w:r>
      <w:r>
        <w:rPr>
          <w:rFonts w:ascii="Aptos" w:hAnsi="Aptos"/>
        </w:rPr>
        <w:t xml:space="preserve"> b and c)</w:t>
      </w:r>
      <w:r w:rsidRPr="00E73264">
        <w:rPr>
          <w:rFonts w:ascii="Aptos" w:hAnsi="Aptos"/>
        </w:rPr>
        <w:t xml:space="preserve"> </w:t>
      </w:r>
      <w:r>
        <w:rPr>
          <w:rFonts w:ascii="Aptos" w:hAnsi="Aptos"/>
        </w:rPr>
        <w:t>a</w:t>
      </w:r>
      <w:r w:rsidRPr="00E73264">
        <w:rPr>
          <w:rFonts w:ascii="Aptos" w:hAnsi="Aptos"/>
        </w:rPr>
        <w:t>re approximately bell-shaped. The absence of multimodality suggests that estimates were not driven by a small number of influential subjects.</w:t>
      </w:r>
    </w:p>
    <w:p w14:paraId="3741E25C" w14:textId="2B76280D" w:rsidR="00C91A80" w:rsidRDefault="00C91A80" w:rsidP="00C91A80">
      <w:pPr>
        <w:rPr>
          <w:rFonts w:ascii="Aptos" w:hAnsi="Aptos"/>
        </w:rPr>
      </w:pPr>
      <w:r w:rsidRPr="00E73264">
        <w:rPr>
          <w:rFonts w:ascii="Aptos" w:hAnsi="Aptos"/>
        </w:rPr>
        <w:br/>
        <w:t xml:space="preserve">Residuals </w:t>
      </w:r>
      <w:r>
        <w:rPr>
          <w:rFonts w:ascii="Aptos" w:hAnsi="Aptos"/>
        </w:rPr>
        <w:t>(Fig S</w:t>
      </w:r>
      <w:r w:rsidR="00703BFD">
        <w:rPr>
          <w:rFonts w:ascii="Aptos" w:hAnsi="Aptos"/>
        </w:rPr>
        <w:t>6</w:t>
      </w:r>
      <w:r>
        <w:rPr>
          <w:rFonts w:ascii="Aptos" w:hAnsi="Aptos"/>
        </w:rPr>
        <w:t xml:space="preserve"> d) a</w:t>
      </w:r>
      <w:r w:rsidRPr="00E73264">
        <w:rPr>
          <w:rFonts w:ascii="Aptos" w:hAnsi="Aptos"/>
        </w:rPr>
        <w:t>re centered around zero across the range of fitted values, with no clear systematic structure, providing no strong evidence for heteroscedasticity or major model misspecification.</w:t>
      </w:r>
      <w:r>
        <w:rPr>
          <w:rFonts w:ascii="Aptos" w:hAnsi="Aptos"/>
        </w:rPr>
        <w:t xml:space="preserve"> </w:t>
      </w:r>
      <w:r w:rsidRPr="00E73264">
        <w:rPr>
          <w:rFonts w:ascii="Aptos" w:hAnsi="Aptos"/>
        </w:rPr>
        <w:t xml:space="preserve">The Q–Q plot and histogram </w:t>
      </w:r>
      <w:r>
        <w:rPr>
          <w:rFonts w:ascii="Aptos" w:hAnsi="Aptos"/>
        </w:rPr>
        <w:t>(Fig S</w:t>
      </w:r>
      <w:r w:rsidR="00703BFD">
        <w:rPr>
          <w:rFonts w:ascii="Aptos" w:hAnsi="Aptos"/>
        </w:rPr>
        <w:t>6</w:t>
      </w:r>
      <w:r>
        <w:rPr>
          <w:rFonts w:ascii="Aptos" w:hAnsi="Aptos"/>
        </w:rPr>
        <w:t xml:space="preserve"> e and f) show some</w:t>
      </w:r>
      <w:r w:rsidRPr="00E73264">
        <w:rPr>
          <w:rFonts w:ascii="Aptos" w:hAnsi="Aptos"/>
        </w:rPr>
        <w:t xml:space="preserve"> deviations from normality, primarily in the </w:t>
      </w:r>
      <w:r>
        <w:rPr>
          <w:rFonts w:ascii="Aptos" w:hAnsi="Aptos"/>
        </w:rPr>
        <w:t>end ranges.</w:t>
      </w:r>
      <w:r w:rsidRPr="00E73264">
        <w:rPr>
          <w:rFonts w:ascii="Aptos" w:hAnsi="Aptos"/>
        </w:rPr>
        <w:t xml:space="preserve"> Given the limited sample size, these deviations were considered acceptable and were further accounted for through the use of bootstrap-based confidence intervals.</w:t>
      </w:r>
    </w:p>
    <w:p w14:paraId="7595AE59" w14:textId="50B6DC6C" w:rsidR="00C91A80" w:rsidRPr="00E73264" w:rsidRDefault="00C91A80" w:rsidP="00C91A80">
      <w:pPr>
        <w:rPr>
          <w:rFonts w:ascii="Aptos" w:hAnsi="Aptos"/>
        </w:rPr>
      </w:pPr>
      <w:r w:rsidRPr="00E73264">
        <w:rPr>
          <w:rFonts w:ascii="Aptos" w:hAnsi="Aptos"/>
        </w:rPr>
        <w:br/>
        <w:t>Pairwise correlations among predictors</w:t>
      </w:r>
      <w:r>
        <w:rPr>
          <w:rFonts w:ascii="Aptos" w:hAnsi="Aptos"/>
        </w:rPr>
        <w:t xml:space="preserve"> (Fig S</w:t>
      </w:r>
      <w:r w:rsidR="00703BFD">
        <w:rPr>
          <w:rFonts w:ascii="Aptos" w:hAnsi="Aptos"/>
        </w:rPr>
        <w:t>6</w:t>
      </w:r>
      <w:r>
        <w:rPr>
          <w:rFonts w:ascii="Aptos" w:hAnsi="Aptos"/>
        </w:rPr>
        <w:t xml:space="preserve"> g)</w:t>
      </w:r>
      <w:r w:rsidRPr="00E73264">
        <w:rPr>
          <w:rFonts w:ascii="Aptos" w:hAnsi="Aptos"/>
        </w:rPr>
        <w:t xml:space="preserve"> reveal</w:t>
      </w:r>
      <w:r>
        <w:rPr>
          <w:rFonts w:ascii="Aptos" w:hAnsi="Aptos"/>
        </w:rPr>
        <w:t xml:space="preserve">ed </w:t>
      </w:r>
      <w:r w:rsidRPr="003B328D">
        <w:rPr>
          <w:rFonts w:ascii="Aptos" w:hAnsi="Aptos"/>
          <w:lang w:val="en-US"/>
        </w:rPr>
        <w:t>strong association between Pain and Amputee status (r ≈ 0.7 across trials), reflecting the nested structure of the sample, and a high correlation between Age and Amputee (r ≈ 0.</w:t>
      </w:r>
      <w:r>
        <w:rPr>
          <w:rFonts w:ascii="Aptos" w:hAnsi="Aptos"/>
          <w:lang w:val="en-US"/>
        </w:rPr>
        <w:t>9</w:t>
      </w:r>
      <w:r w:rsidRPr="003B328D">
        <w:rPr>
          <w:rFonts w:ascii="Aptos" w:hAnsi="Aptos"/>
          <w:lang w:val="en-US"/>
        </w:rPr>
        <w:t>), consistent with demographic imbalance between groups</w:t>
      </w:r>
      <w:r w:rsidRPr="00E73264">
        <w:rPr>
          <w:rFonts w:ascii="Aptos" w:hAnsi="Aptos"/>
        </w:rPr>
        <w:t xml:space="preserve">. Variance inflation factors (VIFs) for all predictors were below the conventional threshold of </w:t>
      </w:r>
      <w:r>
        <w:rPr>
          <w:rFonts w:ascii="Aptos" w:hAnsi="Aptos"/>
        </w:rPr>
        <w:t>(</w:t>
      </w:r>
      <w:r w:rsidRPr="00E73264">
        <w:rPr>
          <w:rFonts w:ascii="Aptos" w:hAnsi="Aptos"/>
        </w:rPr>
        <w:t>5</w:t>
      </w:r>
      <w:r>
        <w:rPr>
          <w:rFonts w:ascii="Aptos" w:hAnsi="Aptos"/>
        </w:rPr>
        <w:t>)</w:t>
      </w:r>
      <w:r w:rsidRPr="00E73264">
        <w:rPr>
          <w:rFonts w:ascii="Aptos" w:hAnsi="Aptos"/>
        </w:rPr>
        <w:t>, indicating that multicollinearity was unlikely to substantially inflate standard errors or compromise interpretability of the fixed-effect estimates.</w:t>
      </w:r>
    </w:p>
    <w:p w14:paraId="0A4E7EC0" w14:textId="77777777" w:rsidR="00C91A80" w:rsidRDefault="00C91A80" w:rsidP="00C91A80">
      <w:pPr>
        <w:rPr>
          <w:rFonts w:ascii="Aptos" w:hAnsi="Aptos"/>
        </w:rPr>
      </w:pPr>
    </w:p>
    <w:p w14:paraId="00614D51" w14:textId="77777777" w:rsidR="00C91A80" w:rsidRDefault="00C91A80" w:rsidP="00C91A80">
      <w:pPr>
        <w:rPr>
          <w:rFonts w:ascii="Aptos" w:hAnsi="Aptos"/>
          <w:lang w:val="en-US"/>
        </w:rPr>
      </w:pPr>
      <w:r w:rsidRPr="003B328D">
        <w:rPr>
          <w:rFonts w:ascii="Aptos" w:hAnsi="Aptos"/>
          <w:lang w:val="en-US"/>
        </w:rPr>
        <w:t>The model converged without warnings</w:t>
      </w:r>
      <w:r>
        <w:rPr>
          <w:rFonts w:ascii="Aptos" w:hAnsi="Aptos"/>
          <w:lang w:val="en-US"/>
        </w:rPr>
        <w:t xml:space="preserve">. </w:t>
      </w:r>
      <w:r w:rsidRPr="00F05768">
        <w:rPr>
          <w:rFonts w:ascii="Aptos" w:hAnsi="Aptos"/>
          <w:b/>
          <w:bCs/>
          <w:lang w:val="en-US"/>
        </w:rPr>
        <w:t>Taken together, the model diagnostics did not indicate violations severe enough to invalidate the resulting inferences.</w:t>
      </w:r>
    </w:p>
    <w:p w14:paraId="0425A521" w14:textId="77777777" w:rsidR="00C91A80" w:rsidRDefault="00C91A80" w:rsidP="00CB5AC5">
      <w:pPr>
        <w:rPr>
          <w:lang w:val="en-US"/>
        </w:rPr>
      </w:pPr>
    </w:p>
    <w:p w14:paraId="3C72ED72" w14:textId="77777777" w:rsidR="00F662DF" w:rsidRDefault="00F662DF" w:rsidP="00CB5AC5">
      <w:pPr>
        <w:rPr>
          <w:lang w:val="en-US"/>
        </w:rPr>
      </w:pPr>
    </w:p>
    <w:p w14:paraId="29B41181" w14:textId="45793050" w:rsidR="007477ED" w:rsidRPr="00F85D1F" w:rsidRDefault="007477ED" w:rsidP="006C5B99">
      <w:pPr>
        <w:pStyle w:val="Heading1"/>
        <w:rPr>
          <w:rFonts w:eastAsia="Times New Roman"/>
          <w:lang w:val="en-US"/>
        </w:rPr>
      </w:pPr>
      <w:bookmarkStart w:id="9" w:name="_Toc216886400"/>
      <w:r>
        <w:rPr>
          <w:rFonts w:eastAsia="Times New Roman"/>
          <w:lang w:val="en-US"/>
        </w:rPr>
        <w:lastRenderedPageBreak/>
        <w:t>Effect size estimation</w:t>
      </w:r>
      <w:bookmarkEnd w:id="9"/>
    </w:p>
    <w:p w14:paraId="52FB6426" w14:textId="41A46175" w:rsidR="007477ED" w:rsidRPr="00611EED" w:rsidRDefault="00E629DA" w:rsidP="00E629DA">
      <w:pPr>
        <w:rPr>
          <w:rFonts w:ascii="Aptos" w:hAnsi="Aptos"/>
        </w:rPr>
      </w:pPr>
      <w:r w:rsidRPr="00611EED">
        <w:rPr>
          <w:rFonts w:ascii="Aptos" w:hAnsi="Aptos"/>
        </w:rPr>
        <w:t>For comparability with prior literature, marginal R² from the mixed-effects models and adjusted R² from the subject-level linear models were converted to Cohen’s f² and approximate Cohen’s d.</w:t>
      </w:r>
    </w:p>
    <w:p w14:paraId="783A5821" w14:textId="77777777" w:rsidR="00E629DA" w:rsidRPr="00611EED" w:rsidRDefault="00E629DA" w:rsidP="00E629DA">
      <w:pPr>
        <w:rPr>
          <w:rFonts w:ascii="Aptos" w:hAnsi="Aptos"/>
        </w:rPr>
      </w:pPr>
    </w:p>
    <w:p w14:paraId="38BFA8D5" w14:textId="6E3B6FDE" w:rsidR="00E629DA" w:rsidRPr="00611EED" w:rsidRDefault="00E629DA" w:rsidP="00E629DA">
      <w:pPr>
        <w:rPr>
          <w:rFonts w:ascii="Aptos" w:hAnsi="Aptos"/>
        </w:rPr>
      </w:pPr>
      <w:r w:rsidRPr="00611EED">
        <w:rPr>
          <w:rFonts w:ascii="Aptos" w:hAnsi="Aptos"/>
        </w:rPr>
        <w:t>Conversion</w:t>
      </w:r>
      <w:r w:rsidR="00611EED" w:rsidRPr="00611EED">
        <w:rPr>
          <w:rFonts w:ascii="Aptos" w:hAnsi="Aptos"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</w:rPr>
              <m:t>R</m:t>
            </m:r>
          </m:e>
          <m:sup>
            <m:r>
              <m:rPr>
                <m:nor/>
              </m:rPr>
              <w:rPr>
                <w:rFonts w:ascii="Cambria Math" w:hAnsi="Cambria Math"/>
                <w:vertAlign w:val="superscript"/>
              </w:rPr>
              <m:t>2</m:t>
            </m:r>
          </m:sup>
        </m:sSup>
        <m:r>
          <w:rPr>
            <w:rFonts w:ascii="Cambria Math" w:hAnsi="Cambria Math"/>
            <w:i/>
          </w:rPr>
          <w:sym w:font="Wingdings" w:char="F0E0"/>
        </m:r>
        <m:r>
          <w:rPr>
            <w:rFonts w:ascii="Cambria Math" w:hAnsi="Cambria Math"/>
          </w:rPr>
          <m:t xml:space="preserve"> 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</w:rPr>
              <m:t>f</m:t>
            </m:r>
          </m:e>
          <m:sup>
            <m:r>
              <m:rPr>
                <m:nor/>
              </m:rPr>
              <w:rPr>
                <w:rFonts w:ascii="Cambria Math" w:hAnsi="Cambria Math"/>
                <w:vertAlign w:val="superscript"/>
              </w:rPr>
              <m:t>2</m:t>
            </m:r>
          </m:sup>
        </m:sSup>
      </m:oMath>
      <w:r w:rsidRPr="00611EED">
        <w:rPr>
          <w:rFonts w:ascii="Aptos" w:eastAsiaTheme="minorEastAsia" w:hAnsi="Aptos"/>
        </w:rPr>
        <w:t xml:space="preserve"> according to the definition of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</w:rPr>
              <m:t>f</m:t>
            </m:r>
          </m:e>
          <m:sup>
            <m:r>
              <m:rPr>
                <m:nor/>
              </m:rPr>
              <w:rPr>
                <w:rFonts w:ascii="Cambria Math" w:hAnsi="Cambria Math"/>
                <w:vertAlign w:val="superscript"/>
              </w:rPr>
              <m:t>2</m:t>
            </m:r>
          </m:sup>
        </m:sSup>
      </m:oMath>
      <w:r w:rsidRPr="00611EED">
        <w:rPr>
          <w:rFonts w:ascii="Aptos" w:hAnsi="Aptos"/>
        </w:rPr>
        <w:t>:</w:t>
      </w:r>
    </w:p>
    <w:p w14:paraId="063AA07B" w14:textId="77777777" w:rsidR="00E629DA" w:rsidRPr="00611EED" w:rsidRDefault="00E629DA" w:rsidP="00E629DA">
      <w:pPr>
        <w:rPr>
          <w:rFonts w:ascii="Aptos" w:hAnsi="Aptos"/>
        </w:rPr>
      </w:pPr>
    </w:p>
    <w:p w14:paraId="22509CA7" w14:textId="37750BDF" w:rsidR="00E629DA" w:rsidRPr="00611EED" w:rsidRDefault="00E629DA" w:rsidP="00E629DA">
      <w:pPr>
        <w:rPr>
          <w:rFonts w:ascii="Cambria Math" w:hAnsi="Cambria Math"/>
        </w:rPr>
      </w:pPr>
      <m:oMathPara>
        <m:oMath>
          <m:sSup>
            <m:sSupPr>
              <m:ctrlPr>
                <w:rPr>
                  <w:rFonts w:ascii="Cambria Math" w:hAnsi="Cambria Math"/>
                  <w:i/>
                </w:rPr>
              </m:ctrlPr>
            </m:sSupPr>
            <m:e>
              <m:r>
                <m:rPr>
                  <m:nor/>
                </m:rPr>
                <w:rPr>
                  <w:rFonts w:ascii="Cambria Math" w:hAnsi="Cambria Math"/>
                </w:rPr>
                <m:t>f</m:t>
              </m:r>
            </m:e>
            <m:sup>
              <m:r>
                <m:rPr>
                  <m:nor/>
                </m:rPr>
                <w:rPr>
                  <w:rFonts w:ascii="Cambria Math" w:hAnsi="Cambria Math"/>
                </w:rPr>
                <m:t>2</m:t>
              </m:r>
            </m:sup>
          </m:sSup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eastAsiaTheme="minorHAnsi" w:hAnsi="Cambria Math" w:cstheme="minorBidi"/>
                  <w:i/>
                  <w:lang w:eastAsia="en-US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/>
                </w:rPr>
                <m:t>1-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hAnsi="Cambria Math"/>
                    </w:rPr>
                    <m:t>R</m:t>
                  </m:r>
                </m:e>
                <m:sup>
                  <m:r>
                    <m:rPr>
                      <m:nor/>
                    </m:rPr>
                    <w:rPr>
                      <w:rFonts w:ascii="Cambria Math" w:hAnsi="Cambria Math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/>
            </w:rPr>
            <m:t xml:space="preserve"> </m:t>
          </m:r>
        </m:oMath>
      </m:oMathPara>
    </w:p>
    <w:p w14:paraId="25D4D083" w14:textId="77777777" w:rsidR="00E629DA" w:rsidRPr="00611EED" w:rsidRDefault="00E629DA" w:rsidP="00E629DA">
      <w:pPr>
        <w:rPr>
          <w:rFonts w:ascii="Aptos" w:hAnsi="Aptos"/>
        </w:rPr>
      </w:pPr>
    </w:p>
    <w:p w14:paraId="4538C1A8" w14:textId="63D38172" w:rsidR="00E629DA" w:rsidRPr="00611EED" w:rsidRDefault="00E629DA" w:rsidP="00E629DA">
      <w:pPr>
        <w:rPr>
          <w:rFonts w:ascii="Aptos" w:hAnsi="Aptos"/>
          <w:lang w:val="en-US"/>
        </w:rPr>
      </w:pPr>
      <w:r w:rsidRPr="00611EED">
        <w:rPr>
          <w:rFonts w:ascii="Aptos" w:hAnsi="Aptos"/>
          <w:lang w:val="en-US"/>
        </w:rPr>
        <w:t xml:space="preserve">Approximate conversion </w:t>
      </w:r>
      <m:oMath>
        <m:sSup>
          <m:sSupPr>
            <m:ctrlPr>
              <w:rPr>
                <w:rFonts w:ascii="Cambria Math" w:hAnsi="Cambria Math"/>
                <w:i/>
                <w:vertAlign w:val="superscript"/>
                <w:lang w:val="en-US"/>
              </w:rPr>
            </m:ctrlPr>
          </m:sSupPr>
          <m:e>
            <m:r>
              <m:rPr>
                <m:nor/>
              </m:rPr>
              <w:rPr>
                <w:rFonts w:ascii="Cambria Math" w:hAnsi="Cambria Math"/>
                <w:lang w:val="en-US"/>
              </w:rPr>
              <m:t>R</m:t>
            </m:r>
            <m:ctrlPr>
              <w:rPr>
                <w:rFonts w:ascii="Cambria Math" w:hAnsi="Cambria Math"/>
                <w:i/>
                <w:lang w:val="en-US"/>
              </w:rPr>
            </m:ctrlPr>
          </m:e>
          <m:sup>
            <m:r>
              <m:rPr>
                <m:nor/>
              </m:rPr>
              <w:rPr>
                <w:rFonts w:ascii="Cambria Math" w:hAnsi="Cambria Math"/>
                <w:lang w:val="en-US"/>
              </w:rPr>
              <m:t>2</m:t>
            </m:r>
          </m:sup>
        </m:sSup>
        <m:r>
          <w:rPr>
            <w:rFonts w:ascii="Cambria Math" w:hAnsi="Cambria Math"/>
            <w:i/>
            <w:lang w:val="en-US"/>
          </w:rPr>
          <w:sym w:font="Wingdings" w:char="F0E0"/>
        </m:r>
        <m:r>
          <w:rPr>
            <w:rFonts w:ascii="Cambria Math" w:hAnsi="Cambria Math"/>
            <w:lang w:val="en-US"/>
          </w:rPr>
          <m:t xml:space="preserve"> </m:t>
        </m:r>
        <m:r>
          <m:rPr>
            <m:nor/>
          </m:rPr>
          <w:rPr>
            <w:rFonts w:ascii="Cambria Math" w:hAnsi="Cambria Math"/>
            <w:lang w:val="en-US"/>
          </w:rPr>
          <m:t>d</m:t>
        </m:r>
      </m:oMath>
      <w:r w:rsidRPr="00611EED">
        <w:rPr>
          <w:rFonts w:ascii="Aptos" w:eastAsiaTheme="minorEastAsia" w:hAnsi="Aptos"/>
          <w:lang w:val="en-US"/>
        </w:rPr>
        <w:t xml:space="preserve"> according to </w:t>
      </w:r>
      <w:r w:rsidR="00A83FE7" w:rsidRPr="00611EED">
        <w:rPr>
          <w:rFonts w:ascii="Aptos" w:eastAsiaTheme="minorEastAsia" w:hAnsi="Aptos"/>
          <w:i/>
          <w:iCs/>
          <w:lang w:val="en-US"/>
        </w:rPr>
        <w:t>Chapter 7 Converting among effect sizes</w:t>
      </w:r>
      <w:r w:rsidR="00A83FE7" w:rsidRPr="00611EED">
        <w:rPr>
          <w:rFonts w:ascii="Aptos" w:eastAsiaTheme="minorEastAsia" w:hAnsi="Aptos"/>
          <w:lang w:val="en-US"/>
        </w:rPr>
        <w:t xml:space="preserve"> in the book </w:t>
      </w:r>
      <w:r w:rsidR="00A83FE7" w:rsidRPr="00611EED">
        <w:rPr>
          <w:rFonts w:ascii="Aptos" w:eastAsiaTheme="minorEastAsia" w:hAnsi="Aptos" w:cstheme="minorBidi"/>
          <w:i/>
          <w:iCs/>
        </w:rPr>
        <w:t>Introduction to Met</w:t>
      </w:r>
      <w:r w:rsidR="00611EED">
        <w:rPr>
          <w:rFonts w:ascii="Aptos" w:eastAsiaTheme="minorEastAsia" w:hAnsi="Aptos" w:cstheme="minorBidi"/>
          <w:i/>
          <w:iCs/>
        </w:rPr>
        <w:t>a-</w:t>
      </w:r>
      <w:r w:rsidR="00A83FE7" w:rsidRPr="00611EED">
        <w:rPr>
          <w:rFonts w:ascii="Aptos" w:eastAsiaTheme="minorEastAsia" w:hAnsi="Aptos" w:cstheme="minorBidi"/>
          <w:i/>
          <w:iCs/>
        </w:rPr>
        <w:t>Analysis</w:t>
      </w:r>
      <w:r w:rsidR="00A83FE7" w:rsidRPr="00611EED">
        <w:rPr>
          <w:rFonts w:ascii="Aptos" w:eastAsiaTheme="minorEastAsia" w:hAnsi="Aptos"/>
        </w:rPr>
        <w:t xml:space="preserve"> by </w:t>
      </w:r>
      <w:r w:rsidR="00A83FE7" w:rsidRPr="00611EED">
        <w:rPr>
          <w:rFonts w:ascii="Aptos" w:eastAsiaTheme="minorEastAsia" w:hAnsi="Aptos"/>
        </w:rPr>
        <w:t>Michael Borenstein, Larry V. Hedges, Julian P. T. Higgins</w:t>
      </w:r>
      <w:r w:rsidR="00A83FE7" w:rsidRPr="00611EED">
        <w:rPr>
          <w:rFonts w:ascii="Aptos" w:eastAsiaTheme="minorEastAsia" w:hAnsi="Aptos"/>
        </w:rPr>
        <w:t xml:space="preserve"> &amp;</w:t>
      </w:r>
      <w:r w:rsidR="00A83FE7" w:rsidRPr="00611EED">
        <w:rPr>
          <w:rFonts w:ascii="Aptos" w:eastAsiaTheme="minorEastAsia" w:hAnsi="Aptos"/>
        </w:rPr>
        <w:t xml:space="preserve"> Hannah R. Rothstein</w:t>
      </w:r>
      <w:r w:rsidR="00A83FE7" w:rsidRPr="00611EED">
        <w:rPr>
          <w:rFonts w:ascii="Aptos" w:eastAsiaTheme="minorEastAsia" w:hAnsi="Aptos"/>
        </w:rPr>
        <w:t xml:space="preserve"> (DOI: </w:t>
      </w:r>
      <w:r w:rsidR="00A83FE7" w:rsidRPr="00611EED">
        <w:rPr>
          <w:rFonts w:ascii="Aptos" w:eastAsiaTheme="minorEastAsia" w:hAnsi="Aptos"/>
        </w:rPr>
        <w:t>10.1002/9780470743386</w:t>
      </w:r>
      <w:r w:rsidR="00A83FE7" w:rsidRPr="00611EED">
        <w:rPr>
          <w:rFonts w:ascii="Aptos" w:eastAsiaTheme="minorEastAsia" w:hAnsi="Aptos"/>
        </w:rPr>
        <w:t>)</w:t>
      </w:r>
      <w:r w:rsidRPr="00611EED">
        <w:rPr>
          <w:rFonts w:ascii="Aptos" w:hAnsi="Aptos"/>
          <w:lang w:val="en-US"/>
        </w:rPr>
        <w:t>:</w:t>
      </w:r>
    </w:p>
    <w:p w14:paraId="74B1887A" w14:textId="77777777" w:rsidR="00A83FE7" w:rsidRPr="00611EED" w:rsidRDefault="00A83FE7" w:rsidP="00E629DA">
      <w:pPr>
        <w:rPr>
          <w:rFonts w:ascii="Aptos" w:hAnsi="Aptos"/>
          <w:lang w:val="en-US"/>
        </w:rPr>
      </w:pPr>
    </w:p>
    <w:p w14:paraId="42FF962B" w14:textId="77777777" w:rsidR="00A83FE7" w:rsidRPr="00611EED" w:rsidRDefault="00A83FE7" w:rsidP="00E629DA">
      <w:pPr>
        <w:rPr>
          <w:rFonts w:ascii="Aptos" w:eastAsiaTheme="minorEastAsia" w:hAnsi="Aptos"/>
        </w:rPr>
      </w:pPr>
    </w:p>
    <w:p w14:paraId="1E1EFB81" w14:textId="4D6B87FE" w:rsidR="00E629DA" w:rsidRPr="00611EED" w:rsidRDefault="00A83FE7" w:rsidP="00E629DA">
      <w:pPr>
        <w:rPr>
          <w:rFonts w:ascii="Cambria Math" w:eastAsiaTheme="minorEastAsia" w:hAnsi="Cambria Math"/>
          <w:lang w:val="en-US"/>
        </w:rPr>
      </w:pPr>
      <m:oMathPara>
        <m:oMath>
          <m:r>
            <m:rPr>
              <m:nor/>
            </m:rPr>
            <w:rPr>
              <w:rFonts w:ascii="Cambria Math" w:hAnsi="Cambria Math"/>
              <w:lang w:val="en-US"/>
            </w:rPr>
            <m:t>d</m:t>
          </m:r>
          <m:r>
            <w:rPr>
              <w:rFonts w:ascii="Cambria Math" w:hAnsi="Cambria Math"/>
              <w:lang w:val="en-US"/>
            </w:rPr>
            <m:t xml:space="preserve"> = </m:t>
          </m:r>
          <m:f>
            <m:fPr>
              <m:ctrlPr>
                <w:rPr>
                  <w:rFonts w:ascii="Cambria Math" w:eastAsiaTheme="minorHAnsi" w:hAnsi="Cambria Math" w:cstheme="minorBidi"/>
                  <w:i/>
                  <w:lang w:val="en-US" w:eastAsia="en-US"/>
                </w:rPr>
              </m:ctrlPr>
            </m:fPr>
            <m:num>
              <m:r>
                <w:rPr>
                  <w:rFonts w:ascii="Cambria Math" w:hAnsi="Cambria Math"/>
                  <w:lang w:val="en-US"/>
                </w:rPr>
                <m:t>2R</m:t>
              </m:r>
            </m:num>
            <m:den>
              <m:rad>
                <m:radPr>
                  <m:degHide m:val="1"/>
                  <m:ctrlPr>
                    <w:rPr>
                      <w:rFonts w:ascii="Cambria Math" w:eastAsiaTheme="minorHAnsi" w:hAnsi="Cambria Math" w:cstheme="minorBidi"/>
                      <w:i/>
                      <w:lang w:val="en-US" w:eastAsia="en-US"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  <w:lang w:val="en-US"/>
                    </w:rPr>
                    <m:t>1-</m:t>
                  </m:r>
                  <m:sSup>
                    <m:sSup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sSupPr>
                    <m:e>
                      <m:r>
                        <m:rPr>
                          <m:nor/>
                        </m:rPr>
                        <w:rPr>
                          <w:rFonts w:ascii="Cambria Math" w:hAnsi="Cambria Math"/>
                          <w:lang w:val="en-US"/>
                        </w:rPr>
                        <m:t>R</m:t>
                      </m:r>
                    </m:e>
                    <m:sup>
                      <m:r>
                        <m:rPr>
                          <m:nor/>
                        </m:rPr>
                        <w:rPr>
                          <w:rFonts w:ascii="Cambria Math" w:hAnsi="Cambria Math"/>
                          <w:lang w:val="en-US"/>
                        </w:rPr>
                        <m:t>2</m:t>
                      </m:r>
                    </m:sup>
                  </m:sSup>
                </m:e>
              </m:rad>
            </m:den>
          </m:f>
          <m:r>
            <w:rPr>
              <w:rFonts w:ascii="Cambria Math" w:eastAsiaTheme="minorEastAsia" w:hAnsi="Cambria Math"/>
              <w:lang w:val="en-US"/>
            </w:rPr>
            <m:t xml:space="preserve"> </m:t>
          </m:r>
        </m:oMath>
      </m:oMathPara>
    </w:p>
    <w:p w14:paraId="73806762" w14:textId="77777777" w:rsidR="00A83FE7" w:rsidRPr="00611EED" w:rsidRDefault="00A83FE7" w:rsidP="00E629DA">
      <w:pPr>
        <w:rPr>
          <w:rFonts w:ascii="Aptos" w:eastAsiaTheme="minorEastAsia" w:hAnsi="Aptos"/>
          <w:lang w:val="en-US"/>
        </w:rPr>
      </w:pPr>
    </w:p>
    <w:p w14:paraId="60A67555" w14:textId="0A9416CD" w:rsidR="00A83FE7" w:rsidRPr="00611EED" w:rsidRDefault="00A83FE7" w:rsidP="00E629DA">
      <w:pPr>
        <w:rPr>
          <w:rFonts w:ascii="Aptos" w:eastAsiaTheme="minorEastAsia" w:hAnsi="Aptos"/>
          <w:lang w:val="en-US"/>
        </w:rPr>
      </w:pPr>
      <w:r w:rsidRPr="00611EED">
        <w:rPr>
          <w:rFonts w:ascii="Aptos" w:eastAsiaTheme="minorEastAsia" w:hAnsi="Aptos"/>
          <w:lang w:val="en-US"/>
        </w:rPr>
        <w:t>or</w:t>
      </w:r>
      <w:r w:rsidR="00611EED" w:rsidRPr="00611EED">
        <w:rPr>
          <w:rFonts w:ascii="Aptos" w:eastAsiaTheme="minorEastAsia" w:hAnsi="Aptos"/>
          <w:lang w:val="en-US"/>
        </w:rPr>
        <w:t xml:space="preserve"> equivalently</w:t>
      </w:r>
    </w:p>
    <w:p w14:paraId="020522F6" w14:textId="77777777" w:rsidR="00611EED" w:rsidRPr="00611EED" w:rsidRDefault="00611EED" w:rsidP="00611EED">
      <w:pPr>
        <w:rPr>
          <w:rFonts w:ascii="Cambria Math" w:eastAsiaTheme="minorEastAsia" w:hAnsi="Cambria Math"/>
          <w:lang w:val="en-US"/>
        </w:rPr>
      </w:pPr>
      <m:oMathPara>
        <m:oMath>
          <m:r>
            <m:rPr>
              <m:nor/>
            </m:rPr>
            <w:rPr>
              <w:rFonts w:ascii="Cambria Math" w:hAnsi="Cambria Math"/>
              <w:lang w:val="en-US"/>
            </w:rPr>
            <m:t>d</m:t>
          </m:r>
          <m:r>
            <w:rPr>
              <w:rFonts w:ascii="Cambria Math" w:hAnsi="Cambria Math"/>
              <w:lang w:val="en-US"/>
            </w:rPr>
            <m:t xml:space="preserve"> = </m:t>
          </m:r>
          <m:r>
            <w:rPr>
              <w:rFonts w:ascii="Cambria Math" w:eastAsiaTheme="minorHAnsi" w:hAnsi="Cambria Math" w:cstheme="minorBidi"/>
              <w:lang w:val="en-US" w:eastAsia="en-US"/>
            </w:rPr>
            <m:t>2</m:t>
          </m:r>
          <m:rad>
            <m:radPr>
              <m:degHide m:val="1"/>
              <m:ctrlPr>
                <w:rPr>
                  <w:rFonts w:ascii="Cambria Math" w:eastAsiaTheme="minorHAnsi" w:hAnsi="Cambria Math" w:cstheme="minorBidi"/>
                  <w:i/>
                  <w:lang w:val="en-US" w:eastAsia="en-US"/>
                </w:rPr>
              </m:ctrlPr>
            </m:radPr>
            <m:deg/>
            <m:e>
              <m:sSup>
                <m:sSupPr>
                  <m:ctrlPr>
                    <w:rPr>
                      <w:rFonts w:ascii="Cambria Math" w:eastAsiaTheme="minorHAnsi" w:hAnsi="Cambria Math" w:cstheme="minorBidi"/>
                      <w:i/>
                      <w:lang w:val="en-US" w:eastAsia="en-US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Cambria Math" w:eastAsiaTheme="minorHAnsi" w:hAnsi="Cambria Math" w:cstheme="minorBidi"/>
                      <w:lang w:val="en-US" w:eastAsia="en-US"/>
                    </w:rPr>
                    <m:t>f</m:t>
                  </m:r>
                </m:e>
                <m:sup>
                  <m:r>
                    <m:rPr>
                      <m:nor/>
                    </m:rPr>
                    <w:rPr>
                      <w:rFonts w:ascii="Cambria Math" w:eastAsiaTheme="minorHAnsi" w:hAnsi="Cambria Math" w:cstheme="minorBidi"/>
                      <w:lang w:val="en-US" w:eastAsia="en-US"/>
                    </w:rPr>
                    <m:t>2</m:t>
                  </m:r>
                </m:sup>
              </m:sSup>
            </m:e>
          </m:rad>
        </m:oMath>
      </m:oMathPara>
    </w:p>
    <w:p w14:paraId="67FA4BD4" w14:textId="77777777" w:rsidR="00B8111E" w:rsidRDefault="00B8111E" w:rsidP="00B8111E">
      <w:pPr>
        <w:rPr>
          <w:rFonts w:eastAsiaTheme="minorEastAsia"/>
          <w:lang w:val="en-US"/>
        </w:rPr>
      </w:pPr>
    </w:p>
    <w:p w14:paraId="034D781A" w14:textId="77777777" w:rsidR="00A83FE7" w:rsidRDefault="00A83FE7" w:rsidP="00A83FE7">
      <w:pPr>
        <w:rPr>
          <w:rFonts w:ascii="Menlo" w:hAnsi="Menlo" w:cs="Menlo"/>
          <w:sz w:val="20"/>
          <w:szCs w:val="20"/>
        </w:rPr>
      </w:pPr>
    </w:p>
    <w:p w14:paraId="3C266DE6" w14:textId="77777777" w:rsidR="00A83FE7" w:rsidRDefault="00A83FE7" w:rsidP="00A83FE7">
      <w:pPr>
        <w:rPr>
          <w:rFonts w:ascii="Menlo" w:hAnsi="Menlo" w:cs="Menlo"/>
          <w:sz w:val="20"/>
          <w:szCs w:val="20"/>
        </w:rPr>
      </w:pPr>
    </w:p>
    <w:p w14:paraId="1858C2B8" w14:textId="47D5E779" w:rsidR="00A83FE7" w:rsidRPr="007477ED" w:rsidRDefault="00A83FE7" w:rsidP="00E629DA">
      <w:pPr>
        <w:rPr>
          <w:lang w:val="en-US"/>
        </w:rPr>
      </w:pPr>
    </w:p>
    <w:sectPr w:rsidR="00A83FE7" w:rsidRPr="007477ED">
      <w:footerReference w:type="even" r:id="rId13"/>
      <w:footerReference w:type="default" r:id="rId1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AF8757" w14:textId="77777777" w:rsidR="002B566C" w:rsidRDefault="002B566C" w:rsidP="00F85D1F">
      <w:r>
        <w:separator/>
      </w:r>
    </w:p>
  </w:endnote>
  <w:endnote w:type="continuationSeparator" w:id="0">
    <w:p w14:paraId="308EACCF" w14:textId="77777777" w:rsidR="002B566C" w:rsidRDefault="002B566C" w:rsidP="00F85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Menlo">
    <w:panose1 w:val="020B0609030804020204"/>
    <w:charset w:val="00"/>
    <w:family w:val="modern"/>
    <w:pitch w:val="fixed"/>
    <w:sig w:usb0="E60022FF" w:usb1="D200F9FB" w:usb2="02000028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232771717"/>
      <w:docPartObj>
        <w:docPartGallery w:val="Page Numbers (Bottom of Page)"/>
        <w:docPartUnique/>
      </w:docPartObj>
    </w:sdtPr>
    <w:sdtContent>
      <w:p w14:paraId="0E9DAA96" w14:textId="65B4919C" w:rsidR="00F85D1F" w:rsidRDefault="00F85D1F" w:rsidP="006D66C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20AAD0E" w14:textId="77777777" w:rsidR="00F85D1F" w:rsidRDefault="00F85D1F" w:rsidP="00F85D1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20479326"/>
      <w:docPartObj>
        <w:docPartGallery w:val="Page Numbers (Bottom of Page)"/>
        <w:docPartUnique/>
      </w:docPartObj>
    </w:sdtPr>
    <w:sdtContent>
      <w:p w14:paraId="30107411" w14:textId="36292A1B" w:rsidR="00F85D1F" w:rsidRDefault="00F85D1F" w:rsidP="006D66C2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29FB7DA9" w14:textId="77777777" w:rsidR="00F85D1F" w:rsidRDefault="00F85D1F" w:rsidP="00F85D1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F08A37" w14:textId="77777777" w:rsidR="002B566C" w:rsidRDefault="002B566C" w:rsidP="00F85D1F">
      <w:r>
        <w:separator/>
      </w:r>
    </w:p>
  </w:footnote>
  <w:footnote w:type="continuationSeparator" w:id="0">
    <w:p w14:paraId="3E43D568" w14:textId="77777777" w:rsidR="002B566C" w:rsidRDefault="002B566C" w:rsidP="00F85D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3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5AC5"/>
    <w:rsid w:val="0006572B"/>
    <w:rsid w:val="001A6143"/>
    <w:rsid w:val="00244005"/>
    <w:rsid w:val="002A5A7F"/>
    <w:rsid w:val="002B566C"/>
    <w:rsid w:val="002E52C8"/>
    <w:rsid w:val="0035350E"/>
    <w:rsid w:val="0038147D"/>
    <w:rsid w:val="003A4E29"/>
    <w:rsid w:val="003B328D"/>
    <w:rsid w:val="00462CE1"/>
    <w:rsid w:val="00517987"/>
    <w:rsid w:val="005613D9"/>
    <w:rsid w:val="00597717"/>
    <w:rsid w:val="00611EED"/>
    <w:rsid w:val="0064397C"/>
    <w:rsid w:val="0069215B"/>
    <w:rsid w:val="006C5B99"/>
    <w:rsid w:val="00703BFD"/>
    <w:rsid w:val="007477ED"/>
    <w:rsid w:val="007678CF"/>
    <w:rsid w:val="007D3831"/>
    <w:rsid w:val="008C5574"/>
    <w:rsid w:val="00920244"/>
    <w:rsid w:val="00932587"/>
    <w:rsid w:val="009567F6"/>
    <w:rsid w:val="009C2A1E"/>
    <w:rsid w:val="00A452FA"/>
    <w:rsid w:val="00A72510"/>
    <w:rsid w:val="00A83FE7"/>
    <w:rsid w:val="00B12860"/>
    <w:rsid w:val="00B760AA"/>
    <w:rsid w:val="00B8111E"/>
    <w:rsid w:val="00B9626F"/>
    <w:rsid w:val="00C073D1"/>
    <w:rsid w:val="00C91A80"/>
    <w:rsid w:val="00C93AB7"/>
    <w:rsid w:val="00CB5AC5"/>
    <w:rsid w:val="00D060F2"/>
    <w:rsid w:val="00D35F00"/>
    <w:rsid w:val="00DF5655"/>
    <w:rsid w:val="00E1498F"/>
    <w:rsid w:val="00E629DA"/>
    <w:rsid w:val="00E73264"/>
    <w:rsid w:val="00E8248F"/>
    <w:rsid w:val="00F05768"/>
    <w:rsid w:val="00F662DF"/>
    <w:rsid w:val="00F85D1F"/>
    <w:rsid w:val="00FB0508"/>
    <w:rsid w:val="00FE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050399"/>
  <w15:chartTrackingRefBased/>
  <w15:docId w15:val="{F4D4833F-8839-4147-8ED6-C46AE9088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S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FE7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CB5AC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5A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CB5AC5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CB5AC5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B5AC5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B5AC5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B5AC5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B5AC5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B5AC5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lang w:eastAsia="en-US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B5AC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B5AC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CB5AC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CB5AC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B5AC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B5AC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B5AC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B5AC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B5AC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B5AC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leChar">
    <w:name w:val="Title Char"/>
    <w:basedOn w:val="DefaultParagraphFont"/>
    <w:link w:val="Title"/>
    <w:uiPriority w:val="10"/>
    <w:rsid w:val="00CB5A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B5AC5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CB5AC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B5AC5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lang w:eastAsia="en-US"/>
    </w:rPr>
  </w:style>
  <w:style w:type="character" w:customStyle="1" w:styleId="QuoteChar">
    <w:name w:val="Quote Char"/>
    <w:basedOn w:val="DefaultParagraphFont"/>
    <w:link w:val="Quote"/>
    <w:uiPriority w:val="29"/>
    <w:rsid w:val="00CB5AC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B5AC5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IntenseEmphasis">
    <w:name w:val="Intense Emphasis"/>
    <w:basedOn w:val="DefaultParagraphFont"/>
    <w:uiPriority w:val="21"/>
    <w:qFormat/>
    <w:rsid w:val="00CB5AC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AC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lang w:eastAsia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AC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B5AC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1A6143"/>
    <w:rPr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D060F2"/>
    <w:pPr>
      <w:spacing w:after="200"/>
    </w:pPr>
    <w:rPr>
      <w:rFonts w:asciiTheme="minorHAnsi" w:eastAsiaTheme="minorHAnsi" w:hAnsiTheme="minorHAnsi" w:cstheme="minorBidi"/>
      <w:i/>
      <w:iCs/>
      <w:color w:val="0E2841" w:themeColor="text2"/>
      <w:sz w:val="18"/>
      <w:szCs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06572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6572B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657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qFormat/>
    <w:rsid w:val="00F85D1F"/>
    <w:pPr>
      <w:spacing w:before="480" w:after="0" w:line="276" w:lineRule="auto"/>
      <w:outlineLvl w:val="9"/>
    </w:pPr>
    <w:rPr>
      <w:b/>
      <w:bCs/>
      <w:sz w:val="28"/>
      <w:szCs w:val="28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F85D1F"/>
    <w:pPr>
      <w:spacing w:before="120"/>
    </w:pPr>
    <w:rPr>
      <w:rFonts w:asciiTheme="minorHAnsi" w:eastAsiaTheme="minorHAnsi" w:hAnsiTheme="minorHAnsi" w:cstheme="minorBidi"/>
      <w:b/>
      <w:bCs/>
      <w:i/>
      <w:iCs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rsid w:val="00F85D1F"/>
    <w:pPr>
      <w:spacing w:before="120"/>
      <w:ind w:left="240"/>
    </w:pPr>
    <w:rPr>
      <w:rFonts w:asciiTheme="minorHAnsi" w:eastAsiaTheme="minorHAnsi" w:hAnsiTheme="minorHAnsi" w:cstheme="minorBidi"/>
      <w:b/>
      <w:bCs/>
      <w:sz w:val="22"/>
      <w:szCs w:val="22"/>
      <w:lang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F85D1F"/>
    <w:pPr>
      <w:ind w:left="48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F85D1F"/>
    <w:pPr>
      <w:ind w:left="7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TOC5">
    <w:name w:val="toc 5"/>
    <w:basedOn w:val="Normal"/>
    <w:next w:val="Normal"/>
    <w:autoRedefine/>
    <w:uiPriority w:val="39"/>
    <w:semiHidden/>
    <w:unhideWhenUsed/>
    <w:rsid w:val="00F85D1F"/>
    <w:pPr>
      <w:ind w:left="9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F85D1F"/>
    <w:pPr>
      <w:ind w:left="1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TOC7">
    <w:name w:val="toc 7"/>
    <w:basedOn w:val="Normal"/>
    <w:next w:val="Normal"/>
    <w:autoRedefine/>
    <w:uiPriority w:val="39"/>
    <w:semiHidden/>
    <w:unhideWhenUsed/>
    <w:rsid w:val="00F85D1F"/>
    <w:pPr>
      <w:ind w:left="144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TOC8">
    <w:name w:val="toc 8"/>
    <w:basedOn w:val="Normal"/>
    <w:next w:val="Normal"/>
    <w:autoRedefine/>
    <w:uiPriority w:val="39"/>
    <w:semiHidden/>
    <w:unhideWhenUsed/>
    <w:rsid w:val="00F85D1F"/>
    <w:pPr>
      <w:ind w:left="168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TOC9">
    <w:name w:val="toc 9"/>
    <w:basedOn w:val="Normal"/>
    <w:next w:val="Normal"/>
    <w:autoRedefine/>
    <w:uiPriority w:val="39"/>
    <w:semiHidden/>
    <w:unhideWhenUsed/>
    <w:rsid w:val="00F85D1F"/>
    <w:pPr>
      <w:ind w:left="192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85D1F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F85D1F"/>
  </w:style>
  <w:style w:type="character" w:styleId="PageNumber">
    <w:name w:val="page number"/>
    <w:basedOn w:val="DefaultParagraphFont"/>
    <w:uiPriority w:val="99"/>
    <w:semiHidden/>
    <w:unhideWhenUsed/>
    <w:rsid w:val="00F85D1F"/>
  </w:style>
  <w:style w:type="character" w:styleId="PlaceholderText">
    <w:name w:val="Placeholder Text"/>
    <w:basedOn w:val="DefaultParagraphFont"/>
    <w:uiPriority w:val="99"/>
    <w:semiHidden/>
    <w:rsid w:val="00E629DA"/>
    <w:rPr>
      <w:color w:val="666666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83FE7"/>
    <w:rPr>
      <w:rFonts w:ascii="Consolas" w:eastAsiaTheme="minorHAnsi" w:hAnsi="Consolas" w:cs="Consolas"/>
      <w:sz w:val="20"/>
      <w:szCs w:val="20"/>
      <w:lang w:eastAsia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83FE7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6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07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33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28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534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40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9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41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3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4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86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0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6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77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8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110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15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9470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55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2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65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6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15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9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17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9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0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91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98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32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82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79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0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0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34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99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9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48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23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8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3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383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84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99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5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020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0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1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21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4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44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56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851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67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1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74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17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27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46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74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04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23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1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627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53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31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8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04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2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0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9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9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4106860-6796-2140-8667-41B1C7B290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11</Pages>
  <Words>3051</Words>
  <Characters>17396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 Ramne</dc:creator>
  <cp:keywords/>
  <dc:description/>
  <cp:lastModifiedBy>Malin Ramne</cp:lastModifiedBy>
  <cp:revision>20</cp:revision>
  <dcterms:created xsi:type="dcterms:W3CDTF">2025-12-12T12:29:00Z</dcterms:created>
  <dcterms:modified xsi:type="dcterms:W3CDTF">2025-12-17T16:53:00Z</dcterms:modified>
</cp:coreProperties>
</file>