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3A35E" w14:textId="77777777" w:rsidR="00E94B73" w:rsidRDefault="00E94B73" w:rsidP="00617114">
      <w:pPr>
        <w:pStyle w:val="3"/>
      </w:pPr>
      <w:r>
        <w:rPr>
          <w:rFonts w:hint="eastAsia"/>
        </w:rPr>
        <w:t>Q</w:t>
      </w:r>
      <w:r w:rsidRPr="00C10374">
        <w:t xml:space="preserve">uantitative analysis of </w:t>
      </w:r>
      <w:r>
        <w:t>IVD</w:t>
      </w:r>
      <w:r w:rsidRPr="00C10374">
        <w:t xml:space="preserve"> degeneration</w:t>
      </w:r>
    </w:p>
    <w:p w14:paraId="4C6F3453" w14:textId="77777777" w:rsidR="00E94B73" w:rsidRPr="00DF179E" w:rsidRDefault="00E94B73" w:rsidP="00E94B73">
      <w:r>
        <w:rPr>
          <w:rFonts w:eastAsiaTheme="majorEastAsia"/>
          <w:color w:val="000000" w:themeColor="text1"/>
        </w:rPr>
        <w:t xml:space="preserve">IVD degeneration is quantitated based on both signal intensity peak difference and geometric parameter, which indicates </w:t>
      </w:r>
      <w:r>
        <w:rPr>
          <w:rFonts w:eastAsiaTheme="majorEastAsia" w:hint="eastAsia"/>
          <w:color w:val="000000" w:themeColor="text1"/>
        </w:rPr>
        <w:t>water</w:t>
      </w:r>
      <w:r>
        <w:rPr>
          <w:rFonts w:eastAsiaTheme="majorEastAsia"/>
          <w:color w:val="000000" w:themeColor="text1"/>
        </w:rPr>
        <w:t xml:space="preserve"> </w:t>
      </w:r>
      <w:r>
        <w:rPr>
          <w:rFonts w:eastAsiaTheme="majorEastAsia" w:hint="eastAsia"/>
          <w:color w:val="000000" w:themeColor="text1"/>
        </w:rPr>
        <w:t>content</w:t>
      </w:r>
      <w:r>
        <w:rPr>
          <w:rFonts w:eastAsiaTheme="majorEastAsia"/>
          <w:color w:val="000000" w:themeColor="text1"/>
        </w:rPr>
        <w:t xml:space="preserve"> </w:t>
      </w:r>
      <w:r>
        <w:rPr>
          <w:rFonts w:eastAsiaTheme="majorEastAsia" w:hint="eastAsia"/>
          <w:color w:val="000000" w:themeColor="text1"/>
        </w:rPr>
        <w:t>and</w:t>
      </w:r>
      <w:r>
        <w:rPr>
          <w:rFonts w:eastAsiaTheme="majorEastAsia"/>
          <w:color w:val="000000" w:themeColor="text1"/>
        </w:rPr>
        <w:t xml:space="preserve"> </w:t>
      </w:r>
      <w:r>
        <w:rPr>
          <w:rFonts w:eastAsiaTheme="majorEastAsia" w:hint="eastAsia"/>
          <w:color w:val="000000" w:themeColor="text1"/>
        </w:rPr>
        <w:t>weight-bearing</w:t>
      </w:r>
      <w:r>
        <w:rPr>
          <w:rFonts w:eastAsiaTheme="majorEastAsia"/>
          <w:color w:val="000000" w:themeColor="text1"/>
        </w:rPr>
        <w:t xml:space="preserve"> </w:t>
      </w:r>
      <w:r>
        <w:rPr>
          <w:rFonts w:eastAsiaTheme="majorEastAsia" w:hint="eastAsia"/>
          <w:color w:val="000000" w:themeColor="text1"/>
        </w:rPr>
        <w:t>capacity</w:t>
      </w:r>
      <w:r>
        <w:rPr>
          <w:rFonts w:eastAsiaTheme="majorEastAsia"/>
          <w:color w:val="000000" w:themeColor="text1"/>
        </w:rPr>
        <w:t>.</w:t>
      </w:r>
      <w:r>
        <w:rPr>
          <w:rFonts w:eastAsiaTheme="majorEastAsia" w:hint="eastAsia"/>
          <w:color w:val="000000" w:themeColor="text1"/>
        </w:rPr>
        <w:t xml:space="preserve"> </w:t>
      </w:r>
      <w:r>
        <w:rPr>
          <w:color w:val="000000" w:themeColor="text1"/>
        </w:rPr>
        <w:t>T</w:t>
      </w:r>
      <w:r w:rsidRPr="00156B6B">
        <w:rPr>
          <w:color w:val="000000" w:themeColor="text1"/>
        </w:rPr>
        <w:t>he</w:t>
      </w:r>
      <w:r>
        <w:rPr>
          <w:color w:val="000000" w:themeColor="text1"/>
        </w:rPr>
        <w:t xml:space="preserve"> signal intensity peak</w:t>
      </w:r>
      <w:r w:rsidRPr="00156B6B">
        <w:rPr>
          <w:color w:val="000000" w:themeColor="text1"/>
        </w:rPr>
        <w:t xml:space="preserve"> deviation degree from the center</w:t>
      </w:r>
      <w:r>
        <w:rPr>
          <w:color w:val="000000" w:themeColor="text1"/>
        </w:rPr>
        <w:t xml:space="preserve"> (</w:t>
      </w:r>
      <m:oMath>
        <m:r>
          <m:rPr>
            <m:sty m:val="p"/>
          </m:rPr>
          <w:rPr>
            <w:rFonts w:ascii="Cambria Math" w:hAnsi="Cambria Math"/>
            <w:color w:val="000000" w:themeColor="text1"/>
          </w:rPr>
          <m:t>∆</m:t>
        </m:r>
        <m:r>
          <w:rPr>
            <w:rFonts w:ascii="Cambria Math" w:hAnsi="Cambria Math"/>
            <w:color w:val="000000" w:themeColor="text1"/>
          </w:rPr>
          <m:t>SI</m:t>
        </m:r>
      </m:oMath>
      <w:r>
        <w:rPr>
          <w:color w:val="000000" w:themeColor="text1"/>
        </w:rPr>
        <w:t>)</w:t>
      </w:r>
      <w:r w:rsidRPr="00156B6B">
        <w:rPr>
          <w:color w:val="000000" w:themeColor="text1"/>
        </w:rPr>
        <w:t xml:space="preserve"> </w:t>
      </w:r>
      <w:r>
        <w:rPr>
          <w:color w:val="000000" w:themeColor="text1"/>
        </w:rPr>
        <w:t>was calculated to describe the water content loss status with IVD degeneration</w:t>
      </w:r>
      <w:r w:rsidRPr="00156B6B">
        <w:rPr>
          <w:color w:val="000000" w:themeColor="text1"/>
        </w:rPr>
        <w:t xml:space="preserve">. </w:t>
      </w:r>
      <w:r w:rsidRPr="00F67FF4">
        <w:t xml:space="preserve">According to the established healthy intervertebral disc signal intensity peak difference and geometric parameter standard, the signal intensity </w:t>
      </w:r>
      <w:r>
        <w:t>decrease</w:t>
      </w:r>
      <w:r w:rsidRPr="00F67FF4">
        <w:t xml:space="preserve"> and the degree of high collapse of the intervertebral disc are quantitatively analyzed.</w:t>
      </w:r>
      <w:r w:rsidRPr="006273CA">
        <w:rPr>
          <w:color w:val="000000"/>
        </w:rPr>
        <w:t xml:space="preserve"> </w:t>
      </w:r>
    </w:p>
    <w:p w14:paraId="6172D729" w14:textId="691C1206" w:rsidR="002C3B80" w:rsidRPr="00C55D11" w:rsidRDefault="002C3B80" w:rsidP="002C3B80">
      <w:r w:rsidRPr="008350EE">
        <w:rPr>
          <w:b/>
          <w:bCs/>
        </w:rPr>
        <w:t>Qualitative grading</w:t>
      </w:r>
      <w:r w:rsidRPr="008350EE">
        <w:rPr>
          <w:rFonts w:hint="eastAsia"/>
          <w:b/>
          <w:bCs/>
        </w:rPr>
        <w:t>：</w:t>
      </w:r>
      <w:r w:rsidRPr="00C55D11">
        <w:t xml:space="preserve">According to the established standard of the Modified Pfirrmann Grading System (level 1, 2, 3, 4, </w:t>
      </w:r>
      <w:r>
        <w:t>5-8</w:t>
      </w:r>
      <w:r w:rsidRPr="00C55D11">
        <w:t xml:space="preserve">) of </w:t>
      </w:r>
      <w:r w:rsidRPr="00C55D11">
        <w:rPr>
          <w:rFonts w:hint="eastAsia"/>
        </w:rPr>
        <w:t>t</w:t>
      </w:r>
      <w:r w:rsidRPr="00C55D11">
        <w:t xml:space="preserve">he disc </w:t>
      </w:r>
      <m:oMath>
        <m:r>
          <m:rPr>
            <m:sty m:val="p"/>
          </m:rPr>
          <w:rPr>
            <w:rFonts w:ascii="Cambria Math" w:hAnsi="Cambria Math"/>
          </w:rPr>
          <m:t>∆</m:t>
        </m:r>
        <m:r>
          <w:rPr>
            <w:rFonts w:ascii="Cambria Math" w:hAnsi="Cambria Math"/>
          </w:rPr>
          <m:t>SI</m:t>
        </m:r>
      </m:oMath>
      <w:r w:rsidRPr="00C55D11">
        <w:t xml:space="preserve">, calculate the deviation degree (in units of standard deviations, </w:t>
      </w:r>
      <m:oMath>
        <m:r>
          <w:rPr>
            <w:rFonts w:ascii="Cambria Math" w:hAnsi="Cambria Math"/>
          </w:rPr>
          <m:t>σ</m:t>
        </m:r>
      </m:oMath>
      <w:r w:rsidRPr="00C55D11">
        <w:t xml:space="preserve">) of the disc </w:t>
      </w:r>
      <m:oMath>
        <m:r>
          <m:rPr>
            <m:sty m:val="p"/>
          </m:rPr>
          <w:rPr>
            <w:rFonts w:ascii="Cambria Math" w:hAnsi="Cambria Math"/>
          </w:rPr>
          <m:t>∆</m:t>
        </m:r>
        <m:r>
          <w:rPr>
            <w:rFonts w:ascii="Cambria Math" w:hAnsi="Cambria Math"/>
          </w:rPr>
          <m:t>SI</m:t>
        </m:r>
      </m:oMath>
      <w:r w:rsidRPr="00C55D11">
        <w:t xml:space="preserve"> from the center of the standard </w:t>
      </w:r>
      <m:oMath>
        <m:r>
          <m:rPr>
            <m:sty m:val="p"/>
          </m:rPr>
          <w:rPr>
            <w:rFonts w:ascii="Cambria Math" w:hAnsi="Cambria Math"/>
          </w:rPr>
          <m:t>∆</m:t>
        </m:r>
        <m:r>
          <w:rPr>
            <w:rFonts w:ascii="Cambria Math" w:hAnsi="Cambria Math"/>
          </w:rPr>
          <m:t>SI</m:t>
        </m:r>
      </m:oMath>
      <w:r w:rsidRPr="00C55D11">
        <w:t xml:space="preserve"> range of each grade. The intervertebral disc is graded by judging the degree of deviation</w:t>
      </w:r>
      <w:r w:rsidRPr="00C55D11">
        <w:rPr>
          <w:rFonts w:hint="eastAsia"/>
        </w:rPr>
        <w:t>（</w:t>
      </w:r>
      <m:oMath>
        <m:r>
          <m:rPr>
            <m:sty m:val="p"/>
          </m:rPr>
          <w:rPr>
            <w:rFonts w:ascii="Cambria Math" w:hAnsi="Cambria Math"/>
          </w:rPr>
          <m:t>∆</m:t>
        </m:r>
      </m:oMath>
      <w:r w:rsidRPr="00C55D11">
        <w:rPr>
          <w:rFonts w:hint="eastAsia"/>
        </w:rPr>
        <w:t>）</w:t>
      </w:r>
      <w:r w:rsidRPr="00C55D11">
        <w:t xml:space="preserve"> from the center of the adjacent range </w:t>
      </w:r>
      <w:r w:rsidRPr="00522CFA">
        <w:rPr>
          <w:b/>
          <w:bCs/>
        </w:rPr>
        <w:t xml:space="preserve">(Fig. </w:t>
      </w:r>
      <w:r w:rsidR="00F10390" w:rsidRPr="00522CFA">
        <w:rPr>
          <w:b/>
          <w:bCs/>
        </w:rPr>
        <w:t>3a</w:t>
      </w:r>
      <w:r w:rsidRPr="00522CFA">
        <w:rPr>
          <w:b/>
          <w:bCs/>
        </w:rPr>
        <w:t>)</w:t>
      </w:r>
      <w:r w:rsidRPr="00C55D11">
        <w:t>, and the calculation equation is:</w:t>
      </w:r>
    </w:p>
    <w:p w14:paraId="0DB5286C" w14:textId="07D6281A" w:rsidR="002C3B80" w:rsidRPr="00422C73" w:rsidRDefault="002C3B80" w:rsidP="002C3B80">
      <m:oMath>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r>
                  <m:rPr>
                    <m:sty m:val="p"/>
                  </m:rPr>
                  <w:rPr>
                    <w:rFonts w:ascii="Cambria Math" w:hAnsi="Cambria Math"/>
                  </w:rPr>
                  <m:t>∆</m:t>
                </m:r>
                <m:r>
                  <w:rPr>
                    <w:rFonts w:ascii="Cambria Math" w:hAnsi="Cambria Math"/>
                  </w:rPr>
                  <m:t>SI</m:t>
                </m:r>
                <m:r>
                  <m:rPr>
                    <m:sty m:val="p"/>
                  </m:rPr>
                  <w:rPr>
                    <w:rFonts w:ascii="Cambria Math" w:hAnsi="Cambria Math"/>
                  </w:rPr>
                  <m:t>-</m:t>
                </m:r>
                <m:sSub>
                  <m:sSubPr>
                    <m:ctrlPr>
                      <w:rPr>
                        <w:rFonts w:ascii="Cambria Math" w:hAnsi="Cambria Math"/>
                      </w:rPr>
                    </m:ctrlPr>
                  </m:sSubPr>
                  <m:e>
                    <m:r>
                      <w:rPr>
                        <w:rFonts w:ascii="Cambria Math" w:hAnsi="Cambria Math"/>
                      </w:rPr>
                      <m:t>μ</m:t>
                    </m:r>
                  </m:e>
                  <m:sub>
                    <m:r>
                      <w:rPr>
                        <w:rFonts w:ascii="Cambria Math" w:hAnsi="Cambria Math"/>
                      </w:rPr>
                      <m:t>i</m:t>
                    </m:r>
                    <m:r>
                      <m:rPr>
                        <m:sty m:val="p"/>
                      </m:rPr>
                      <w:rPr>
                        <w:rFonts w:ascii="Cambria Math" w:hAnsi="Cambria Math"/>
                      </w:rPr>
                      <m:t>+1</m:t>
                    </m:r>
                  </m:sub>
                </m:sSub>
              </m:e>
            </m:d>
          </m:num>
          <m:den>
            <m:sSub>
              <m:sSubPr>
                <m:ctrlPr>
                  <w:rPr>
                    <w:rFonts w:ascii="Cambria Math" w:hAnsi="Cambria Math"/>
                  </w:rPr>
                </m:ctrlPr>
              </m:sSubPr>
              <m:e>
                <m:r>
                  <w:rPr>
                    <w:rFonts w:ascii="Cambria Math" w:hAnsi="Cambria Math"/>
                  </w:rPr>
                  <m:t>σ</m:t>
                </m:r>
              </m:e>
              <m:sub>
                <m:r>
                  <w:rPr>
                    <w:rFonts w:ascii="Cambria Math" w:hAnsi="Cambria Math"/>
                  </w:rPr>
                  <m:t>i</m:t>
                </m:r>
                <m:r>
                  <m:rPr>
                    <m:sty m:val="p"/>
                  </m:rPr>
                  <w:rPr>
                    <w:rFonts w:ascii="Cambria Math" w:hAnsi="Cambria Math"/>
                  </w:rPr>
                  <m:t>+1</m:t>
                </m:r>
              </m:sub>
            </m:sSub>
          </m:den>
        </m:f>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r>
                  <m:rPr>
                    <m:sty m:val="p"/>
                  </m:rPr>
                  <w:rPr>
                    <w:rFonts w:ascii="Cambria Math" w:hAnsi="Cambria Math"/>
                  </w:rPr>
                  <m:t>∆</m:t>
                </m:r>
                <m:r>
                  <w:rPr>
                    <w:rFonts w:ascii="Cambria Math" w:hAnsi="Cambria Math"/>
                  </w:rPr>
                  <m:t>SI</m:t>
                </m:r>
                <m:r>
                  <m:rPr>
                    <m:sty m:val="p"/>
                  </m:rPr>
                  <w:rPr>
                    <w:rFonts w:ascii="Cambria Math" w:hAnsi="Cambria Math"/>
                  </w:rPr>
                  <m:t>-</m:t>
                </m:r>
                <m:sSub>
                  <m:sSubPr>
                    <m:ctrlPr>
                      <w:rPr>
                        <w:rFonts w:ascii="Cambria Math" w:hAnsi="Cambria Math"/>
                      </w:rPr>
                    </m:ctrlPr>
                  </m:sSubPr>
                  <m:e>
                    <m:r>
                      <w:rPr>
                        <w:rFonts w:ascii="Cambria Math" w:hAnsi="Cambria Math"/>
                      </w:rPr>
                      <m:t>μ</m:t>
                    </m:r>
                  </m:e>
                  <m:sub>
                    <m:r>
                      <w:rPr>
                        <w:rFonts w:ascii="Cambria Math" w:hAnsi="Cambria Math"/>
                      </w:rPr>
                      <m:t>i</m:t>
                    </m:r>
                  </m:sub>
                </m:sSub>
              </m:e>
            </m:d>
          </m:num>
          <m:den>
            <m:sSub>
              <m:sSubPr>
                <m:ctrlPr>
                  <w:rPr>
                    <w:rFonts w:ascii="Cambria Math" w:hAnsi="Cambria Math"/>
                  </w:rPr>
                </m:ctrlPr>
              </m:sSubPr>
              <m:e>
                <m:r>
                  <w:rPr>
                    <w:rFonts w:ascii="Cambria Math" w:hAnsi="Cambria Math"/>
                  </w:rPr>
                  <m:t>σ</m:t>
                </m:r>
              </m:e>
              <m:sub>
                <m:r>
                  <w:rPr>
                    <w:rFonts w:ascii="Cambria Math" w:hAnsi="Cambria Math"/>
                  </w:rPr>
                  <m:t>i</m:t>
                </m:r>
              </m:sub>
            </m:sSub>
          </m:den>
        </m:f>
      </m:oMath>
      <w:r w:rsidRPr="00C55D11">
        <w:rPr>
          <w:rFonts w:hint="eastAsia"/>
        </w:rPr>
        <w:t xml:space="preserve"> </w:t>
      </w:r>
      <w:r w:rsidRPr="00C55D11">
        <w:t xml:space="preserve">                  (</w:t>
      </w:r>
      <w:r w:rsidR="00C56C3D">
        <w:t>1</w:t>
      </w:r>
      <w:r w:rsidRPr="00C55D11">
        <w:t>)</w:t>
      </w:r>
    </w:p>
    <w:p w14:paraId="04B0B3C3" w14:textId="3DCD2A83" w:rsidR="002C3B80" w:rsidRPr="002C3B80" w:rsidRDefault="002C3B80" w:rsidP="002C3B80">
      <w:r w:rsidRPr="00C55D11">
        <w:t xml:space="preserve">Where </w:t>
      </w:r>
      <m:oMath>
        <m:r>
          <m:rPr>
            <m:sty m:val="p"/>
          </m:rPr>
          <w:rPr>
            <w:rFonts w:ascii="Cambria Math" w:hAnsi="Cambria Math"/>
          </w:rPr>
          <m:t>∆</m:t>
        </m:r>
        <m:r>
          <w:rPr>
            <w:rFonts w:ascii="Cambria Math" w:hAnsi="Cambria Math"/>
          </w:rPr>
          <m:t>SI</m:t>
        </m:r>
      </m:oMath>
      <w:r w:rsidRPr="00C55D11">
        <w:t xml:space="preserve"> is the current peak signal intensity difference of the intervertebral disc, </w:t>
      </w:r>
      <m:oMath>
        <m:sSub>
          <m:sSubPr>
            <m:ctrlPr>
              <w:rPr>
                <w:rFonts w:ascii="Cambria Math" w:hAnsi="Cambria Math"/>
              </w:rPr>
            </m:ctrlPr>
          </m:sSubPr>
          <m:e>
            <m:r>
              <w:rPr>
                <w:rFonts w:ascii="Cambria Math" w:hAnsi="Cambria Math"/>
              </w:rPr>
              <m:t>μ</m:t>
            </m:r>
          </m:e>
          <m:sub>
            <m:r>
              <w:rPr>
                <w:rFonts w:ascii="Cambria Math" w:hAnsi="Cambria Math"/>
              </w:rPr>
              <m:t>i</m:t>
            </m:r>
          </m:sub>
        </m:sSub>
      </m:oMath>
      <w:r w:rsidRPr="00C55D11">
        <w:t xml:space="preserve"> and </w:t>
      </w:r>
      <m:oMath>
        <m:sSub>
          <m:sSubPr>
            <m:ctrlPr>
              <w:rPr>
                <w:rFonts w:ascii="Cambria Math" w:hAnsi="Cambria Math"/>
              </w:rPr>
            </m:ctrlPr>
          </m:sSubPr>
          <m:e>
            <m:r>
              <w:rPr>
                <w:rFonts w:ascii="Cambria Math" w:hAnsi="Cambria Math"/>
              </w:rPr>
              <m:t>σ</m:t>
            </m:r>
          </m:e>
          <m:sub>
            <m:r>
              <w:rPr>
                <w:rFonts w:ascii="Cambria Math" w:hAnsi="Cambria Math"/>
              </w:rPr>
              <m:t>i</m:t>
            </m:r>
          </m:sub>
        </m:sSub>
      </m:oMath>
      <w:r w:rsidRPr="00C55D11">
        <w:t xml:space="preserve"> are the mean and standard deviation of the standard signal intensity peak difference of the </w:t>
      </w:r>
      <m:oMath>
        <m:r>
          <w:rPr>
            <w:rFonts w:ascii="Cambria Math" w:hAnsi="Cambria Math"/>
          </w:rPr>
          <m:t>i</m:t>
        </m:r>
      </m:oMath>
      <w:r w:rsidRPr="00C55D11">
        <w:t xml:space="preserve">th level, and </w:t>
      </w:r>
      <m:oMath>
        <m:r>
          <w:rPr>
            <w:rFonts w:ascii="Cambria Math" w:hAnsi="Cambria Math"/>
          </w:rPr>
          <m:t>i</m:t>
        </m:r>
      </m:oMath>
      <w:r w:rsidRPr="00C55D11">
        <w:t xml:space="preserve"> is 1 to 4.</w:t>
      </w:r>
    </w:p>
    <w:p w14:paraId="1A32A00E" w14:textId="39D797B2" w:rsidR="002C3B80" w:rsidRPr="00C55D11" w:rsidRDefault="002C3B80" w:rsidP="002C3B80">
      <w:r w:rsidRPr="008350EE">
        <w:rPr>
          <w:b/>
          <w:bCs/>
        </w:rPr>
        <w:t xml:space="preserve">quantitative analysis </w:t>
      </w:r>
      <w:r w:rsidRPr="008350EE">
        <w:rPr>
          <w:rFonts w:hint="eastAsia"/>
          <w:b/>
          <w:bCs/>
        </w:rPr>
        <w:t>：</w:t>
      </w:r>
      <w:r w:rsidRPr="00C55D11">
        <w:t>According to the established healthy intervertebral disc signal intensity peak difference and geometric parameter standard</w:t>
      </w:r>
      <w:r w:rsidR="00C65ADB" w:rsidRPr="00522CFA">
        <w:rPr>
          <w:b/>
          <w:bCs/>
        </w:rPr>
        <w:t>(Fig. 3</w:t>
      </w:r>
      <w:r w:rsidR="00C65ADB">
        <w:rPr>
          <w:b/>
          <w:bCs/>
        </w:rPr>
        <w:t>b-e</w:t>
      </w:r>
      <w:r w:rsidR="00C65ADB" w:rsidRPr="00522CFA">
        <w:rPr>
          <w:b/>
          <w:bCs/>
        </w:rPr>
        <w:t>)</w:t>
      </w:r>
      <w:r w:rsidRPr="00C55D11">
        <w:t xml:space="preserve">, the signal intensity degeneration and the degree of high collapse of the intervertebral disc are quantitatively analyzed. For the original parameter DH, the ratio of the current DH to the average DH of the corresponding healthy intervertebral disc is used to calculate the collapse percentage. For the non-original parameters </w:t>
      </w:r>
      <m:oMath>
        <m:r>
          <m:rPr>
            <m:sty m:val="p"/>
          </m:rPr>
          <w:rPr>
            <w:rFonts w:ascii="Cambria Math" w:hAnsi="Cambria Math"/>
          </w:rPr>
          <m:t>∆</m:t>
        </m:r>
        <m:r>
          <w:rPr>
            <w:rFonts w:ascii="Cambria Math" w:hAnsi="Cambria Math"/>
          </w:rPr>
          <m:t>SI</m:t>
        </m:r>
      </m:oMath>
      <w:r w:rsidRPr="00C55D11">
        <w:rPr>
          <w:rFonts w:hint="eastAsia"/>
        </w:rPr>
        <w:t>,</w:t>
      </w:r>
      <w:r w:rsidRPr="00C55D11">
        <w:t xml:space="preserve"> DHI and HDR, which involve the influence of variables such as vertebral body height and intervertebral disc diameter, the same method as J.Jarman et al. is used to calculate the degree of deviation from the range center of the corresponding healthy intervertebral disc height parameter</w:t>
      </w:r>
      <w:r w:rsidR="00F25CCB">
        <w:fldChar w:fldCharType="begin" w:fldLock="1"/>
      </w:r>
      <w:r w:rsidR="00F25CCB">
        <w:instrText>ADDIN CSL_CITATION {"citationItems":[{"id":"ITEM-1","itemData":{"DOI":"10.1007/s00586-014-3564-8","ISSN":"14320932","PMID":"25212450","abstract":"Purpose: Quantitative MRI techniques were utilized to study intervertebral disc degeneration. Main focus was to develop a novel approach to quantify disc height loss associated with disc degeneration. Currently there is no universally accepted metric of degeneration based on measurement of disc height. Such quantitative imaging methods would complement qualitative visual assessment methods currently used and offer a valuable diagnostic tool. Methods: 51 adult participants took part in this MRI study. T2 weighted images were used to obtain disc height index (DHI) and also a semi-quantitative metric based on relative voxel intensities. For DHI, each disc was given a score based on standard deviations from the mean DHI of healthy discs. Diffusion Weighted MRI was used to assess morphological changes in the nucleus pulposus. Conventional Pfirrmann classification was used as the gold standard to assess these quantitative approaches. Results: At deviations of up to 1.5σ below normative disc height, levels of apparent diffusion coefficient (ADC) and normalized T2 intensity were maintained. Once disc compression reached 1.5σ, there was a massive drop in ADC and normalized T2 intensity. Pfirrmann degeneration scores also increased after the 1.5σ mark. Conclusions: This study provides new, unbiased quantitative imaging tools to assess disc degeneration. We observed that these quantitative MRI measures indicate a threshold beyond which major pathological changes take place concurrently. Combined information from DHI, ADC and T2 images construct a set of novel biomarkers that could be used to identify degenerating discs that are approaching the threshold and possibly intervene before major pathologic changes occur.","author":[{"dropping-particle":"","family":"Jarman","given":"Joshua P.","non-dropping-particle":"","parse-names":false,"suffix":""},{"dropping-particle":"","family":"Arpinar","given":"Volkan Emre","non-dropping-particle":"","parse-names":false,"suffix":""},{"dropping-particle":"","family":"Baruah","given":"Dhiraj","non-dropping-particle":"","parse-names":false,"suffix":""},{"dropping-particle":"","family":"Klein","given":"Andrew P.","non-dropping-particle":"","parse-names":false,"suffix":""},{"dropping-particle":"","family":"Maiman","given":"Dennis J.","non-dropping-particle":"","parse-names":false,"suffix":""},{"dropping-particle":"","family":"Tugan Muftuler","given":"L.","non-dropping-particle":"","parse-names":false,"suffix":""}],"container-title":"European Spine Journal","id":"ITEM-1","issue":"9","issued":{"date-parts":[["2015"]]},"page":"1944-1950","title":"Intervertebral disc height loss demonstrates the threshold of major pathological changes during degeneration","type":"article-journal","volume":"24"},"uris":["http://www.mendeley.com/documents/?uuid=2232c79f-4a70-4c7b-887c-8ac3180944f8"]}],"mendeley":{"formattedCitation":"[1]","plainTextFormattedCitation":"[1]","previouslyFormattedCitation":"[1]"},"properties":{"noteIndex":0},"schema":"https://github.com/citation-style-language/schema/raw/master/csl-citation.json"}</w:instrText>
      </w:r>
      <w:r w:rsidR="00F25CCB">
        <w:fldChar w:fldCharType="separate"/>
      </w:r>
      <w:r w:rsidR="00F25CCB" w:rsidRPr="00F25CCB">
        <w:rPr>
          <w:noProof/>
        </w:rPr>
        <w:t>[1]</w:t>
      </w:r>
      <w:r w:rsidR="00F25CCB">
        <w:fldChar w:fldCharType="end"/>
      </w:r>
      <w:r w:rsidRPr="00C55D11">
        <w:rPr>
          <w:rFonts w:hint="eastAsia"/>
        </w:rPr>
        <w:t>:</w:t>
      </w:r>
    </w:p>
    <w:p w14:paraId="23330417" w14:textId="1C7A942E" w:rsidR="002C3B80" w:rsidRPr="00C55D11" w:rsidRDefault="00130F82" w:rsidP="002C3B80">
      <m:oMath>
        <m:sSub>
          <m:sSubPr>
            <m:ctrlPr>
              <w:rPr>
                <w:rFonts w:ascii="Cambria Math" w:hAnsi="Cambria Math"/>
              </w:rPr>
            </m:ctrlPr>
          </m:sSubPr>
          <m:e>
            <m:r>
              <m:rPr>
                <m:sty m:val="p"/>
              </m:rPr>
              <w:rPr>
                <w:rFonts w:ascii="Cambria Math" w:hAnsi="Cambria Math"/>
              </w:rPr>
              <m:t>β</m:t>
            </m:r>
          </m:e>
          <m:sub>
            <m:r>
              <w:rPr>
                <w:rFonts w:ascii="Cambria Math" w:hAnsi="Cambria Math"/>
              </w:rPr>
              <m:t>k</m:t>
            </m:r>
          </m:sub>
        </m:sSub>
        <m:r>
          <m:rPr>
            <m:sty m:val="p"/>
          </m:rPr>
          <w:rPr>
            <w:rFonts w:ascii="Cambria Math" w:hAnsi="Cambria Math"/>
          </w:rPr>
          <m:t>=</m:t>
        </m:r>
        <m:f>
          <m:fPr>
            <m:ctrlPr>
              <w:rPr>
                <w:rFonts w:ascii="Cambria Math" w:hAnsi="Cambria Math"/>
              </w:rPr>
            </m:ctrlPr>
          </m:fPr>
          <m:num>
            <m:r>
              <w:rPr>
                <w:rFonts w:ascii="Cambria Math" w:hAnsi="Cambria Math"/>
              </w:rPr>
              <m:t>X</m:t>
            </m:r>
            <m:r>
              <m:rPr>
                <m:sty m:val="p"/>
              </m:rPr>
              <w:rPr>
                <w:rFonts w:ascii="Cambria Math" w:hAnsi="Cambria Math"/>
              </w:rPr>
              <m:t>-</m:t>
            </m:r>
            <m:sSubSup>
              <m:sSubSupPr>
                <m:ctrlPr>
                  <w:rPr>
                    <w:rFonts w:ascii="Cambria Math" w:hAnsi="Cambria Math"/>
                  </w:rPr>
                </m:ctrlPr>
              </m:sSubSupPr>
              <m:e>
                <m:r>
                  <w:rPr>
                    <w:rFonts w:ascii="Cambria Math" w:hAnsi="Cambria Math"/>
                  </w:rPr>
                  <m:t>μ</m:t>
                </m:r>
              </m:e>
              <m:sub>
                <m:r>
                  <w:rPr>
                    <w:rFonts w:ascii="Cambria Math" w:hAnsi="Cambria Math" w:hint="eastAsia"/>
                  </w:rPr>
                  <m:t>i</m:t>
                </m:r>
              </m:sub>
              <m:sup>
                <m:r>
                  <w:rPr>
                    <w:rFonts w:ascii="Cambria Math" w:hAnsi="Cambria Math"/>
                  </w:rPr>
                  <m:t>j</m:t>
                </m:r>
              </m:sup>
            </m:sSubSup>
          </m:num>
          <m:den>
            <m:sSubSup>
              <m:sSubSupPr>
                <m:ctrlPr>
                  <w:rPr>
                    <w:rFonts w:ascii="Cambria Math" w:hAnsi="Cambria Math"/>
                  </w:rPr>
                </m:ctrlPr>
              </m:sSubSupPr>
              <m:e>
                <m:r>
                  <w:rPr>
                    <w:rFonts w:ascii="Cambria Math" w:hAnsi="Cambria Math"/>
                  </w:rPr>
                  <m:t>σ</m:t>
                </m:r>
              </m:e>
              <m:sub>
                <m:r>
                  <w:rPr>
                    <w:rFonts w:ascii="Cambria Math" w:hAnsi="Cambria Math" w:hint="eastAsia"/>
                  </w:rPr>
                  <m:t>i</m:t>
                </m:r>
              </m:sub>
              <m:sup>
                <m:r>
                  <w:rPr>
                    <w:rFonts w:ascii="Cambria Math" w:hAnsi="Cambria Math"/>
                  </w:rPr>
                  <m:t>j</m:t>
                </m:r>
              </m:sup>
            </m:sSubSup>
          </m:den>
        </m:f>
      </m:oMath>
      <w:r w:rsidR="002C3B80" w:rsidRPr="00C55D11">
        <w:rPr>
          <w:rFonts w:hint="eastAsia"/>
        </w:rPr>
        <w:t xml:space="preserve"> </w:t>
      </w:r>
      <w:r w:rsidR="002C3B80" w:rsidRPr="00C55D11">
        <w:t xml:space="preserve">                  (</w:t>
      </w:r>
      <w:r w:rsidR="00C56C3D">
        <w:t>2</w:t>
      </w:r>
      <w:r w:rsidR="002C3B80" w:rsidRPr="00C55D11">
        <w:t>)</w:t>
      </w:r>
    </w:p>
    <w:p w14:paraId="5D03088D" w14:textId="1B47C4CF" w:rsidR="006B424A" w:rsidRDefault="002C3B80">
      <w:r w:rsidRPr="00C55D11">
        <w:t xml:space="preserve">Where </w:t>
      </w:r>
      <m:oMath>
        <m:sSub>
          <m:sSubPr>
            <m:ctrlPr>
              <w:rPr>
                <w:rFonts w:ascii="Cambria Math" w:hAnsi="Cambria Math"/>
              </w:rPr>
            </m:ctrlPr>
          </m:sSubPr>
          <m:e>
            <m:r>
              <m:rPr>
                <m:sty m:val="p"/>
              </m:rPr>
              <w:rPr>
                <w:rFonts w:ascii="Cambria Math" w:hAnsi="Cambria Math"/>
              </w:rPr>
              <m:t>β</m:t>
            </m:r>
          </m:e>
          <m:sub>
            <m:r>
              <w:rPr>
                <w:rFonts w:ascii="Cambria Math" w:hAnsi="Cambria Math"/>
              </w:rPr>
              <m:t>k</m:t>
            </m:r>
          </m:sub>
        </m:sSub>
      </m:oMath>
      <w:r w:rsidRPr="00C55D11">
        <w:t xml:space="preserve"> represents the degree of deviation between the kth non-original parameter and the mean value of the corresponding healthy intervertebral disc parameter, and k is from 1 to 3. When </w:t>
      </w:r>
      <m:oMath>
        <m:sSub>
          <m:sSubPr>
            <m:ctrlPr>
              <w:rPr>
                <w:rFonts w:ascii="Cambria Math" w:hAnsi="Cambria Math"/>
              </w:rPr>
            </m:ctrlPr>
          </m:sSubPr>
          <m:e>
            <m:r>
              <m:rPr>
                <m:sty m:val="p"/>
              </m:rPr>
              <w:rPr>
                <w:rFonts w:ascii="Cambria Math" w:hAnsi="Cambria Math"/>
              </w:rPr>
              <m:t>β</m:t>
            </m:r>
          </m:e>
          <m:sub>
            <m:r>
              <w:rPr>
                <w:rFonts w:ascii="Cambria Math" w:hAnsi="Cambria Math"/>
              </w:rPr>
              <m:t>k</m:t>
            </m:r>
          </m:sub>
        </m:sSub>
      </m:oMath>
      <w:r w:rsidRPr="00C55D11">
        <w:t xml:space="preserve"> is smaller, the degree of signal intensity of the intervertebral </w:t>
      </w:r>
      <w:r w:rsidRPr="00C55D11">
        <w:lastRenderedPageBreak/>
        <w:t xml:space="preserve">disc degenerates or the collapse is higher. </w:t>
      </w:r>
      <m:oMath>
        <m:r>
          <w:rPr>
            <w:rFonts w:ascii="Cambria Math" w:hAnsi="Cambria Math"/>
          </w:rPr>
          <m:t>j</m:t>
        </m:r>
      </m:oMath>
      <w:r w:rsidRPr="00C55D11">
        <w:t xml:space="preserve"> represents gender, which is 0 or 1, and </w:t>
      </w:r>
      <m:oMath>
        <m:r>
          <w:rPr>
            <w:rFonts w:ascii="Cambria Math" w:hAnsi="Cambria Math"/>
          </w:rPr>
          <m:t>i</m:t>
        </m:r>
      </m:oMath>
      <w:r w:rsidRPr="00C55D11">
        <w:t xml:space="preserve"> represents structure position.</w:t>
      </w:r>
    </w:p>
    <w:p w14:paraId="2B55EC74" w14:textId="7281C87A" w:rsidR="004C3CAE" w:rsidRPr="004C3CAE" w:rsidRDefault="004C3CAE" w:rsidP="004C3CAE">
      <w:pPr>
        <w:pStyle w:val="1"/>
        <w:rPr>
          <w:sz w:val="32"/>
          <w:szCs w:val="32"/>
        </w:rPr>
      </w:pPr>
      <w:r>
        <w:t>References</w:t>
      </w:r>
    </w:p>
    <w:p w14:paraId="4518F8F7" w14:textId="0A8714F7" w:rsidR="00F25CCB" w:rsidRPr="00F25CCB" w:rsidRDefault="00F25CCB" w:rsidP="00F25CCB">
      <w:pPr>
        <w:autoSpaceDE w:val="0"/>
        <w:autoSpaceDN w:val="0"/>
        <w:adjustRightInd w:val="0"/>
        <w:ind w:left="640" w:hanging="640"/>
        <w:rPr>
          <w:noProof/>
        </w:rPr>
      </w:pPr>
      <w:r>
        <w:fldChar w:fldCharType="begin" w:fldLock="1"/>
      </w:r>
      <w:r>
        <w:instrText xml:space="preserve">ADDIN Mendeley Bibliography CSL_BIBLIOGRAPHY </w:instrText>
      </w:r>
      <w:r>
        <w:fldChar w:fldCharType="separate"/>
      </w:r>
      <w:r w:rsidRPr="00F25CCB">
        <w:rPr>
          <w:noProof/>
        </w:rPr>
        <w:t>[1]</w:t>
      </w:r>
      <w:r w:rsidRPr="00F25CCB">
        <w:rPr>
          <w:noProof/>
        </w:rPr>
        <w:tab/>
        <w:t xml:space="preserve">J. P. Jarman, V. E. Arpinar, D. Baruah, A. P. Klein, D. J. Maiman, and L. Tugan Muftuler, “Intervertebral disc height loss demonstrates the threshold of major pathological changes during degeneration,” </w:t>
      </w:r>
      <w:r w:rsidRPr="00F25CCB">
        <w:rPr>
          <w:i/>
          <w:iCs/>
          <w:noProof/>
        </w:rPr>
        <w:t>Eur. Spine J.</w:t>
      </w:r>
      <w:r w:rsidRPr="00F25CCB">
        <w:rPr>
          <w:noProof/>
        </w:rPr>
        <w:t>, vol. 24, no. 9, pp. 1944–1950, 2015, doi: 10.1007/s00586-014-3564-8.</w:t>
      </w:r>
    </w:p>
    <w:p w14:paraId="22F606EB" w14:textId="2B3E27BC" w:rsidR="00F25CCB" w:rsidRPr="002C3B80" w:rsidRDefault="00F25CCB">
      <w:r>
        <w:fldChar w:fldCharType="end"/>
      </w:r>
    </w:p>
    <w:sectPr w:rsidR="00F25CCB" w:rsidRPr="002C3B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8BBE4" w14:textId="77777777" w:rsidR="00130F82" w:rsidRDefault="00130F82" w:rsidP="00E94B73">
      <w:pPr>
        <w:spacing w:before="0" w:after="0"/>
      </w:pPr>
      <w:r>
        <w:separator/>
      </w:r>
    </w:p>
  </w:endnote>
  <w:endnote w:type="continuationSeparator" w:id="0">
    <w:p w14:paraId="078CDA34" w14:textId="77777777" w:rsidR="00130F82" w:rsidRDefault="00130F82" w:rsidP="00E94B7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AAF33" w14:textId="77777777" w:rsidR="00130F82" w:rsidRDefault="00130F82" w:rsidP="00E94B73">
      <w:pPr>
        <w:spacing w:before="0" w:after="0"/>
      </w:pPr>
      <w:r>
        <w:separator/>
      </w:r>
    </w:p>
  </w:footnote>
  <w:footnote w:type="continuationSeparator" w:id="0">
    <w:p w14:paraId="7C91D79B" w14:textId="77777777" w:rsidR="00130F82" w:rsidRDefault="00130F82" w:rsidP="00E94B7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24A"/>
    <w:rsid w:val="00053CDE"/>
    <w:rsid w:val="00130F82"/>
    <w:rsid w:val="00224FB6"/>
    <w:rsid w:val="002C3B80"/>
    <w:rsid w:val="003E395A"/>
    <w:rsid w:val="004C3CAE"/>
    <w:rsid w:val="00511FD2"/>
    <w:rsid w:val="00522CFA"/>
    <w:rsid w:val="00617114"/>
    <w:rsid w:val="00660AF3"/>
    <w:rsid w:val="006B424A"/>
    <w:rsid w:val="00812E9F"/>
    <w:rsid w:val="00C56C3D"/>
    <w:rsid w:val="00C65ADB"/>
    <w:rsid w:val="00E94B73"/>
    <w:rsid w:val="00EF1611"/>
    <w:rsid w:val="00F10390"/>
    <w:rsid w:val="00F25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B0FFE"/>
  <w15:chartTrackingRefBased/>
  <w15:docId w15:val="{A985DB40-BAF9-4030-8310-3C1F3F428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4B73"/>
    <w:pPr>
      <w:spacing w:before="100" w:beforeAutospacing="1" w:after="100" w:afterAutospacing="1"/>
    </w:pPr>
    <w:rPr>
      <w:rFonts w:ascii="Times New Roman" w:hAnsi="Times New Roman" w:cs="Times New Roman"/>
      <w:kern w:val="0"/>
      <w:sz w:val="24"/>
      <w:szCs w:val="24"/>
    </w:rPr>
  </w:style>
  <w:style w:type="paragraph" w:styleId="1">
    <w:name w:val="heading 1"/>
    <w:basedOn w:val="a"/>
    <w:next w:val="a"/>
    <w:link w:val="10"/>
    <w:uiPriority w:val="9"/>
    <w:qFormat/>
    <w:rsid w:val="004C3CAE"/>
    <w:pPr>
      <w:keepNext/>
      <w:keepLines/>
      <w:spacing w:before="340" w:after="330" w:line="578" w:lineRule="auto"/>
      <w:outlineLvl w:val="0"/>
    </w:pPr>
    <w:rPr>
      <w:b/>
      <w:bCs/>
      <w:kern w:val="44"/>
      <w:sz w:val="44"/>
      <w:szCs w:val="44"/>
    </w:rPr>
  </w:style>
  <w:style w:type="paragraph" w:styleId="3">
    <w:name w:val="heading 3"/>
    <w:basedOn w:val="a"/>
    <w:next w:val="a"/>
    <w:link w:val="30"/>
    <w:uiPriority w:val="9"/>
    <w:unhideWhenUsed/>
    <w:qFormat/>
    <w:rsid w:val="00E94B73"/>
    <w:pPr>
      <w:keepNext/>
      <w:keepLines/>
      <w:spacing w:before="40"/>
      <w:outlineLvl w:val="2"/>
    </w:pPr>
    <w:rPr>
      <w:rFonts w:eastAsiaTheme="majorEastAsia"/>
      <w:b/>
      <w:bCs/>
      <w:color w:val="000000" w:themeColor="text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4B73"/>
    <w:pPr>
      <w:widowControl w:val="0"/>
      <w:pBdr>
        <w:bottom w:val="single" w:sz="6" w:space="1" w:color="auto"/>
      </w:pBdr>
      <w:tabs>
        <w:tab w:val="center" w:pos="4153"/>
        <w:tab w:val="right" w:pos="8306"/>
      </w:tabs>
      <w:snapToGrid w:val="0"/>
      <w:spacing w:before="0" w:beforeAutospacing="0" w:after="0" w:afterAutospacing="0"/>
      <w:jc w:val="center"/>
    </w:pPr>
    <w:rPr>
      <w:rFonts w:asciiTheme="minorHAnsi" w:hAnsiTheme="minorHAnsi" w:cstheme="minorBidi"/>
      <w:kern w:val="2"/>
      <w:sz w:val="18"/>
      <w:szCs w:val="18"/>
    </w:rPr>
  </w:style>
  <w:style w:type="character" w:customStyle="1" w:styleId="a4">
    <w:name w:val="页眉 字符"/>
    <w:basedOn w:val="a0"/>
    <w:link w:val="a3"/>
    <w:uiPriority w:val="99"/>
    <w:rsid w:val="00E94B73"/>
    <w:rPr>
      <w:sz w:val="18"/>
      <w:szCs w:val="18"/>
    </w:rPr>
  </w:style>
  <w:style w:type="paragraph" w:styleId="a5">
    <w:name w:val="footer"/>
    <w:basedOn w:val="a"/>
    <w:link w:val="a6"/>
    <w:uiPriority w:val="99"/>
    <w:unhideWhenUsed/>
    <w:rsid w:val="00E94B73"/>
    <w:pPr>
      <w:widowControl w:val="0"/>
      <w:tabs>
        <w:tab w:val="center" w:pos="4153"/>
        <w:tab w:val="right" w:pos="8306"/>
      </w:tabs>
      <w:snapToGrid w:val="0"/>
      <w:spacing w:before="0" w:beforeAutospacing="0" w:after="0" w:afterAutospacing="0"/>
    </w:pPr>
    <w:rPr>
      <w:rFonts w:asciiTheme="minorHAnsi" w:hAnsiTheme="minorHAnsi" w:cstheme="minorBidi"/>
      <w:kern w:val="2"/>
      <w:sz w:val="18"/>
      <w:szCs w:val="18"/>
    </w:rPr>
  </w:style>
  <w:style w:type="character" w:customStyle="1" w:styleId="a6">
    <w:name w:val="页脚 字符"/>
    <w:basedOn w:val="a0"/>
    <w:link w:val="a5"/>
    <w:uiPriority w:val="99"/>
    <w:rsid w:val="00E94B73"/>
    <w:rPr>
      <w:sz w:val="18"/>
      <w:szCs w:val="18"/>
    </w:rPr>
  </w:style>
  <w:style w:type="character" w:customStyle="1" w:styleId="30">
    <w:name w:val="标题 3 字符"/>
    <w:basedOn w:val="a0"/>
    <w:link w:val="3"/>
    <w:uiPriority w:val="9"/>
    <w:rsid w:val="00E94B73"/>
    <w:rPr>
      <w:rFonts w:ascii="Times New Roman" w:eastAsiaTheme="majorEastAsia" w:hAnsi="Times New Roman" w:cs="Times New Roman"/>
      <w:b/>
      <w:bCs/>
      <w:color w:val="000000" w:themeColor="text1"/>
      <w:kern w:val="0"/>
      <w:sz w:val="28"/>
      <w:szCs w:val="28"/>
    </w:rPr>
  </w:style>
  <w:style w:type="character" w:customStyle="1" w:styleId="10">
    <w:name w:val="标题 1 字符"/>
    <w:basedOn w:val="a0"/>
    <w:link w:val="1"/>
    <w:uiPriority w:val="9"/>
    <w:rsid w:val="004C3CAE"/>
    <w:rPr>
      <w:rFonts w:ascii="Times New Roman"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4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73ED7-28BB-459C-B6E7-497F4DBEB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917</Words>
  <Characters>5230</Characters>
  <Application>Microsoft Office Word</Application>
  <DocSecurity>0</DocSecurity>
  <Lines>43</Lines>
  <Paragraphs>12</Paragraphs>
  <ScaleCrop>false</ScaleCrop>
  <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bigdong 1226</dc:creator>
  <cp:keywords/>
  <dc:description/>
  <cp:lastModifiedBy>bigdong 1226</cp:lastModifiedBy>
  <cp:revision>13</cp:revision>
  <dcterms:created xsi:type="dcterms:W3CDTF">2021-08-20T13:28:00Z</dcterms:created>
  <dcterms:modified xsi:type="dcterms:W3CDTF">2021-08-30T14:09:00Z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56ed930a-0a50-3753-b8ed-ab45e5370c0b</vt:lpwstr>
  </property>
  <property fmtid="{D5CDD505-2E9C-101B-9397-08002B2CF9AE}" pid="24" name="Mendeley Citation Style_1">
    <vt:lpwstr>http://www.zotero.org/styles/ieee</vt:lpwstr>
  </property>
</Properties>
</file>