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CB05D" w14:textId="77777777" w:rsidR="00AE3EF0" w:rsidRPr="00693121" w:rsidRDefault="00AE3EF0" w:rsidP="00AE3EF0">
      <w:pPr>
        <w:spacing w:line="480" w:lineRule="auto"/>
        <w:jc w:val="both"/>
        <w:rPr>
          <w:b/>
          <w:bCs/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Extended Data Figure 1 | Frequency of T-cells specific for viral antigens in EBV</w:t>
      </w:r>
      <w:r w:rsidRPr="00192587">
        <w:rPr>
          <w:b/>
          <w:bCs/>
          <w:color w:val="000000" w:themeColor="text1"/>
          <w:vertAlign w:val="superscript"/>
          <w:lang w:val="en-GB"/>
        </w:rPr>
        <w:t>+</w:t>
      </w:r>
      <w:r w:rsidRPr="00693121">
        <w:rPr>
          <w:b/>
          <w:bCs/>
          <w:color w:val="000000" w:themeColor="text1"/>
          <w:lang w:val="en-GB"/>
        </w:rPr>
        <w:t xml:space="preserve"> and EBV</w:t>
      </w:r>
      <w:r w:rsidRPr="00192587">
        <w:rPr>
          <w:b/>
          <w:bCs/>
          <w:color w:val="000000" w:themeColor="text1"/>
          <w:vertAlign w:val="superscript"/>
          <w:lang w:val="en-GB"/>
        </w:rPr>
        <w:t>-</w:t>
      </w:r>
      <w:r w:rsidRPr="00693121">
        <w:rPr>
          <w:b/>
          <w:bCs/>
          <w:color w:val="000000" w:themeColor="text1"/>
          <w:lang w:val="en-GB"/>
        </w:rPr>
        <w:t>DLBCL patients compared with healthy controls (validation cohort)</w:t>
      </w:r>
    </w:p>
    <w:p w14:paraId="3EA6B98D" w14:textId="77777777" w:rsidR="00AE3EF0" w:rsidRPr="00693121" w:rsidRDefault="00AE3EF0" w:rsidP="00AE3EF0">
      <w:pPr>
        <w:spacing w:line="480" w:lineRule="auto"/>
        <w:jc w:val="both"/>
        <w:rPr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a - j.</w:t>
      </w:r>
      <w:r w:rsidRPr="00693121">
        <w:rPr>
          <w:color w:val="000000" w:themeColor="text1"/>
          <w:lang w:val="en-GB"/>
        </w:rPr>
        <w:t xml:space="preserve"> IFN</w:t>
      </w:r>
      <w:r w:rsidRPr="00693121">
        <w:rPr>
          <w:color w:val="000000" w:themeColor="text1"/>
          <w:lang w:val="en-GB"/>
        </w:rPr>
        <w:sym w:font="Symbol" w:char="F067"/>
      </w:r>
      <w:r w:rsidRPr="00693121">
        <w:rPr>
          <w:color w:val="000000" w:themeColor="text1"/>
          <w:lang w:val="en-GB"/>
        </w:rPr>
        <w:t xml:space="preserve"> </w:t>
      </w:r>
      <w:r w:rsidRPr="00693121">
        <w:rPr>
          <w:lang w:val="en-GB"/>
        </w:rPr>
        <w:t>ELISpot response to latent and lytic EBV antigens as well as control viruses (VZV, Influenza &amp; CMV). Latent and lytic EBV antigen EBNA1, EBNA2, EBNA3A, LMP1, LMP2 and EBV lytic antigen BZLF1 and GP350/450 peptide pools were tested in PBMCs from heathy controls (grey), EBV</w:t>
      </w:r>
      <w:r w:rsidRPr="00693121">
        <w:rPr>
          <w:vertAlign w:val="superscript"/>
          <w:lang w:val="en-GB"/>
        </w:rPr>
        <w:t>-</w:t>
      </w:r>
      <w:r w:rsidRPr="00693121">
        <w:rPr>
          <w:lang w:val="en-GB"/>
        </w:rPr>
        <w:t xml:space="preserve"> DLBCL (black) and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DLBCL (blue), presented as spot-forming cells (SFC) per 10</w:t>
      </w:r>
      <w:r w:rsidRPr="00693121">
        <w:rPr>
          <w:vertAlign w:val="superscript"/>
          <w:lang w:val="en-GB"/>
        </w:rPr>
        <w:t>6</w:t>
      </w:r>
      <w:r w:rsidRPr="00693121">
        <w:rPr>
          <w:lang w:val="en-GB"/>
        </w:rPr>
        <w:t xml:space="preserve"> PBMCs. </w:t>
      </w:r>
    </w:p>
    <w:p w14:paraId="1D2920EE" w14:textId="77777777" w:rsidR="00AE3EF0" w:rsidRPr="00693121" w:rsidRDefault="00AE3EF0" w:rsidP="00AE3EF0">
      <w:pPr>
        <w:spacing w:line="480" w:lineRule="auto"/>
        <w:rPr>
          <w:lang w:val="en-GB"/>
        </w:rPr>
      </w:pPr>
    </w:p>
    <w:p w14:paraId="4DE1019C" w14:textId="77777777" w:rsidR="00AE3EF0" w:rsidRPr="00693121" w:rsidRDefault="00AE3EF0" w:rsidP="00AE3EF0">
      <w:pPr>
        <w:spacing w:line="480" w:lineRule="auto"/>
        <w:jc w:val="both"/>
        <w:rPr>
          <w:b/>
          <w:bCs/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Extended Data Figure 2 | Overview of mIF panel, image pre-processing, and segmentation</w:t>
      </w:r>
    </w:p>
    <w:p w14:paraId="4C078B86" w14:textId="77777777" w:rsidR="00AE3EF0" w:rsidRPr="00693121" w:rsidRDefault="00AE3EF0" w:rsidP="00AE3EF0">
      <w:pPr>
        <w:spacing w:line="480" w:lineRule="auto"/>
        <w:rPr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a.</w:t>
      </w:r>
      <w:r w:rsidRPr="00693121">
        <w:rPr>
          <w:color w:val="000000" w:themeColor="text1"/>
          <w:lang w:val="en-GB"/>
        </w:rPr>
        <w:t xml:space="preserve"> Phenocycler-FUSION antibody panel</w:t>
      </w:r>
    </w:p>
    <w:p w14:paraId="588062F4" w14:textId="77777777" w:rsidR="00AE3EF0" w:rsidRPr="00693121" w:rsidRDefault="00AE3EF0" w:rsidP="00AE3EF0">
      <w:pPr>
        <w:spacing w:line="480" w:lineRule="auto"/>
        <w:jc w:val="both"/>
        <w:rPr>
          <w:lang w:val="en-GB"/>
        </w:rPr>
      </w:pPr>
      <w:r w:rsidRPr="00693121">
        <w:rPr>
          <w:b/>
          <w:bCs/>
          <w:lang w:val="en-GB"/>
        </w:rPr>
        <w:t>b.</w:t>
      </w:r>
      <w:r w:rsidRPr="00693121">
        <w:rPr>
          <w:lang w:val="en-GB"/>
        </w:rPr>
        <w:t xml:space="preserve"> Example </w:t>
      </w:r>
      <w:r w:rsidRPr="00693121">
        <w:rPr>
          <w:color w:val="000000" w:themeColor="text1"/>
          <w:lang w:val="en-GB"/>
        </w:rPr>
        <w:t xml:space="preserve">Phenocycler-FUSION </w:t>
      </w:r>
      <w:r w:rsidRPr="00693121">
        <w:rPr>
          <w:lang w:val="en-GB"/>
        </w:rPr>
        <w:t>staining of CD3e, CD4, CD8, CD14, CD68, CD163, CD30, FoxP3, HLA-DR, Ki67 and PDL1 from a representative field of view of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DLBCL.</w:t>
      </w:r>
    </w:p>
    <w:p w14:paraId="50610B39" w14:textId="77777777" w:rsidR="00AE3EF0" w:rsidRPr="00693121" w:rsidRDefault="00AE3EF0" w:rsidP="00AE3EF0">
      <w:pPr>
        <w:spacing w:line="480" w:lineRule="auto"/>
        <w:rPr>
          <w:lang w:val="en-GB"/>
        </w:rPr>
      </w:pPr>
      <w:r w:rsidRPr="00693121">
        <w:rPr>
          <w:b/>
          <w:bCs/>
          <w:lang w:val="en-GB"/>
        </w:rPr>
        <w:t>c.</w:t>
      </w:r>
      <w:r w:rsidRPr="00693121">
        <w:rPr>
          <w:lang w:val="en-GB"/>
        </w:rPr>
        <w:t xml:space="preserve"> mIF image pre-processing and analysis pipeline used for Phenocycler-FUSION images. </w:t>
      </w:r>
    </w:p>
    <w:p w14:paraId="35F868B8" w14:textId="77777777" w:rsidR="00AE3EF0" w:rsidRPr="00693121" w:rsidRDefault="00AE3EF0" w:rsidP="00AE3EF0">
      <w:pPr>
        <w:spacing w:line="480" w:lineRule="auto"/>
        <w:rPr>
          <w:lang w:val="en-GB"/>
        </w:rPr>
      </w:pPr>
      <w:r w:rsidRPr="00693121">
        <w:rPr>
          <w:b/>
          <w:bCs/>
          <w:lang w:val="en-GB"/>
        </w:rPr>
        <w:t>d.</w:t>
      </w:r>
      <w:r w:rsidRPr="00693121">
        <w:rPr>
          <w:lang w:val="en-GB"/>
        </w:rPr>
        <w:t xml:space="preserve"> Examples of single-cell segmentation using DeepCell. </w:t>
      </w:r>
    </w:p>
    <w:p w14:paraId="15D61A9C" w14:textId="77777777" w:rsidR="00AE3EF0" w:rsidRPr="00693121" w:rsidRDefault="00AE3EF0" w:rsidP="00AE3EF0">
      <w:pPr>
        <w:spacing w:line="480" w:lineRule="auto"/>
        <w:rPr>
          <w:lang w:val="en-GB"/>
        </w:rPr>
      </w:pPr>
    </w:p>
    <w:p w14:paraId="51C79C40" w14:textId="77777777" w:rsidR="00AE3EF0" w:rsidRPr="00693121" w:rsidRDefault="00AE3EF0" w:rsidP="00AE3EF0">
      <w:pPr>
        <w:spacing w:line="480" w:lineRule="auto"/>
        <w:rPr>
          <w:b/>
          <w:bCs/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Extended Data Figure 3 | Additional EBV</w:t>
      </w:r>
      <w:r w:rsidRPr="00693121">
        <w:rPr>
          <w:b/>
          <w:bCs/>
          <w:color w:val="000000" w:themeColor="text1"/>
          <w:vertAlign w:val="superscript"/>
          <w:lang w:val="en-GB"/>
        </w:rPr>
        <w:t>+</w:t>
      </w:r>
      <w:r w:rsidRPr="00693121">
        <w:rPr>
          <w:b/>
          <w:bCs/>
          <w:color w:val="000000" w:themeColor="text1"/>
          <w:lang w:val="en-GB"/>
        </w:rPr>
        <w:t xml:space="preserve"> TME data </w:t>
      </w:r>
    </w:p>
    <w:p w14:paraId="71C22B53" w14:textId="77777777" w:rsidR="00AE3EF0" w:rsidRPr="00693121" w:rsidRDefault="00AE3EF0" w:rsidP="00AE3EF0">
      <w:pPr>
        <w:spacing w:line="480" w:lineRule="auto"/>
        <w:jc w:val="both"/>
        <w:rPr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a.</w:t>
      </w:r>
      <w:r w:rsidRPr="00693121">
        <w:rPr>
          <w:color w:val="000000" w:themeColor="text1"/>
          <w:lang w:val="en-GB"/>
        </w:rPr>
        <w:t xml:space="preserve"> Ratios of Macrophage and T-cell phenotypes between EBV</w:t>
      </w:r>
      <w:r w:rsidRPr="00693121">
        <w:rPr>
          <w:color w:val="000000" w:themeColor="text1"/>
          <w:vertAlign w:val="superscript"/>
          <w:lang w:val="en-GB"/>
        </w:rPr>
        <w:t>+</w:t>
      </w:r>
      <w:r w:rsidRPr="00693121">
        <w:rPr>
          <w:color w:val="000000" w:themeColor="text1"/>
          <w:lang w:val="en-GB"/>
        </w:rPr>
        <w:t xml:space="preserve"> and EBV</w:t>
      </w:r>
      <w:r w:rsidRPr="00693121">
        <w:rPr>
          <w:color w:val="000000" w:themeColor="text1"/>
          <w:vertAlign w:val="superscript"/>
          <w:lang w:val="en-GB"/>
        </w:rPr>
        <w:t>-</w:t>
      </w:r>
      <w:r w:rsidRPr="00693121">
        <w:rPr>
          <w:color w:val="000000" w:themeColor="text1"/>
          <w:lang w:val="en-GB"/>
        </w:rPr>
        <w:t xml:space="preserve"> DLBCL. </w:t>
      </w:r>
    </w:p>
    <w:p w14:paraId="4104F475" w14:textId="77777777" w:rsidR="00AE3EF0" w:rsidRPr="00693121" w:rsidRDefault="00AE3EF0" w:rsidP="00AE3EF0">
      <w:pPr>
        <w:spacing w:line="480" w:lineRule="auto"/>
        <w:jc w:val="both"/>
        <w:rPr>
          <w:lang w:val="en-GB"/>
        </w:rPr>
      </w:pPr>
      <w:r w:rsidRPr="00693121">
        <w:rPr>
          <w:b/>
          <w:bCs/>
          <w:lang w:val="en-GB"/>
        </w:rPr>
        <w:t>b.</w:t>
      </w:r>
      <w:r w:rsidRPr="00693121">
        <w:rPr>
          <w:lang w:val="en-GB"/>
        </w:rPr>
        <w:t xml:space="preserve"> Cellular neighbourhood cell enrichment heatmap showing the relative abundances of cell types within each neighbourhood. </w:t>
      </w:r>
    </w:p>
    <w:p w14:paraId="7622F628" w14:textId="77777777" w:rsidR="00AE3EF0" w:rsidRPr="00693121" w:rsidRDefault="00AE3EF0" w:rsidP="00AE3EF0">
      <w:pPr>
        <w:spacing w:line="480" w:lineRule="auto"/>
        <w:rPr>
          <w:lang w:val="en-GB"/>
        </w:rPr>
      </w:pPr>
      <w:r w:rsidRPr="00693121">
        <w:rPr>
          <w:b/>
          <w:bCs/>
          <w:lang w:val="en-GB"/>
        </w:rPr>
        <w:t>c.</w:t>
      </w:r>
      <w:r w:rsidRPr="00693121">
        <w:rPr>
          <w:lang w:val="en-GB"/>
        </w:rPr>
        <w:t xml:space="preserve"> Chemokine levels from bulk RNAseq analysis in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vs. EBV</w:t>
      </w:r>
      <w:r w:rsidRPr="00693121">
        <w:rPr>
          <w:vertAlign w:val="superscript"/>
          <w:lang w:val="en-GB"/>
        </w:rPr>
        <w:t>-</w:t>
      </w:r>
      <w:r w:rsidRPr="00693121">
        <w:rPr>
          <w:lang w:val="en-GB"/>
        </w:rPr>
        <w:t xml:space="preserve"> DLBCL.</w:t>
      </w:r>
    </w:p>
    <w:p w14:paraId="364A4B93" w14:textId="77777777" w:rsidR="00AE3EF0" w:rsidRPr="00693121" w:rsidRDefault="00AE3EF0" w:rsidP="00AE3EF0">
      <w:pPr>
        <w:spacing w:line="480" w:lineRule="auto"/>
        <w:rPr>
          <w:lang w:val="en-GB"/>
        </w:rPr>
      </w:pPr>
    </w:p>
    <w:p w14:paraId="5B4227BC" w14:textId="77777777" w:rsidR="00AE3EF0" w:rsidRPr="00693121" w:rsidRDefault="00AE3EF0" w:rsidP="00AE3EF0">
      <w:pPr>
        <w:spacing w:line="480" w:lineRule="auto"/>
        <w:rPr>
          <w:b/>
          <w:bCs/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lastRenderedPageBreak/>
        <w:t>Extended Data Figure 4 | Spatial niches of macrophages and LMP1</w:t>
      </w:r>
      <w:r w:rsidRPr="00693121">
        <w:rPr>
          <w:b/>
          <w:bCs/>
          <w:color w:val="000000" w:themeColor="text1"/>
          <w:vertAlign w:val="superscript"/>
          <w:lang w:val="en-GB"/>
        </w:rPr>
        <w:t>+</w:t>
      </w:r>
      <w:r w:rsidRPr="00693121">
        <w:rPr>
          <w:b/>
          <w:bCs/>
          <w:color w:val="000000" w:themeColor="text1"/>
          <w:lang w:val="en-GB"/>
        </w:rPr>
        <w:t xml:space="preserve"> TBCs in EBV</w:t>
      </w:r>
      <w:r w:rsidRPr="00693121">
        <w:rPr>
          <w:b/>
          <w:bCs/>
          <w:color w:val="000000" w:themeColor="text1"/>
          <w:vertAlign w:val="superscript"/>
          <w:lang w:val="en-GB"/>
        </w:rPr>
        <w:t>+</w:t>
      </w:r>
      <w:r w:rsidRPr="00693121">
        <w:rPr>
          <w:b/>
          <w:bCs/>
          <w:color w:val="000000" w:themeColor="text1"/>
          <w:lang w:val="en-GB"/>
        </w:rPr>
        <w:t xml:space="preserve"> DLBCL</w:t>
      </w:r>
    </w:p>
    <w:p w14:paraId="13FB2F44" w14:textId="77777777" w:rsidR="00AE3EF0" w:rsidRPr="00693121" w:rsidRDefault="00AE3EF0" w:rsidP="00AE3EF0">
      <w:pPr>
        <w:spacing w:line="480" w:lineRule="auto"/>
        <w:jc w:val="both"/>
        <w:rPr>
          <w:color w:val="000000" w:themeColor="text1"/>
          <w:lang w:val="en-GB"/>
        </w:rPr>
      </w:pPr>
      <w:r w:rsidRPr="00693121">
        <w:rPr>
          <w:b/>
          <w:bCs/>
          <w:lang w:val="en-GB"/>
        </w:rPr>
        <w:t>a.</w:t>
      </w:r>
      <w:r w:rsidRPr="00693121">
        <w:rPr>
          <w:lang w:val="en-GB"/>
        </w:rPr>
        <w:t xml:space="preserve"> </w:t>
      </w:r>
      <w:r w:rsidRPr="00693121">
        <w:rPr>
          <w:color w:val="000000" w:themeColor="text1"/>
          <w:lang w:val="en-GB"/>
        </w:rPr>
        <w:t>LMP1 transfection and EBV infection of four human DLBCL cell lines (SUDHL4, SUDHL5, HT &amp; U2392).</w:t>
      </w:r>
    </w:p>
    <w:p w14:paraId="2651009F" w14:textId="77777777" w:rsidR="00AE3EF0" w:rsidRPr="00693121" w:rsidRDefault="00AE3EF0" w:rsidP="00AE3EF0">
      <w:pPr>
        <w:spacing w:line="480" w:lineRule="auto"/>
        <w:jc w:val="both"/>
        <w:rPr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b.-c.</w:t>
      </w:r>
      <w:r w:rsidRPr="00693121">
        <w:rPr>
          <w:lang w:val="en-GB"/>
        </w:rPr>
        <w:t xml:space="preserve"> EBV gene expression of (e) EBV infected and (f) LMP1 transfected hDLBCL cell lines.</w:t>
      </w:r>
    </w:p>
    <w:p w14:paraId="0C91A117" w14:textId="77777777" w:rsidR="00AE3EF0" w:rsidRPr="00693121" w:rsidRDefault="00AE3EF0" w:rsidP="00AE3EF0">
      <w:pPr>
        <w:spacing w:line="480" w:lineRule="auto"/>
        <w:jc w:val="both"/>
        <w:rPr>
          <w:lang w:val="en-GB"/>
        </w:rPr>
      </w:pPr>
      <w:r w:rsidRPr="00693121">
        <w:rPr>
          <w:b/>
          <w:bCs/>
          <w:color w:val="000000" w:themeColor="text1"/>
          <w:lang w:val="en-GB"/>
        </w:rPr>
        <w:t>d.</w:t>
      </w:r>
      <w:r w:rsidRPr="00693121">
        <w:rPr>
          <w:color w:val="000000" w:themeColor="text1"/>
          <w:lang w:val="en-GB"/>
        </w:rPr>
        <w:t xml:space="preserve"> </w:t>
      </w:r>
      <w:r w:rsidRPr="00693121">
        <w:rPr>
          <w:lang w:val="en-GB"/>
        </w:rPr>
        <w:t>Commonly upregulated genes in LMP1 transfected and EBV infected DLBCL cell lines.</w:t>
      </w:r>
    </w:p>
    <w:p w14:paraId="49DDB437" w14:textId="77777777" w:rsidR="00AE3EF0" w:rsidRPr="00693121" w:rsidRDefault="00AE3EF0" w:rsidP="00AE3EF0">
      <w:pPr>
        <w:spacing w:line="480" w:lineRule="auto"/>
        <w:jc w:val="both"/>
        <w:rPr>
          <w:lang w:val="en-GB"/>
        </w:rPr>
      </w:pPr>
      <w:r w:rsidRPr="00693121">
        <w:rPr>
          <w:b/>
          <w:bCs/>
          <w:color w:val="000000" w:themeColor="text1"/>
          <w:lang w:val="en-GB"/>
        </w:rPr>
        <w:t>e.</w:t>
      </w:r>
      <w:r w:rsidRPr="00693121">
        <w:rPr>
          <w:color w:val="000000" w:themeColor="text1"/>
          <w:lang w:val="en-GB"/>
        </w:rPr>
        <w:t xml:space="preserve"> </w:t>
      </w:r>
      <w:r w:rsidRPr="00693121">
        <w:rPr>
          <w:lang w:val="en-GB"/>
        </w:rPr>
        <w:t>TME quantification (cell abundance as a function of distance) of LMP1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TBCs for M1 macrophages,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>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M1 macrophages,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M2 macrophages, M2 macrophages, exhausted CD4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T-cells, exhausted CD8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T-cells, CD4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 and PD1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 regs.</w:t>
      </w:r>
    </w:p>
    <w:p w14:paraId="5957790C" w14:textId="77777777" w:rsidR="00AE3EF0" w:rsidRPr="00693121" w:rsidRDefault="00AE3EF0" w:rsidP="00AE3EF0">
      <w:pPr>
        <w:spacing w:line="480" w:lineRule="auto"/>
        <w:jc w:val="both"/>
        <w:rPr>
          <w:lang w:val="en-GB"/>
        </w:rPr>
      </w:pPr>
      <w:r w:rsidRPr="00693121">
        <w:rPr>
          <w:b/>
          <w:bCs/>
          <w:lang w:val="en-GB"/>
        </w:rPr>
        <w:t>f. &amp; g.</w:t>
      </w:r>
      <w:r w:rsidRPr="00693121">
        <w:rPr>
          <w:lang w:val="en-GB"/>
        </w:rPr>
        <w:t xml:space="preserve"> TME quantification (cell abundance as a function of distance) of (b)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M1 macrophage for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>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M1 macrophages,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>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M2 macrophages and PD1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Tregs and (c)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M2 macrophages for CD4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T-cells, CD8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 and Tregs. Kruskal-wallis test was used at each TME level.</w:t>
      </w:r>
    </w:p>
    <w:p w14:paraId="0BCB9DC0" w14:textId="77777777" w:rsidR="00AE3EF0" w:rsidRPr="00693121" w:rsidRDefault="00AE3EF0" w:rsidP="00AE3EF0">
      <w:pPr>
        <w:spacing w:line="480" w:lineRule="auto"/>
        <w:rPr>
          <w:lang w:val="en-GB"/>
        </w:rPr>
      </w:pPr>
    </w:p>
    <w:p w14:paraId="1D6F80CE" w14:textId="77777777" w:rsidR="00AE3EF0" w:rsidRPr="00693121" w:rsidRDefault="00AE3EF0" w:rsidP="00AE3EF0">
      <w:pPr>
        <w:spacing w:line="480" w:lineRule="auto"/>
        <w:rPr>
          <w:b/>
          <w:bCs/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Extended Data Figure 5 | EBV</w:t>
      </w:r>
      <w:r w:rsidRPr="00693121">
        <w:rPr>
          <w:b/>
          <w:bCs/>
          <w:color w:val="000000" w:themeColor="text1"/>
          <w:vertAlign w:val="superscript"/>
          <w:lang w:val="en-GB"/>
        </w:rPr>
        <w:t>+</w:t>
      </w:r>
      <w:r w:rsidRPr="00693121">
        <w:rPr>
          <w:b/>
          <w:bCs/>
          <w:color w:val="000000" w:themeColor="text1"/>
          <w:lang w:val="en-GB"/>
        </w:rPr>
        <w:t xml:space="preserve"> disease- mIF images and microenvironment</w:t>
      </w:r>
    </w:p>
    <w:p w14:paraId="59AD1F33" w14:textId="77777777" w:rsidR="00AE3EF0" w:rsidRPr="00693121" w:rsidRDefault="00AE3EF0" w:rsidP="00AE3EF0">
      <w:pPr>
        <w:spacing w:line="480" w:lineRule="auto"/>
        <w:jc w:val="both"/>
        <w:rPr>
          <w:color w:val="000000" w:themeColor="text1"/>
          <w:lang w:val="en-GB"/>
        </w:rPr>
      </w:pPr>
      <w:r w:rsidRPr="00693121">
        <w:rPr>
          <w:b/>
          <w:bCs/>
          <w:color w:val="000000" w:themeColor="text1"/>
          <w:lang w:val="en-GB"/>
        </w:rPr>
        <w:t>a.</w:t>
      </w:r>
      <w:r w:rsidRPr="00693121">
        <w:rPr>
          <w:color w:val="000000" w:themeColor="text1"/>
          <w:lang w:val="en-GB"/>
        </w:rPr>
        <w:t xml:space="preserve"> Representative mIF images of different TMEs of EBV</w:t>
      </w:r>
      <w:r w:rsidRPr="00693121">
        <w:rPr>
          <w:color w:val="000000" w:themeColor="text1"/>
          <w:vertAlign w:val="superscript"/>
          <w:lang w:val="en-GB"/>
        </w:rPr>
        <w:t>+</w:t>
      </w:r>
      <w:r w:rsidRPr="00693121">
        <w:rPr>
          <w:color w:val="000000" w:themeColor="text1"/>
          <w:lang w:val="en-GB"/>
        </w:rPr>
        <w:t xml:space="preserve"> DLBCL TBCs, EBV</w:t>
      </w:r>
      <w:r w:rsidRPr="00693121">
        <w:rPr>
          <w:color w:val="000000" w:themeColor="text1"/>
          <w:vertAlign w:val="superscript"/>
          <w:lang w:val="en-GB"/>
        </w:rPr>
        <w:t>+</w:t>
      </w:r>
      <w:r w:rsidRPr="00693121">
        <w:rPr>
          <w:color w:val="000000" w:themeColor="text1"/>
          <w:lang w:val="en-GB"/>
        </w:rPr>
        <w:t xml:space="preserve"> cHL HRS cells and EBV-infected B-cells in IM Tonsil.</w:t>
      </w:r>
    </w:p>
    <w:p w14:paraId="6192C27D" w14:textId="77777777" w:rsidR="00AE3EF0" w:rsidRPr="00693121" w:rsidRDefault="00AE3EF0" w:rsidP="00AE3EF0">
      <w:pPr>
        <w:spacing w:line="480" w:lineRule="auto"/>
        <w:rPr>
          <w:lang w:val="en-GB"/>
        </w:rPr>
      </w:pPr>
      <w:r w:rsidRPr="00693121">
        <w:rPr>
          <w:b/>
          <w:bCs/>
          <w:lang w:val="en-GB"/>
        </w:rPr>
        <w:t>b.</w:t>
      </w:r>
      <w:r w:rsidRPr="00693121">
        <w:rPr>
          <w:lang w:val="en-GB"/>
        </w:rPr>
        <w:t xml:space="preserve"> Treg abundances as a function of total immune cells in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DLBCL,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cHL &amp; IM Tonsil.</w:t>
      </w:r>
    </w:p>
    <w:p w14:paraId="563C22E1" w14:textId="77777777" w:rsidR="00AE3EF0" w:rsidRPr="00693121" w:rsidRDefault="00AE3EF0" w:rsidP="00AE3EF0">
      <w:pPr>
        <w:spacing w:line="480" w:lineRule="auto"/>
        <w:jc w:val="both"/>
        <w:rPr>
          <w:lang w:val="en-GB"/>
        </w:rPr>
      </w:pPr>
      <w:r w:rsidRPr="00693121">
        <w:rPr>
          <w:b/>
          <w:bCs/>
          <w:lang w:val="en-GB"/>
        </w:rPr>
        <w:t>c.</w:t>
      </w:r>
      <w:r w:rsidRPr="00693121">
        <w:rPr>
          <w:lang w:val="en-GB"/>
        </w:rPr>
        <w:t xml:space="preserve"> GranzymeB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CD8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T-cell, PD1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Treg, Ki67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CD4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T-cell, Ki67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CD8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T-cell, 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M1 macrophage and 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M2 macrophage abundances as a function of total immune in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DLBCL, EBV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cHL &amp; IM Tonsil.</w:t>
      </w:r>
    </w:p>
    <w:p w14:paraId="31791132" w14:textId="5C12FA09" w:rsidR="009542D6" w:rsidRDefault="00AE3EF0" w:rsidP="00AE3EF0">
      <w:r w:rsidRPr="00693121">
        <w:rPr>
          <w:b/>
          <w:bCs/>
          <w:lang w:val="en-GB"/>
        </w:rPr>
        <w:lastRenderedPageBreak/>
        <w:t>d.</w:t>
      </w:r>
      <w:r w:rsidRPr="00693121">
        <w:rPr>
          <w:lang w:val="en-GB"/>
        </w:rPr>
        <w:t xml:space="preserve"> TME quantification (cell abundance as a function of distance) of LMP1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TBCs for PDL1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>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M1 macrophages, IDO1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M1 macrophages, CD4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T-cells, CD8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T-cells, proliferative CD4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cells, proliferative CD8</w:t>
      </w:r>
      <w:r w:rsidRPr="00693121">
        <w:rPr>
          <w:vertAlign w:val="superscript"/>
          <w:lang w:val="en-GB"/>
        </w:rPr>
        <w:t>+</w:t>
      </w:r>
      <w:r w:rsidRPr="00693121">
        <w:rPr>
          <w:lang w:val="en-GB"/>
        </w:rPr>
        <w:t xml:space="preserve"> T-cells and proliferative Tregs.</w:t>
      </w:r>
    </w:p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EF0"/>
    <w:rsid w:val="00264C10"/>
    <w:rsid w:val="002B5C0C"/>
    <w:rsid w:val="00470242"/>
    <w:rsid w:val="00726E03"/>
    <w:rsid w:val="009542D6"/>
    <w:rsid w:val="00AE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E717"/>
  <w15:chartTrackingRefBased/>
  <w15:docId w15:val="{F8EAE6FF-D892-472B-9A39-5DDD1C556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EF0"/>
    <w:pPr>
      <w:spacing w:after="0" w:line="240" w:lineRule="auto"/>
    </w:pPr>
    <w:rPr>
      <w:rFonts w:eastAsiaTheme="minorHAnsi"/>
      <w:kern w:val="0"/>
      <w:lang w:val="en-IE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3E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3E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3E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3E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3E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3EF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3EF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3EF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3EF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3E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3E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3E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3E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3E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3E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3E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3E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3E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3E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3E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3EF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3E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3EF0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3E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3EF0"/>
    <w:pPr>
      <w:spacing w:after="160" w:line="278" w:lineRule="auto"/>
      <w:ind w:left="720"/>
      <w:contextualSpacing/>
    </w:pPr>
    <w:rPr>
      <w:rFonts w:eastAsiaTheme="minorEastAsia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3E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3E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3E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3E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</Words>
  <Characters>2483</Characters>
  <Application>Microsoft Office Word</Application>
  <DocSecurity>0</DocSecurity>
  <Lines>41</Lines>
  <Paragraphs>12</Paragraphs>
  <ScaleCrop>false</ScaleCrop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2026-01-23T18:58:00Z</dcterms:created>
  <dcterms:modified xsi:type="dcterms:W3CDTF">2026-01-23T18:58:00Z</dcterms:modified>
</cp:coreProperties>
</file>