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4AF02" w14:textId="77777777" w:rsidR="005E453D" w:rsidRPr="005E453D" w:rsidRDefault="005E453D" w:rsidP="005E453D">
      <w:pPr>
        <w:shd w:val="clear" w:color="auto" w:fill="FFFFFF"/>
        <w:spacing w:before="180" w:after="180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5E453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  <w:t>CONSORT Checklist for Non-inferiority Randomized Trials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"/>
        <w:gridCol w:w="6610"/>
        <w:gridCol w:w="1718"/>
      </w:tblGrid>
      <w:tr w:rsidR="005E453D" w:rsidRPr="005E453D" w14:paraId="30998152" w14:textId="77777777" w:rsidTr="005E453D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AAA244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Item #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1FC991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Checklist Item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84A8BB" w14:textId="46AB9735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Page number</w:t>
            </w:r>
          </w:p>
        </w:tc>
      </w:tr>
      <w:tr w:rsidR="005E453D" w:rsidRPr="005E453D" w14:paraId="619EA09F" w14:textId="77777777" w:rsidTr="005E453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02F458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64875E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Identification as a randomized trial in the title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AA1236" w14:textId="424DA3BB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E453D" w:rsidRPr="005E453D" w14:paraId="33D13D53" w14:textId="77777777" w:rsidTr="005E453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84E967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FACEA4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Structured summary of trial design, methods, results, and conclusions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D62239" w14:textId="2A40783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5E453D" w:rsidRPr="005E453D" w14:paraId="3CB17D40" w14:textId="77777777" w:rsidTr="005E453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2A5ADC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ECB596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Scientific background and explanation of rationale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FF2B82" w14:textId="45B0D9EE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</w:tr>
      <w:tr w:rsidR="005E453D" w:rsidRPr="005E453D" w14:paraId="2BDAD828" w14:textId="77777777" w:rsidTr="005E453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1ECA5C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45D130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Specific objectives or hypotheses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76E6E4" w14:textId="5CBC0386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</w:tr>
      <w:tr w:rsidR="005E453D" w:rsidRPr="005E453D" w14:paraId="032BDBBB" w14:textId="77777777" w:rsidTr="005E453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A348F5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3a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328AFC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Description of trial design (such as parallel, factorial) including allocation ratio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0AD74B" w14:textId="58A95263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5,8</w:t>
            </w:r>
          </w:p>
        </w:tc>
      </w:tr>
      <w:tr w:rsidR="005E453D" w:rsidRPr="005E453D" w14:paraId="159C5359" w14:textId="77777777" w:rsidTr="005E453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995825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3b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D75AA9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Important changes to methods after trial commencement (such as eligibility criteria), with reasons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BDE05B" w14:textId="24A9AAC1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Not applicable</w:t>
            </w:r>
          </w:p>
        </w:tc>
      </w:tr>
      <w:tr w:rsidR="005E453D" w:rsidRPr="005E453D" w14:paraId="6A52232C" w14:textId="77777777" w:rsidTr="005E453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362AD1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4a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155138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Eligibility criteria for participants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D99B26" w14:textId="53EC7B7E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</w:tr>
      <w:tr w:rsidR="005E453D" w:rsidRPr="005E453D" w14:paraId="7F4A959B" w14:textId="77777777" w:rsidTr="005E453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1C4020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4b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D4F01B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Settings and locations where the data were collected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0C059E" w14:textId="5B30D285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</w:tr>
      <w:tr w:rsidR="005E453D" w:rsidRPr="005E453D" w14:paraId="5DB548F0" w14:textId="77777777" w:rsidTr="005E453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5A4C86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369C35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The interventions for each group with sufficient details to allow replication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13438C" w14:textId="28D53C1D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6,7</w:t>
            </w:r>
          </w:p>
        </w:tc>
      </w:tr>
      <w:tr w:rsidR="005E453D" w:rsidRPr="005E453D" w14:paraId="48064EFE" w14:textId="77777777" w:rsidTr="005E453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BC0DDC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6a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6C6F43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Completely defined pre-specified primary and secondary outcome measures, including how and when they were assessed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F53BF9" w14:textId="05CD43F6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</w:tr>
      <w:tr w:rsidR="005E453D" w:rsidRPr="005E453D" w14:paraId="74002141" w14:textId="77777777" w:rsidTr="005E453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114C7A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6b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AFB4DE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Any changes to trial outcomes after the trial commenced, with reasons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BA8C9B" w14:textId="7AAF84E2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7 (one post hoc outcome)</w:t>
            </w:r>
          </w:p>
        </w:tc>
      </w:tr>
      <w:tr w:rsidR="005E453D" w:rsidRPr="005E453D" w14:paraId="4191F57B" w14:textId="77777777" w:rsidTr="005E453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08BB6A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7a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0AB4A4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How sample size was determined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C0B6F8" w14:textId="00CACB86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</w:tr>
      <w:tr w:rsidR="005E453D" w:rsidRPr="005E453D" w14:paraId="7943EE53" w14:textId="77777777" w:rsidTr="005E453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83531E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7b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185ACD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When applicable, explanation of any interim analyses and stopping guidelines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602717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Not applicable</w:t>
            </w:r>
          </w:p>
        </w:tc>
      </w:tr>
      <w:tr w:rsidR="005E453D" w:rsidRPr="005E453D" w14:paraId="2E0907F6" w14:textId="77777777" w:rsidTr="005E453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1AE216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8a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602A1B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Method used to generate the random allocation sequence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3C058F" w14:textId="52FF82B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</w:tr>
      <w:tr w:rsidR="005E453D" w:rsidRPr="005E453D" w14:paraId="6B3F5002" w14:textId="77777777" w:rsidTr="005E453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832596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8b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45AE54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Type of randomization; details of any restriction (such as blocking and block size)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3DA741" w14:textId="40002C9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</w:tr>
      <w:tr w:rsidR="005E453D" w:rsidRPr="005E453D" w14:paraId="15D76CD8" w14:textId="77777777" w:rsidTr="005E453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ED55CF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01D46C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Mechanism used to implement the random allocation sequence (such as sequentially numbered containers), describing any steps taken to conceal the sequence until interventions were assigned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3EEE35" w14:textId="6DABD484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</w:tr>
      <w:tr w:rsidR="005E453D" w:rsidRPr="005E453D" w14:paraId="4D4FF6CC" w14:textId="77777777" w:rsidTr="005E453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775870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887C7A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Who generated the random allocation sequence, who enrolled participants, and who assigned participants to interventions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1C5294" w14:textId="7F5F903B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</w:tr>
      <w:tr w:rsidR="005E453D" w:rsidRPr="005E453D" w14:paraId="7AD5A68C" w14:textId="77777777" w:rsidTr="005E453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BBD6D7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11a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2DAAB5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If done, who was blinded after assignment to interventions (for example, participants, care providers, those assessing outcomes) and how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FAA8DC" w14:textId="3011417B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</w:tr>
      <w:tr w:rsidR="005E453D" w:rsidRPr="005E453D" w14:paraId="215D03FE" w14:textId="77777777" w:rsidTr="005E453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6352E0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11b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6F4B8C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If relevant, description of the similarity of interventions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B1EA30" w14:textId="1CB175B1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6,7</w:t>
            </w:r>
          </w:p>
        </w:tc>
      </w:tr>
      <w:tr w:rsidR="005E453D" w:rsidRPr="005E453D" w14:paraId="2333D0B1" w14:textId="77777777" w:rsidTr="005E453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6EE5C4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12a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71566A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Statistical methods used to compare groups for primary and secondary outcomes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0CDB8E" w14:textId="17676F9C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8,9</w:t>
            </w:r>
          </w:p>
        </w:tc>
      </w:tr>
      <w:tr w:rsidR="005E453D" w:rsidRPr="005E453D" w14:paraId="6B978E4F" w14:textId="77777777" w:rsidTr="005E453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D9E401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12b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0CBBB3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Methods for additional analyses, such as subgroup analyses and adjusted analyses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89AAD9" w14:textId="7B6F060D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8,9</w:t>
            </w:r>
          </w:p>
        </w:tc>
      </w:tr>
      <w:tr w:rsidR="005E453D" w:rsidRPr="005E453D" w14:paraId="7F92913C" w14:textId="77777777" w:rsidTr="005E453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3B5F7E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13a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CB22BD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For each group, the numbers of participants who were randomly assigned, received intended treatment, and were analyzed for the primary outcome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008ED1" w14:textId="4DE8B100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9, Figure 1</w:t>
            </w:r>
          </w:p>
        </w:tc>
      </w:tr>
      <w:tr w:rsidR="005E453D" w:rsidRPr="005E453D" w14:paraId="3E950093" w14:textId="77777777" w:rsidTr="005E453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DAA29C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13b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9CFF3B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For each group, losses and exclusions after randomization, together with reasons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F85BFE" w14:textId="72DB3838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Figure 1</w:t>
            </w:r>
          </w:p>
        </w:tc>
      </w:tr>
      <w:tr w:rsidR="005E453D" w:rsidRPr="005E453D" w14:paraId="539F443A" w14:textId="77777777" w:rsidTr="005E453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43D5D9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14a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6FECDA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Dates defining the periods of recruitment and follow-up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DE4D2C" w14:textId="6CCBBD50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</w:tr>
      <w:tr w:rsidR="005E453D" w:rsidRPr="005E453D" w14:paraId="5DA8B7AF" w14:textId="77777777" w:rsidTr="005E453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0949A0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14b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5A4FD3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Why the trial ended or was stopped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B51D2E" w14:textId="2ECD2003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Not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applicable</w:t>
            </w:r>
          </w:p>
        </w:tc>
      </w:tr>
      <w:tr w:rsidR="005E453D" w:rsidRPr="005E453D" w14:paraId="1B897C4D" w14:textId="77777777" w:rsidTr="005E453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9BAE56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7BD316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A table showing baseline demographic and clinical characteristics for each group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5DD587" w14:textId="0E51DD92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Table 1</w:t>
            </w:r>
          </w:p>
        </w:tc>
      </w:tr>
      <w:tr w:rsidR="005E453D" w:rsidRPr="005E453D" w14:paraId="0186D11E" w14:textId="77777777" w:rsidTr="005E453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72652D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A0229A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For each group, number of participants (denominator) included in each analysis and whether the analysis was by original assigned groups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5C2AB7" w14:textId="53C5F962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Tables 2 and 3, Figure 1</w:t>
            </w:r>
          </w:p>
        </w:tc>
      </w:tr>
      <w:tr w:rsidR="005E453D" w:rsidRPr="005E453D" w14:paraId="019F7FF3" w14:textId="77777777" w:rsidTr="005E453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111BDB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17a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665DA1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For each primary and secondary outcome, results for each group, and the estimated effect size and its precision (such as 95% confidence interval)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22A9E4" w14:textId="0BF8684D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Tables 2 and 3</w:t>
            </w:r>
          </w:p>
        </w:tc>
      </w:tr>
      <w:tr w:rsidR="005E453D" w:rsidRPr="005E453D" w14:paraId="362D00DC" w14:textId="77777777" w:rsidTr="005E453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FC4F70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17b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806471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For binary outcomes, presentation of both absolute and relative effect sizes is recommended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99FF72" w14:textId="43D922C5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Table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2 and 3</w:t>
            </w:r>
          </w:p>
        </w:tc>
      </w:tr>
      <w:tr w:rsidR="005E453D" w:rsidRPr="005E453D" w14:paraId="786E7154" w14:textId="77777777" w:rsidTr="005E453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86CC5D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5B00D4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Results of any other analyses performed, including subgroup analyses and adjusted analyses, distinguishing pre-specified from exploratory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3B6DDB" w14:textId="66FF3DAB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</w:tr>
      <w:tr w:rsidR="005E453D" w:rsidRPr="005E453D" w14:paraId="387C9D26" w14:textId="77777777" w:rsidTr="005E453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FEA046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57618B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All important</w:t>
            </w:r>
            <w:proofErr w:type="spellEnd"/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harms or unintended effects in each group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45C93F" w14:textId="2B2D7513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Table 3</w:t>
            </w:r>
          </w:p>
        </w:tc>
      </w:tr>
      <w:tr w:rsidR="005E453D" w:rsidRPr="005E453D" w14:paraId="0D313C47" w14:textId="77777777" w:rsidTr="005E453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A58390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B4ED1A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Trial limitations, addressing sources of potential bias, imprecision, and multiplicity of analyses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F8C45A" w14:textId="6047E040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</w:tr>
      <w:tr w:rsidR="005E453D" w:rsidRPr="005E453D" w14:paraId="1E4EC4ED" w14:textId="77777777" w:rsidTr="005E453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E22717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027924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Generalizability (external validity, applicability) of the trial findings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EE4779" w14:textId="2E81B1A8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</w:tr>
      <w:tr w:rsidR="005E453D" w:rsidRPr="005E453D" w14:paraId="009DAB74" w14:textId="77777777" w:rsidTr="005E453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E57BFC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D24A23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Interpretation consistent with results, balancing benefits and harms, and considering other relevant evidence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730785" w14:textId="221AD695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10-12</w:t>
            </w:r>
          </w:p>
        </w:tc>
      </w:tr>
      <w:tr w:rsidR="005E453D" w:rsidRPr="005E453D" w14:paraId="4F5DB219" w14:textId="77777777" w:rsidTr="005E453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C74374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738977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Registration number and name of trial registry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6D74BE" w14:textId="662521F2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</w:tr>
      <w:tr w:rsidR="005E453D" w:rsidRPr="005E453D" w14:paraId="74506F77" w14:textId="77777777" w:rsidTr="005E453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8641B9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942B7A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Where the full trial protocol can be accessed, if available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54B5EC" w14:textId="034E9EB8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</w:tr>
      <w:tr w:rsidR="005E453D" w:rsidRPr="005E453D" w14:paraId="08BD81E1" w14:textId="77777777" w:rsidTr="005E453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D10B0F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A22EC5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Sources of funding and other support (such as supply of drugs), role of funders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E8F9C3" w14:textId="53F1CF66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</w:tr>
      <w:tr w:rsidR="005E453D" w:rsidRPr="005E453D" w14:paraId="5711C650" w14:textId="77777777" w:rsidTr="00035582">
        <w:tc>
          <w:tcPr>
            <w:tcW w:w="0" w:type="auto"/>
            <w:gridSpan w:val="3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26B5CF" w14:textId="11D4A9CD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Non-inferiority specific items</w:t>
            </w:r>
          </w:p>
        </w:tc>
      </w:tr>
      <w:tr w:rsidR="005E453D" w:rsidRPr="005E453D" w14:paraId="0F71965B" w14:textId="77777777" w:rsidTr="005E453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F1BF6E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NI-1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49CD08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Rationale for using a non-inferiority design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4B7F3B" w14:textId="21BB3346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</w:tr>
      <w:tr w:rsidR="005E453D" w:rsidRPr="005E453D" w14:paraId="6C9452C3" w14:textId="77777777" w:rsidTr="005E453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A1CEB1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NI-2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832787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The non-inferiority margin and how it was determined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904DF8" w14:textId="5E088A21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</w:tr>
      <w:tr w:rsidR="005E453D" w:rsidRPr="005E453D" w14:paraId="76FF267C" w14:textId="77777777" w:rsidTr="005E453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37F123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NI-3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2A8D94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The analytic strategy (e.g., intention-to-treat, per-protocol) used to estimate the effect of treatment and handle protocol deviations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8633A4" w14:textId="7583EEB4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</w:tr>
      <w:tr w:rsidR="005E453D" w:rsidRPr="005E453D" w14:paraId="3E17C3A1" w14:textId="77777777" w:rsidTr="005E453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74638D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NI-4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1BDF7B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Results of the non-inferiority analysis, including the confidence interval for the difference between groups and whether the non-inferiority margin was met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59418F" w14:textId="762C58F0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Table 2, Figure 2</w:t>
            </w:r>
          </w:p>
        </w:tc>
      </w:tr>
      <w:tr w:rsidR="005E453D" w:rsidRPr="005E453D" w14:paraId="7E6CE29F" w14:textId="77777777" w:rsidTr="005E453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B8BA40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NI-5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CDFD05" w14:textId="77777777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5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Interpretation of the non-inferiority analysis, including the clinical relevance of the margin and the results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708581" w14:textId="5BCFB1DC" w:rsidR="005E453D" w:rsidRPr="005E453D" w:rsidRDefault="005E453D" w:rsidP="005E453D">
            <w:pPr>
              <w:spacing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10-12</w:t>
            </w:r>
          </w:p>
        </w:tc>
      </w:tr>
    </w:tbl>
    <w:p w14:paraId="4FA9B47B" w14:textId="77777777" w:rsidR="005A7842" w:rsidRDefault="005A7842"/>
    <w:sectPr w:rsidR="005A78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53D"/>
    <w:rsid w:val="001A6860"/>
    <w:rsid w:val="00403038"/>
    <w:rsid w:val="005A7842"/>
    <w:rsid w:val="005E453D"/>
    <w:rsid w:val="00676326"/>
    <w:rsid w:val="00A13914"/>
    <w:rsid w:val="00EC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A406FD"/>
  <w15:chartTrackingRefBased/>
  <w15:docId w15:val="{96B153B8-DD1C-A049-9335-6599C690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4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5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5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5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5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5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5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5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5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5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5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5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5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5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5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5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5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5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53D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5E453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E45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627</Words>
  <Characters>3532</Characters>
  <Application>Microsoft Office Word</Application>
  <DocSecurity>0</DocSecurity>
  <Lines>168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Viraraghavan Ramaswamy</dc:creator>
  <cp:keywords/>
  <dc:description/>
  <cp:lastModifiedBy>Viraraghavan Ramaswamy</cp:lastModifiedBy>
  <cp:revision>2</cp:revision>
  <dcterms:created xsi:type="dcterms:W3CDTF">2026-01-19T13:11:00Z</dcterms:created>
  <dcterms:modified xsi:type="dcterms:W3CDTF">2026-01-19T13:25:00Z</dcterms:modified>
</cp:coreProperties>
</file>