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3BC9C" w14:textId="77777777" w:rsidR="00654893" w:rsidRDefault="00654893" w:rsidP="00654893">
      <w:pPr>
        <w:rPr>
          <w:rFonts w:ascii="Times New Roman" w:hAnsi="Times New Roman" w:cs="Times New Roman"/>
          <w:b/>
          <w:bCs/>
          <w:sz w:val="22"/>
        </w:rPr>
      </w:pPr>
      <w:r>
        <w:rPr>
          <w:rFonts w:ascii="Times New Roman" w:hAnsi="Times New Roman" w:cs="Times New Roman"/>
          <w:b/>
          <w:bCs/>
          <w:sz w:val="22"/>
        </w:rPr>
        <w:t>Supplement for:</w:t>
      </w:r>
    </w:p>
    <w:p w14:paraId="7686446D" w14:textId="77777777" w:rsidR="00882BD9" w:rsidRDefault="00882BD9" w:rsidP="00882BD9">
      <w:pPr>
        <w:rPr>
          <w:rFonts w:ascii="Times New Roman" w:hAnsi="Times New Roman" w:cs="Times New Roman"/>
          <w:b/>
          <w:bCs/>
          <w:sz w:val="22"/>
        </w:rPr>
      </w:pPr>
      <w:r>
        <w:rPr>
          <w:rFonts w:ascii="Times New Roman" w:hAnsi="Times New Roman" w:cs="Times New Roman"/>
          <w:b/>
          <w:bCs/>
          <w:sz w:val="22"/>
        </w:rPr>
        <w:t>Low-density</w:t>
      </w:r>
      <w:r w:rsidRPr="00C62828">
        <w:rPr>
          <w:rFonts w:ascii="Times New Roman" w:hAnsi="Times New Roman" w:cs="Times New Roman"/>
          <w:b/>
          <w:bCs/>
          <w:sz w:val="22"/>
        </w:rPr>
        <w:t xml:space="preserve"> asymptomatic </w:t>
      </w:r>
      <w:r>
        <w:rPr>
          <w:rFonts w:ascii="Times New Roman" w:hAnsi="Times New Roman" w:cs="Times New Roman"/>
          <w:b/>
          <w:bCs/>
          <w:sz w:val="22"/>
        </w:rPr>
        <w:t>parasitemia in southern Zambia does not lead to clinical malaria and is not associated with household transmission: results from a two-year cohort study</w:t>
      </w:r>
    </w:p>
    <w:p w14:paraId="6DA08835" w14:textId="77777777" w:rsidR="000342B6" w:rsidRPr="000342B6" w:rsidRDefault="000342B6" w:rsidP="00A76B6F">
      <w:pPr>
        <w:rPr>
          <w:rFonts w:ascii="Times New Roman" w:hAnsi="Times New Roman" w:cs="Times New Roman"/>
          <w:sz w:val="22"/>
        </w:rPr>
      </w:pPr>
    </w:p>
    <w:sdt>
      <w:sdtPr>
        <w:rPr>
          <w:rFonts w:ascii="Helvetica" w:eastAsiaTheme="minorHAnsi" w:hAnsi="Helvetica" w:cs="Times New Roman (Headings CS)"/>
          <w:b w:val="0"/>
          <w:bCs w:val="0"/>
          <w:color w:val="auto"/>
          <w:sz w:val="20"/>
          <w:szCs w:val="22"/>
        </w:rPr>
        <w:id w:val="1359778567"/>
        <w:docPartObj>
          <w:docPartGallery w:val="Table of Contents"/>
          <w:docPartUnique/>
        </w:docPartObj>
      </w:sdtPr>
      <w:sdtEndPr>
        <w:rPr>
          <w:noProof/>
        </w:rPr>
      </w:sdtEndPr>
      <w:sdtContent>
        <w:p w14:paraId="39ADA8F7" w14:textId="77777777" w:rsidR="00A76B6F" w:rsidRDefault="00A76B6F">
          <w:pPr>
            <w:pStyle w:val="TOCHeading"/>
          </w:pPr>
          <w:r>
            <w:t>Table of Contents</w:t>
          </w:r>
        </w:p>
        <w:p w14:paraId="5311D8A1" w14:textId="54382B15" w:rsidR="00170E23" w:rsidRDefault="00A76B6F">
          <w:pPr>
            <w:pStyle w:val="TOC1"/>
            <w:tabs>
              <w:tab w:val="right" w:leader="dot" w:pos="935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17054167" w:history="1">
            <w:r w:rsidR="00170E23" w:rsidRPr="001D43EE">
              <w:rPr>
                <w:rStyle w:val="Hyperlink"/>
                <w:rFonts w:ascii="Times New Roman" w:hAnsi="Times New Roman" w:cs="Times New Roman"/>
                <w:noProof/>
              </w:rPr>
              <w:t>Main analysis</w:t>
            </w:r>
            <w:r w:rsidR="00170E23">
              <w:rPr>
                <w:noProof/>
                <w:webHidden/>
              </w:rPr>
              <w:tab/>
            </w:r>
            <w:r w:rsidR="00170E23">
              <w:rPr>
                <w:noProof/>
                <w:webHidden/>
              </w:rPr>
              <w:fldChar w:fldCharType="begin"/>
            </w:r>
            <w:r w:rsidR="00170E23">
              <w:rPr>
                <w:noProof/>
                <w:webHidden/>
              </w:rPr>
              <w:instrText xml:space="preserve"> PAGEREF _Toc217054167 \h </w:instrText>
            </w:r>
            <w:r w:rsidR="00170E23">
              <w:rPr>
                <w:noProof/>
                <w:webHidden/>
              </w:rPr>
            </w:r>
            <w:r w:rsidR="00170E23">
              <w:rPr>
                <w:noProof/>
                <w:webHidden/>
              </w:rPr>
              <w:fldChar w:fldCharType="separate"/>
            </w:r>
            <w:r w:rsidR="00170E23">
              <w:rPr>
                <w:noProof/>
                <w:webHidden/>
              </w:rPr>
              <w:t>2</w:t>
            </w:r>
            <w:r w:rsidR="00170E23">
              <w:rPr>
                <w:noProof/>
                <w:webHidden/>
              </w:rPr>
              <w:fldChar w:fldCharType="end"/>
            </w:r>
          </w:hyperlink>
        </w:p>
        <w:p w14:paraId="6EB071F3" w14:textId="0465536D"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68" w:history="1">
            <w:r w:rsidR="00170E23" w:rsidRPr="001D43EE">
              <w:rPr>
                <w:rStyle w:val="Hyperlink"/>
                <w:rFonts w:ascii="Times New Roman" w:hAnsi="Times New Roman" w:cs="Times New Roman"/>
                <w:noProof/>
              </w:rPr>
              <w:t>Table S1: Demographic characteristics of health center malaria cases</w:t>
            </w:r>
            <w:r w:rsidR="00170E23">
              <w:rPr>
                <w:noProof/>
                <w:webHidden/>
              </w:rPr>
              <w:tab/>
            </w:r>
            <w:r w:rsidR="00170E23">
              <w:rPr>
                <w:noProof/>
                <w:webHidden/>
              </w:rPr>
              <w:fldChar w:fldCharType="begin"/>
            </w:r>
            <w:r w:rsidR="00170E23">
              <w:rPr>
                <w:noProof/>
                <w:webHidden/>
              </w:rPr>
              <w:instrText xml:space="preserve"> PAGEREF _Toc217054168 \h </w:instrText>
            </w:r>
            <w:r w:rsidR="00170E23">
              <w:rPr>
                <w:noProof/>
                <w:webHidden/>
              </w:rPr>
            </w:r>
            <w:r w:rsidR="00170E23">
              <w:rPr>
                <w:noProof/>
                <w:webHidden/>
              </w:rPr>
              <w:fldChar w:fldCharType="separate"/>
            </w:r>
            <w:r w:rsidR="00170E23">
              <w:rPr>
                <w:noProof/>
                <w:webHidden/>
              </w:rPr>
              <w:t>2</w:t>
            </w:r>
            <w:r w:rsidR="00170E23">
              <w:rPr>
                <w:noProof/>
                <w:webHidden/>
              </w:rPr>
              <w:fldChar w:fldCharType="end"/>
            </w:r>
          </w:hyperlink>
        </w:p>
        <w:p w14:paraId="021072D7" w14:textId="7D1DD528"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69" w:history="1">
            <w:r w:rsidR="00170E23" w:rsidRPr="001D43EE">
              <w:rPr>
                <w:rStyle w:val="Hyperlink"/>
                <w:rFonts w:ascii="Times New Roman" w:hAnsi="Times New Roman" w:cs="Times New Roman"/>
                <w:noProof/>
              </w:rPr>
              <w:t>Figure S1. Parasite prevalence by qPCR by month and sex.</w:t>
            </w:r>
            <w:r w:rsidR="00170E23">
              <w:rPr>
                <w:noProof/>
                <w:webHidden/>
              </w:rPr>
              <w:tab/>
            </w:r>
            <w:r w:rsidR="00170E23">
              <w:rPr>
                <w:noProof/>
                <w:webHidden/>
              </w:rPr>
              <w:fldChar w:fldCharType="begin"/>
            </w:r>
            <w:r w:rsidR="00170E23">
              <w:rPr>
                <w:noProof/>
                <w:webHidden/>
              </w:rPr>
              <w:instrText xml:space="preserve"> PAGEREF _Toc217054169 \h </w:instrText>
            </w:r>
            <w:r w:rsidR="00170E23">
              <w:rPr>
                <w:noProof/>
                <w:webHidden/>
              </w:rPr>
            </w:r>
            <w:r w:rsidR="00170E23">
              <w:rPr>
                <w:noProof/>
                <w:webHidden/>
              </w:rPr>
              <w:fldChar w:fldCharType="separate"/>
            </w:r>
            <w:r w:rsidR="00170E23">
              <w:rPr>
                <w:noProof/>
                <w:webHidden/>
              </w:rPr>
              <w:t>3</w:t>
            </w:r>
            <w:r w:rsidR="00170E23">
              <w:rPr>
                <w:noProof/>
                <w:webHidden/>
              </w:rPr>
              <w:fldChar w:fldCharType="end"/>
            </w:r>
          </w:hyperlink>
        </w:p>
        <w:p w14:paraId="4C124373" w14:textId="1353CC27" w:rsidR="00170E23" w:rsidRDefault="00000000">
          <w:pPr>
            <w:pStyle w:val="TOC1"/>
            <w:tabs>
              <w:tab w:val="right" w:leader="dot" w:pos="9350"/>
            </w:tabs>
            <w:rPr>
              <w:rFonts w:eastAsiaTheme="minorEastAsia" w:cstheme="minorBidi"/>
              <w:b w:val="0"/>
              <w:bCs w:val="0"/>
              <w:i w:val="0"/>
              <w:iCs w:val="0"/>
              <w:noProof/>
              <w:kern w:val="2"/>
              <w14:ligatures w14:val="standardContextual"/>
            </w:rPr>
          </w:pPr>
          <w:hyperlink w:anchor="_Toc217054170" w:history="1">
            <w:r w:rsidR="00170E23" w:rsidRPr="001D43EE">
              <w:rPr>
                <w:rStyle w:val="Hyperlink"/>
                <w:rFonts w:ascii="Times New Roman" w:hAnsi="Times New Roman" w:cs="Times New Roman"/>
                <w:noProof/>
              </w:rPr>
              <w:t>Random forest simulation experiment</w:t>
            </w:r>
            <w:r w:rsidR="00170E23">
              <w:rPr>
                <w:noProof/>
                <w:webHidden/>
              </w:rPr>
              <w:tab/>
            </w:r>
            <w:r w:rsidR="00170E23">
              <w:rPr>
                <w:noProof/>
                <w:webHidden/>
              </w:rPr>
              <w:fldChar w:fldCharType="begin"/>
            </w:r>
            <w:r w:rsidR="00170E23">
              <w:rPr>
                <w:noProof/>
                <w:webHidden/>
              </w:rPr>
              <w:instrText xml:space="preserve"> PAGEREF _Toc217054170 \h </w:instrText>
            </w:r>
            <w:r w:rsidR="00170E23">
              <w:rPr>
                <w:noProof/>
                <w:webHidden/>
              </w:rPr>
            </w:r>
            <w:r w:rsidR="00170E23">
              <w:rPr>
                <w:noProof/>
                <w:webHidden/>
              </w:rPr>
              <w:fldChar w:fldCharType="separate"/>
            </w:r>
            <w:r w:rsidR="00170E23">
              <w:rPr>
                <w:noProof/>
                <w:webHidden/>
              </w:rPr>
              <w:t>4</w:t>
            </w:r>
            <w:r w:rsidR="00170E23">
              <w:rPr>
                <w:noProof/>
                <w:webHidden/>
              </w:rPr>
              <w:fldChar w:fldCharType="end"/>
            </w:r>
          </w:hyperlink>
        </w:p>
        <w:p w14:paraId="73B26619" w14:textId="52F50EB5" w:rsidR="00170E23" w:rsidRDefault="00000000">
          <w:pPr>
            <w:pStyle w:val="TOC1"/>
            <w:tabs>
              <w:tab w:val="right" w:leader="dot" w:pos="9350"/>
            </w:tabs>
            <w:rPr>
              <w:rFonts w:eastAsiaTheme="minorEastAsia" w:cstheme="minorBidi"/>
              <w:b w:val="0"/>
              <w:bCs w:val="0"/>
              <w:i w:val="0"/>
              <w:iCs w:val="0"/>
              <w:noProof/>
              <w:kern w:val="2"/>
              <w14:ligatures w14:val="standardContextual"/>
            </w:rPr>
          </w:pPr>
          <w:hyperlink w:anchor="_Toc217054171" w:history="1">
            <w:r w:rsidR="00170E23" w:rsidRPr="001D43EE">
              <w:rPr>
                <w:rStyle w:val="Hyperlink"/>
                <w:rFonts w:ascii="Times New Roman" w:hAnsi="Times New Roman" w:cs="Times New Roman"/>
                <w:noProof/>
              </w:rPr>
              <w:t>Sensitivity Analysis</w:t>
            </w:r>
            <w:r w:rsidR="00170E23">
              <w:rPr>
                <w:noProof/>
                <w:webHidden/>
              </w:rPr>
              <w:tab/>
            </w:r>
            <w:r w:rsidR="00170E23">
              <w:rPr>
                <w:noProof/>
                <w:webHidden/>
              </w:rPr>
              <w:fldChar w:fldCharType="begin"/>
            </w:r>
            <w:r w:rsidR="00170E23">
              <w:rPr>
                <w:noProof/>
                <w:webHidden/>
              </w:rPr>
              <w:instrText xml:space="preserve"> PAGEREF _Toc217054171 \h </w:instrText>
            </w:r>
            <w:r w:rsidR="00170E23">
              <w:rPr>
                <w:noProof/>
                <w:webHidden/>
              </w:rPr>
            </w:r>
            <w:r w:rsidR="00170E23">
              <w:rPr>
                <w:noProof/>
                <w:webHidden/>
              </w:rPr>
              <w:fldChar w:fldCharType="separate"/>
            </w:r>
            <w:r w:rsidR="00170E23">
              <w:rPr>
                <w:noProof/>
                <w:webHidden/>
              </w:rPr>
              <w:t>5</w:t>
            </w:r>
            <w:r w:rsidR="00170E23">
              <w:rPr>
                <w:noProof/>
                <w:webHidden/>
              </w:rPr>
              <w:fldChar w:fldCharType="end"/>
            </w:r>
          </w:hyperlink>
        </w:p>
        <w:p w14:paraId="1E03BD54" w14:textId="5C04A178"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72" w:history="1">
            <w:r w:rsidR="00170E23" w:rsidRPr="001D43EE">
              <w:rPr>
                <w:rStyle w:val="Hyperlink"/>
                <w:rFonts w:ascii="Times New Roman" w:hAnsi="Times New Roman" w:cs="Times New Roman"/>
                <w:noProof/>
              </w:rPr>
              <w:t>Table S3. Longitudinal cohort member demographics, stratified by never and ever positive (qPCR positives &gt; 10 parasite per microliter)</w:t>
            </w:r>
            <w:r w:rsidR="00170E23">
              <w:rPr>
                <w:noProof/>
                <w:webHidden/>
              </w:rPr>
              <w:tab/>
            </w:r>
            <w:r w:rsidR="00170E23">
              <w:rPr>
                <w:noProof/>
                <w:webHidden/>
              </w:rPr>
              <w:fldChar w:fldCharType="begin"/>
            </w:r>
            <w:r w:rsidR="00170E23">
              <w:rPr>
                <w:noProof/>
                <w:webHidden/>
              </w:rPr>
              <w:instrText xml:space="preserve"> PAGEREF _Toc217054172 \h </w:instrText>
            </w:r>
            <w:r w:rsidR="00170E23">
              <w:rPr>
                <w:noProof/>
                <w:webHidden/>
              </w:rPr>
            </w:r>
            <w:r w:rsidR="00170E23">
              <w:rPr>
                <w:noProof/>
                <w:webHidden/>
              </w:rPr>
              <w:fldChar w:fldCharType="separate"/>
            </w:r>
            <w:r w:rsidR="00170E23">
              <w:rPr>
                <w:noProof/>
                <w:webHidden/>
              </w:rPr>
              <w:t>5</w:t>
            </w:r>
            <w:r w:rsidR="00170E23">
              <w:rPr>
                <w:noProof/>
                <w:webHidden/>
              </w:rPr>
              <w:fldChar w:fldCharType="end"/>
            </w:r>
          </w:hyperlink>
        </w:p>
        <w:p w14:paraId="1082F6E4" w14:textId="1BAC333B"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73" w:history="1">
            <w:r w:rsidR="00170E23" w:rsidRPr="001D43EE">
              <w:rPr>
                <w:rStyle w:val="Hyperlink"/>
                <w:rFonts w:ascii="Times New Roman" w:hAnsi="Times New Roman" w:cs="Times New Roman"/>
                <w:noProof/>
              </w:rPr>
              <w:t>Figure S4: Individual qPCR results of cohort members over time, restricted to those qPCR positives with parasite density at or above 10 parasite per microliter of blood.</w:t>
            </w:r>
            <w:r w:rsidR="00170E23">
              <w:rPr>
                <w:noProof/>
                <w:webHidden/>
              </w:rPr>
              <w:tab/>
            </w:r>
            <w:r w:rsidR="00170E23">
              <w:rPr>
                <w:noProof/>
                <w:webHidden/>
              </w:rPr>
              <w:fldChar w:fldCharType="begin"/>
            </w:r>
            <w:r w:rsidR="00170E23">
              <w:rPr>
                <w:noProof/>
                <w:webHidden/>
              </w:rPr>
              <w:instrText xml:space="preserve"> PAGEREF _Toc217054173 \h </w:instrText>
            </w:r>
            <w:r w:rsidR="00170E23">
              <w:rPr>
                <w:noProof/>
                <w:webHidden/>
              </w:rPr>
            </w:r>
            <w:r w:rsidR="00170E23">
              <w:rPr>
                <w:noProof/>
                <w:webHidden/>
              </w:rPr>
              <w:fldChar w:fldCharType="separate"/>
            </w:r>
            <w:r w:rsidR="00170E23">
              <w:rPr>
                <w:noProof/>
                <w:webHidden/>
              </w:rPr>
              <w:t>6</w:t>
            </w:r>
            <w:r w:rsidR="00170E23">
              <w:rPr>
                <w:noProof/>
                <w:webHidden/>
              </w:rPr>
              <w:fldChar w:fldCharType="end"/>
            </w:r>
          </w:hyperlink>
        </w:p>
        <w:p w14:paraId="0B464539" w14:textId="0C652FC9"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74" w:history="1">
            <w:r w:rsidR="00170E23" w:rsidRPr="001D43EE">
              <w:rPr>
                <w:rStyle w:val="Hyperlink"/>
                <w:rFonts w:ascii="Times New Roman" w:hAnsi="Times New Roman" w:cs="Times New Roman"/>
                <w:noProof/>
              </w:rPr>
              <w:t>Figure S5. No associations between individual qPCR positivity and clinical disease,  restricted to those qPCR positives with parasite density at or above 10 parasite per microliter of blood.</w:t>
            </w:r>
            <w:r w:rsidR="00170E23">
              <w:rPr>
                <w:noProof/>
                <w:webHidden/>
              </w:rPr>
              <w:tab/>
            </w:r>
            <w:r w:rsidR="00170E23">
              <w:rPr>
                <w:noProof/>
                <w:webHidden/>
              </w:rPr>
              <w:fldChar w:fldCharType="begin"/>
            </w:r>
            <w:r w:rsidR="00170E23">
              <w:rPr>
                <w:noProof/>
                <w:webHidden/>
              </w:rPr>
              <w:instrText xml:space="preserve"> PAGEREF _Toc217054174 \h </w:instrText>
            </w:r>
            <w:r w:rsidR="00170E23">
              <w:rPr>
                <w:noProof/>
                <w:webHidden/>
              </w:rPr>
            </w:r>
            <w:r w:rsidR="00170E23">
              <w:rPr>
                <w:noProof/>
                <w:webHidden/>
              </w:rPr>
              <w:fldChar w:fldCharType="separate"/>
            </w:r>
            <w:r w:rsidR="00170E23">
              <w:rPr>
                <w:noProof/>
                <w:webHidden/>
              </w:rPr>
              <w:t>7</w:t>
            </w:r>
            <w:r w:rsidR="00170E23">
              <w:rPr>
                <w:noProof/>
                <w:webHidden/>
              </w:rPr>
              <w:fldChar w:fldCharType="end"/>
            </w:r>
          </w:hyperlink>
        </w:p>
        <w:p w14:paraId="21DA5E9F" w14:textId="5ABEF165" w:rsidR="00170E23" w:rsidRDefault="00000000">
          <w:pPr>
            <w:pStyle w:val="TOC2"/>
            <w:tabs>
              <w:tab w:val="right" w:leader="dot" w:pos="9350"/>
            </w:tabs>
            <w:rPr>
              <w:rFonts w:eastAsiaTheme="minorEastAsia" w:cstheme="minorBidi"/>
              <w:b w:val="0"/>
              <w:bCs w:val="0"/>
              <w:noProof/>
              <w:kern w:val="2"/>
              <w:sz w:val="24"/>
              <w:szCs w:val="24"/>
              <w14:ligatures w14:val="standardContextual"/>
            </w:rPr>
          </w:pPr>
          <w:hyperlink w:anchor="_Toc217054175" w:history="1">
            <w:r w:rsidR="00170E23" w:rsidRPr="001D43EE">
              <w:rPr>
                <w:rStyle w:val="Hyperlink"/>
                <w:rFonts w:ascii="Times New Roman" w:hAnsi="Times New Roman" w:cs="Times New Roman"/>
                <w:noProof/>
              </w:rPr>
              <w:t>Figure S6: No associations between individual qPCR positivity and clinical disease in household members, restricted to those qPCR positives with parasite density at or above 10 parasite per microliter of blood.</w:t>
            </w:r>
            <w:r w:rsidR="00170E23">
              <w:rPr>
                <w:noProof/>
                <w:webHidden/>
              </w:rPr>
              <w:tab/>
            </w:r>
            <w:r w:rsidR="00170E23">
              <w:rPr>
                <w:noProof/>
                <w:webHidden/>
              </w:rPr>
              <w:fldChar w:fldCharType="begin"/>
            </w:r>
            <w:r w:rsidR="00170E23">
              <w:rPr>
                <w:noProof/>
                <w:webHidden/>
              </w:rPr>
              <w:instrText xml:space="preserve"> PAGEREF _Toc217054175 \h </w:instrText>
            </w:r>
            <w:r w:rsidR="00170E23">
              <w:rPr>
                <w:noProof/>
                <w:webHidden/>
              </w:rPr>
            </w:r>
            <w:r w:rsidR="00170E23">
              <w:rPr>
                <w:noProof/>
                <w:webHidden/>
              </w:rPr>
              <w:fldChar w:fldCharType="separate"/>
            </w:r>
            <w:r w:rsidR="00170E23">
              <w:rPr>
                <w:noProof/>
                <w:webHidden/>
              </w:rPr>
              <w:t>8</w:t>
            </w:r>
            <w:r w:rsidR="00170E23">
              <w:rPr>
                <w:noProof/>
                <w:webHidden/>
              </w:rPr>
              <w:fldChar w:fldCharType="end"/>
            </w:r>
          </w:hyperlink>
        </w:p>
        <w:p w14:paraId="49078A81" w14:textId="516CB51B" w:rsidR="00A76B6F" w:rsidRDefault="00A76B6F">
          <w:r>
            <w:rPr>
              <w:b/>
              <w:bCs/>
              <w:noProof/>
            </w:rPr>
            <w:fldChar w:fldCharType="end"/>
          </w:r>
        </w:p>
      </w:sdtContent>
    </w:sdt>
    <w:p w14:paraId="41596143" w14:textId="77777777" w:rsidR="00A76B6F" w:rsidRDefault="00A76B6F" w:rsidP="00A76B6F">
      <w:pPr>
        <w:rPr>
          <w:rFonts w:ascii="Times New Roman" w:hAnsi="Times New Roman" w:cs="Times New Roman"/>
          <w:b/>
          <w:bCs/>
          <w:sz w:val="22"/>
        </w:rPr>
      </w:pPr>
    </w:p>
    <w:p w14:paraId="3E46FC8D" w14:textId="149EEA4C" w:rsidR="0061653F" w:rsidRDefault="0061653F" w:rsidP="0061653F">
      <w:pPr>
        <w:pStyle w:val="Heading1"/>
        <w:rPr>
          <w:rFonts w:ascii="Times New Roman" w:hAnsi="Times New Roman" w:cs="Times New Roman"/>
          <w:b/>
          <w:bCs/>
          <w:sz w:val="22"/>
        </w:rPr>
      </w:pPr>
      <w:bookmarkStart w:id="0" w:name="_Toc217054167"/>
      <w:r>
        <w:rPr>
          <w:rFonts w:ascii="Times New Roman" w:hAnsi="Times New Roman" w:cs="Times New Roman"/>
          <w:b/>
          <w:bCs/>
          <w:sz w:val="22"/>
        </w:rPr>
        <w:lastRenderedPageBreak/>
        <w:t>Main analysis</w:t>
      </w:r>
      <w:bookmarkEnd w:id="0"/>
    </w:p>
    <w:p w14:paraId="376EC8FD" w14:textId="5003F965" w:rsidR="00570F48" w:rsidRPr="000342B6" w:rsidRDefault="00570F48" w:rsidP="0061653F">
      <w:pPr>
        <w:pStyle w:val="TableTitles"/>
        <w:outlineLvl w:val="1"/>
        <w:rPr>
          <w:rFonts w:ascii="Times New Roman" w:hAnsi="Times New Roman" w:cs="Times New Roman"/>
          <w:sz w:val="22"/>
        </w:rPr>
      </w:pPr>
      <w:bookmarkStart w:id="1" w:name="_Toc113017215"/>
      <w:bookmarkStart w:id="2" w:name="_Toc217054168"/>
      <w:r w:rsidRPr="00C67FB7">
        <w:rPr>
          <w:rFonts w:ascii="Times New Roman" w:hAnsi="Times New Roman" w:cs="Times New Roman"/>
          <w:sz w:val="22"/>
        </w:rPr>
        <w:t xml:space="preserve">Table </w:t>
      </w:r>
      <w:r>
        <w:rPr>
          <w:rFonts w:ascii="Times New Roman" w:hAnsi="Times New Roman" w:cs="Times New Roman"/>
          <w:sz w:val="22"/>
        </w:rPr>
        <w:t>S</w:t>
      </w:r>
      <w:r w:rsidR="00170E23">
        <w:rPr>
          <w:rFonts w:ascii="Times New Roman" w:hAnsi="Times New Roman" w:cs="Times New Roman"/>
          <w:sz w:val="22"/>
        </w:rPr>
        <w:t>1</w:t>
      </w:r>
      <w:r w:rsidRPr="00C67FB7">
        <w:rPr>
          <w:rFonts w:ascii="Times New Roman" w:hAnsi="Times New Roman" w:cs="Times New Roman"/>
          <w:sz w:val="22"/>
        </w:rPr>
        <w:t xml:space="preserve">: </w:t>
      </w:r>
      <w:r w:rsidRPr="000342B6">
        <w:rPr>
          <w:rFonts w:ascii="Times New Roman" w:hAnsi="Times New Roman" w:cs="Times New Roman"/>
          <w:b w:val="0"/>
          <w:bCs/>
          <w:sz w:val="22"/>
        </w:rPr>
        <w:t>Demographic characteristics of health center malaria cases</w:t>
      </w:r>
      <w:bookmarkEnd w:id="1"/>
      <w:bookmarkEnd w:id="2"/>
      <w:r w:rsidRPr="000342B6">
        <w:rPr>
          <w:rFonts w:ascii="Times New Roman" w:hAnsi="Times New Roman" w:cs="Times New Roman"/>
          <w:sz w:val="22"/>
        </w:rPr>
        <w:t xml:space="preserve"> </w:t>
      </w:r>
    </w:p>
    <w:tbl>
      <w:tblPr>
        <w:tblStyle w:val="TableGrid"/>
        <w:tblW w:w="0" w:type="auto"/>
        <w:tblBorders>
          <w:top w:val="none" w:sz="0" w:space="0" w:color="auto"/>
          <w:left w:val="none" w:sz="0" w:space="0" w:color="auto"/>
          <w:bottom w:val="none" w:sz="0" w:space="0" w:color="auto"/>
          <w:right w:val="none" w:sz="0" w:space="0" w:color="auto"/>
        </w:tblBorders>
        <w:tblCellMar>
          <w:top w:w="29" w:type="dxa"/>
          <w:bottom w:w="29" w:type="dxa"/>
        </w:tblCellMar>
        <w:tblLook w:val="04A0" w:firstRow="1" w:lastRow="0" w:firstColumn="1" w:lastColumn="0" w:noHBand="0" w:noVBand="1"/>
      </w:tblPr>
      <w:tblGrid>
        <w:gridCol w:w="4505"/>
        <w:gridCol w:w="1790"/>
      </w:tblGrid>
      <w:tr w:rsidR="00570F48" w:rsidRPr="00C67FB7" w14:paraId="651836EB" w14:textId="77777777" w:rsidTr="001D0DAE">
        <w:trPr>
          <w:cantSplit/>
        </w:trPr>
        <w:tc>
          <w:tcPr>
            <w:tcW w:w="4505" w:type="dxa"/>
          </w:tcPr>
          <w:p w14:paraId="30216A2D" w14:textId="77777777" w:rsidR="00570F48" w:rsidRPr="00C67FB7" w:rsidRDefault="00570F48" w:rsidP="001D0DAE">
            <w:pPr>
              <w:pStyle w:val="TableContent"/>
              <w:rPr>
                <w:rFonts w:ascii="Times New Roman" w:hAnsi="Times New Roman"/>
                <w:sz w:val="22"/>
                <w:szCs w:val="22"/>
              </w:rPr>
            </w:pPr>
          </w:p>
        </w:tc>
        <w:tc>
          <w:tcPr>
            <w:tcW w:w="1790" w:type="dxa"/>
          </w:tcPr>
          <w:p w14:paraId="0CF31924"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Percent (n)</w:t>
            </w:r>
            <w:r w:rsidRPr="00C67FB7">
              <w:rPr>
                <w:rFonts w:ascii="Times New Roman" w:hAnsi="Times New Roman"/>
                <w:b/>
                <w:sz w:val="22"/>
                <w:szCs w:val="22"/>
                <w:vertAlign w:val="superscript"/>
              </w:rPr>
              <w:t>1</w:t>
            </w:r>
          </w:p>
        </w:tc>
      </w:tr>
      <w:tr w:rsidR="00570F48" w:rsidRPr="00C67FB7" w14:paraId="038A38E0" w14:textId="77777777" w:rsidTr="001D0DAE">
        <w:trPr>
          <w:cantSplit/>
        </w:trPr>
        <w:tc>
          <w:tcPr>
            <w:tcW w:w="4505" w:type="dxa"/>
          </w:tcPr>
          <w:p w14:paraId="6CFFC217"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Case count, N</w:t>
            </w:r>
          </w:p>
        </w:tc>
        <w:tc>
          <w:tcPr>
            <w:tcW w:w="1790" w:type="dxa"/>
          </w:tcPr>
          <w:p w14:paraId="2AC5DBB3"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206</w:t>
            </w:r>
          </w:p>
        </w:tc>
      </w:tr>
      <w:tr w:rsidR="00570F48" w:rsidRPr="00C67FB7" w14:paraId="22B34ED4" w14:textId="77777777" w:rsidTr="001D0DAE">
        <w:trPr>
          <w:cantSplit/>
        </w:trPr>
        <w:tc>
          <w:tcPr>
            <w:tcW w:w="4505" w:type="dxa"/>
          </w:tcPr>
          <w:p w14:paraId="68B48A7E"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Age, median (IQR)</w:t>
            </w:r>
          </w:p>
        </w:tc>
        <w:tc>
          <w:tcPr>
            <w:tcW w:w="1790" w:type="dxa"/>
          </w:tcPr>
          <w:p w14:paraId="7131E88D"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15 (10, 25)</w:t>
            </w:r>
          </w:p>
        </w:tc>
      </w:tr>
      <w:tr w:rsidR="00570F48" w:rsidRPr="00C67FB7" w14:paraId="1C0F3AC0" w14:textId="77777777" w:rsidTr="001D0DAE">
        <w:trPr>
          <w:cantSplit/>
        </w:trPr>
        <w:tc>
          <w:tcPr>
            <w:tcW w:w="4505" w:type="dxa"/>
          </w:tcPr>
          <w:p w14:paraId="53E3DA2E"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Female</w:t>
            </w:r>
          </w:p>
        </w:tc>
        <w:tc>
          <w:tcPr>
            <w:tcW w:w="1790" w:type="dxa"/>
          </w:tcPr>
          <w:p w14:paraId="6735F545"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44.2% (91)</w:t>
            </w:r>
          </w:p>
        </w:tc>
      </w:tr>
      <w:tr w:rsidR="00570F48" w:rsidRPr="00C67FB7" w14:paraId="48DB6D0F" w14:textId="77777777" w:rsidTr="001D0DAE">
        <w:trPr>
          <w:cantSplit/>
        </w:trPr>
        <w:tc>
          <w:tcPr>
            <w:tcW w:w="4505" w:type="dxa"/>
          </w:tcPr>
          <w:p w14:paraId="0F4D93B2"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Pregnant</w:t>
            </w:r>
          </w:p>
        </w:tc>
        <w:tc>
          <w:tcPr>
            <w:tcW w:w="1790" w:type="dxa"/>
          </w:tcPr>
          <w:p w14:paraId="2E27D321"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7.7% (7)</w:t>
            </w:r>
          </w:p>
        </w:tc>
      </w:tr>
      <w:tr w:rsidR="00570F48" w:rsidRPr="00C67FB7" w14:paraId="4AF3FA21" w14:textId="77777777" w:rsidTr="001D0DAE">
        <w:trPr>
          <w:cantSplit/>
        </w:trPr>
        <w:tc>
          <w:tcPr>
            <w:tcW w:w="4505" w:type="dxa"/>
          </w:tcPr>
          <w:p w14:paraId="24F3AAA6" w14:textId="6C20A0FB"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Severe malaria diagnosis</w:t>
            </w:r>
            <w:r w:rsidR="009D7B1C">
              <w:rPr>
                <w:rFonts w:ascii="Times New Roman" w:hAnsi="Times New Roman"/>
                <w:b/>
                <w:sz w:val="22"/>
                <w:szCs w:val="22"/>
              </w:rPr>
              <w:t>†</w:t>
            </w:r>
          </w:p>
        </w:tc>
        <w:tc>
          <w:tcPr>
            <w:tcW w:w="1790" w:type="dxa"/>
          </w:tcPr>
          <w:p w14:paraId="32E65FBF"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14.1% (29)</w:t>
            </w:r>
          </w:p>
        </w:tc>
      </w:tr>
      <w:tr w:rsidR="00570F48" w:rsidRPr="00C67FB7" w14:paraId="2973B30F" w14:textId="77777777" w:rsidTr="001D0DAE">
        <w:trPr>
          <w:cantSplit/>
        </w:trPr>
        <w:tc>
          <w:tcPr>
            <w:tcW w:w="4505" w:type="dxa"/>
          </w:tcPr>
          <w:p w14:paraId="0CCF925E"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Admitted to hospital</w:t>
            </w:r>
          </w:p>
        </w:tc>
        <w:tc>
          <w:tcPr>
            <w:tcW w:w="1790" w:type="dxa"/>
          </w:tcPr>
          <w:p w14:paraId="122ED37A"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9.7% (20)</w:t>
            </w:r>
          </w:p>
        </w:tc>
      </w:tr>
      <w:tr w:rsidR="00570F48" w:rsidRPr="00C67FB7" w14:paraId="0672C597" w14:textId="77777777" w:rsidTr="001D0DAE">
        <w:trPr>
          <w:cantSplit/>
        </w:trPr>
        <w:tc>
          <w:tcPr>
            <w:tcW w:w="4505" w:type="dxa"/>
          </w:tcPr>
          <w:p w14:paraId="56A901B7"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Member of the cohort study</w:t>
            </w:r>
          </w:p>
        </w:tc>
        <w:tc>
          <w:tcPr>
            <w:tcW w:w="1790" w:type="dxa"/>
          </w:tcPr>
          <w:p w14:paraId="2CB3BD52"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1.9% (4)</w:t>
            </w:r>
          </w:p>
        </w:tc>
      </w:tr>
      <w:tr w:rsidR="00570F48" w:rsidRPr="00C67FB7" w14:paraId="24F68FC3" w14:textId="77777777" w:rsidTr="001D0DAE">
        <w:trPr>
          <w:cantSplit/>
        </w:trPr>
        <w:tc>
          <w:tcPr>
            <w:tcW w:w="4505" w:type="dxa"/>
          </w:tcPr>
          <w:p w14:paraId="7C12DA50" w14:textId="77777777" w:rsidR="00570F48" w:rsidRPr="00C67FB7" w:rsidRDefault="00570F48" w:rsidP="001D0DAE">
            <w:pPr>
              <w:pStyle w:val="TableContent"/>
              <w:rPr>
                <w:rFonts w:ascii="Times New Roman" w:hAnsi="Times New Roman"/>
                <w:b/>
                <w:sz w:val="22"/>
                <w:szCs w:val="22"/>
              </w:rPr>
            </w:pPr>
            <w:r>
              <w:rPr>
                <w:rFonts w:ascii="Times New Roman" w:hAnsi="Times New Roman"/>
                <w:b/>
                <w:sz w:val="22"/>
                <w:szCs w:val="22"/>
              </w:rPr>
              <w:t>Net</w:t>
            </w:r>
            <w:r w:rsidRPr="00C67FB7">
              <w:rPr>
                <w:rFonts w:ascii="Times New Roman" w:hAnsi="Times New Roman"/>
                <w:b/>
                <w:sz w:val="22"/>
                <w:szCs w:val="22"/>
              </w:rPr>
              <w:t xml:space="preserve"> used last night</w:t>
            </w:r>
          </w:p>
        </w:tc>
        <w:tc>
          <w:tcPr>
            <w:tcW w:w="1790" w:type="dxa"/>
          </w:tcPr>
          <w:p w14:paraId="7A4E328F"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19.4% (40)</w:t>
            </w:r>
          </w:p>
        </w:tc>
      </w:tr>
      <w:tr w:rsidR="00570F48" w:rsidRPr="00C67FB7" w14:paraId="58FBA766" w14:textId="77777777" w:rsidTr="001D0DAE">
        <w:trPr>
          <w:cantSplit/>
        </w:trPr>
        <w:tc>
          <w:tcPr>
            <w:tcW w:w="4505" w:type="dxa"/>
          </w:tcPr>
          <w:p w14:paraId="21F5F067" w14:textId="77777777" w:rsidR="00570F48" w:rsidRPr="00C67FB7" w:rsidRDefault="00570F48" w:rsidP="001D0DAE">
            <w:pPr>
              <w:pStyle w:val="TableContent"/>
              <w:rPr>
                <w:rFonts w:ascii="Times New Roman" w:hAnsi="Times New Roman"/>
                <w:b/>
                <w:sz w:val="22"/>
                <w:szCs w:val="22"/>
              </w:rPr>
            </w:pPr>
            <w:r>
              <w:rPr>
                <w:rFonts w:ascii="Times New Roman" w:hAnsi="Times New Roman"/>
                <w:b/>
                <w:sz w:val="22"/>
                <w:szCs w:val="22"/>
              </w:rPr>
              <w:t>Net</w:t>
            </w:r>
            <w:r w:rsidRPr="00C67FB7">
              <w:rPr>
                <w:rFonts w:ascii="Times New Roman" w:hAnsi="Times New Roman"/>
                <w:b/>
                <w:sz w:val="22"/>
                <w:szCs w:val="22"/>
              </w:rPr>
              <w:t xml:space="preserve"> use frequency in past two weeks</w:t>
            </w:r>
          </w:p>
          <w:p w14:paraId="73145A9C"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 xml:space="preserve">     14 nights</w:t>
            </w:r>
          </w:p>
          <w:p w14:paraId="6EE4FF8A"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 xml:space="preserve">     &gt; 7 but &lt; 14 nights </w:t>
            </w:r>
          </w:p>
          <w:p w14:paraId="622C4E7C"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 xml:space="preserve">     &gt; 1 and &lt; 7 nights</w:t>
            </w:r>
          </w:p>
          <w:p w14:paraId="58CBE6E7"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 xml:space="preserve">     0 nights</w:t>
            </w:r>
          </w:p>
          <w:p w14:paraId="21660F6D"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 xml:space="preserve">     Do not know/missed</w:t>
            </w:r>
          </w:p>
        </w:tc>
        <w:tc>
          <w:tcPr>
            <w:tcW w:w="1790" w:type="dxa"/>
          </w:tcPr>
          <w:p w14:paraId="636A8477" w14:textId="77777777" w:rsidR="00570F48" w:rsidRPr="00C67FB7" w:rsidRDefault="00570F48" w:rsidP="001D0DAE">
            <w:pPr>
              <w:pStyle w:val="TableContent"/>
              <w:rPr>
                <w:rFonts w:ascii="Times New Roman" w:hAnsi="Times New Roman"/>
                <w:sz w:val="22"/>
                <w:szCs w:val="22"/>
              </w:rPr>
            </w:pPr>
          </w:p>
          <w:p w14:paraId="0868A818"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8.2% (17)</w:t>
            </w:r>
          </w:p>
          <w:p w14:paraId="3205528C"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11.2% (23)</w:t>
            </w:r>
          </w:p>
          <w:p w14:paraId="113C96AF"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1.9% (4)</w:t>
            </w:r>
          </w:p>
          <w:p w14:paraId="5C6D7889"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68.4% (141)</w:t>
            </w:r>
          </w:p>
          <w:p w14:paraId="6EB60C1D"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10.2% (21)</w:t>
            </w:r>
          </w:p>
        </w:tc>
      </w:tr>
      <w:tr w:rsidR="00570F48" w:rsidRPr="00C67FB7" w14:paraId="2F491117" w14:textId="77777777" w:rsidTr="001D0DAE">
        <w:trPr>
          <w:cantSplit/>
        </w:trPr>
        <w:tc>
          <w:tcPr>
            <w:tcW w:w="4505" w:type="dxa"/>
          </w:tcPr>
          <w:p w14:paraId="4951DF6D" w14:textId="77777777" w:rsidR="00570F48" w:rsidRPr="00C67FB7" w:rsidRDefault="00570F48" w:rsidP="001D0DAE">
            <w:pPr>
              <w:pStyle w:val="TableContent"/>
              <w:rPr>
                <w:rFonts w:ascii="Times New Roman" w:hAnsi="Times New Roman"/>
                <w:b/>
                <w:sz w:val="22"/>
                <w:szCs w:val="22"/>
              </w:rPr>
            </w:pPr>
            <w:r w:rsidRPr="00C67FB7">
              <w:rPr>
                <w:rFonts w:ascii="Times New Roman" w:hAnsi="Times New Roman"/>
                <w:b/>
                <w:sz w:val="22"/>
                <w:szCs w:val="22"/>
              </w:rPr>
              <w:t>Travel in past month</w:t>
            </w:r>
          </w:p>
        </w:tc>
        <w:tc>
          <w:tcPr>
            <w:tcW w:w="1790" w:type="dxa"/>
          </w:tcPr>
          <w:p w14:paraId="64F53D99" w14:textId="77777777" w:rsidR="00570F48" w:rsidRPr="00C67FB7" w:rsidRDefault="00570F48" w:rsidP="001D0DAE">
            <w:pPr>
              <w:pStyle w:val="TableContent"/>
              <w:rPr>
                <w:rFonts w:ascii="Times New Roman" w:hAnsi="Times New Roman"/>
                <w:sz w:val="22"/>
                <w:szCs w:val="22"/>
              </w:rPr>
            </w:pPr>
            <w:r w:rsidRPr="00C67FB7">
              <w:rPr>
                <w:rFonts w:ascii="Times New Roman" w:hAnsi="Times New Roman"/>
                <w:sz w:val="22"/>
                <w:szCs w:val="22"/>
              </w:rPr>
              <w:t>7.8% (16)</w:t>
            </w:r>
          </w:p>
        </w:tc>
      </w:tr>
    </w:tbl>
    <w:p w14:paraId="323877F8" w14:textId="77777777" w:rsidR="00570F48" w:rsidRPr="00E7783B" w:rsidRDefault="00570F48" w:rsidP="00570F48">
      <w:pPr>
        <w:pStyle w:val="Footnotes"/>
        <w:rPr>
          <w:rFonts w:ascii="Times New Roman" w:hAnsi="Times New Roman" w:cs="Times New Roman"/>
          <w:sz w:val="22"/>
        </w:rPr>
      </w:pPr>
    </w:p>
    <w:p w14:paraId="697B274C" w14:textId="564DECB5" w:rsidR="009D7B1C" w:rsidRPr="009D7B1C" w:rsidRDefault="009D7B1C" w:rsidP="009D7B1C">
      <w:pPr>
        <w:pStyle w:val="Footnotes"/>
        <w:spacing w:line="480" w:lineRule="auto"/>
        <w:rPr>
          <w:rFonts w:ascii="Times New Roman" w:hAnsi="Times New Roman" w:cs="Times New Roman"/>
          <w:sz w:val="22"/>
        </w:rPr>
      </w:pPr>
      <w:r>
        <w:rPr>
          <w:rFonts w:ascii="Times New Roman" w:hAnsi="Times New Roman" w:cs="Times New Roman"/>
          <w:sz w:val="22"/>
        </w:rPr>
        <w:t>†Severe malaria as defined by Zambia Standard Treatment Guidelines. (</w:t>
      </w:r>
      <w:r>
        <w:t xml:space="preserve">Ministry of Health, Republic of Zambia. Zambia Standard Treatment Guidelines [Internet]. 2020. Available from: </w:t>
      </w:r>
      <w:hyperlink r:id="rId7" w:history="1">
        <w:r>
          <w:rPr>
            <w:rStyle w:val="Hyperlink"/>
          </w:rPr>
          <w:t>https://www.moh.gov.zm/?wpfb_dl=32</w:t>
        </w:r>
      </w:hyperlink>
      <w:r>
        <w:t>)</w:t>
      </w:r>
    </w:p>
    <w:p w14:paraId="541B6AD9" w14:textId="3A7C8E05" w:rsidR="002E3F17" w:rsidRPr="00C67FB7" w:rsidRDefault="009D7B1C" w:rsidP="0037521C">
      <w:pPr>
        <w:pStyle w:val="Footnotes"/>
        <w:spacing w:line="480" w:lineRule="auto"/>
        <w:rPr>
          <w:rFonts w:ascii="Times New Roman" w:hAnsi="Times New Roman" w:cs="Times New Roman"/>
          <w:sz w:val="22"/>
        </w:rPr>
      </w:pPr>
      <w:r>
        <w:rPr>
          <w:rFonts w:ascii="Times New Roman" w:hAnsi="Times New Roman" w:cs="Times New Roman"/>
          <w:sz w:val="22"/>
        </w:rPr>
        <w:t xml:space="preserve"> </w:t>
      </w:r>
    </w:p>
    <w:p w14:paraId="3ADEF487" w14:textId="77777777" w:rsidR="0037521C" w:rsidRPr="00C67FB7" w:rsidRDefault="0037521C" w:rsidP="0037521C">
      <w:pPr>
        <w:pStyle w:val="References"/>
        <w:spacing w:line="480" w:lineRule="auto"/>
        <w:ind w:left="0" w:firstLine="0"/>
        <w:rPr>
          <w:rFonts w:ascii="Times New Roman" w:hAnsi="Times New Roman" w:cs="Times New Roman"/>
          <w:sz w:val="22"/>
        </w:rPr>
      </w:pPr>
    </w:p>
    <w:p w14:paraId="1657B5E3" w14:textId="77777777" w:rsidR="00680ACD" w:rsidRPr="00A76B6F" w:rsidRDefault="00A76B6F" w:rsidP="00A76B6F">
      <w:pPr>
        <w:spacing w:after="0" w:line="240" w:lineRule="auto"/>
        <w:rPr>
          <w:rFonts w:ascii="Times New Roman" w:hAnsi="Times New Roman" w:cs="Times New Roman"/>
          <w:b/>
          <w:iCs/>
          <w:sz w:val="22"/>
        </w:rPr>
      </w:pPr>
      <w:bookmarkStart w:id="3" w:name="_Toc113017250"/>
      <w:bookmarkStart w:id="4" w:name="_Toc113017249"/>
      <w:r>
        <w:rPr>
          <w:rFonts w:ascii="Times New Roman" w:hAnsi="Times New Roman" w:cs="Times New Roman"/>
          <w:sz w:val="22"/>
        </w:rPr>
        <w:br w:type="page"/>
      </w:r>
      <w:r w:rsidR="00680ACD" w:rsidRPr="00C67FB7">
        <w:rPr>
          <w:rFonts w:ascii="Times New Roman" w:hAnsi="Times New Roman" w:cs="Times New Roman"/>
          <w:noProof/>
          <w:sz w:val="22"/>
        </w:rPr>
        <w:lastRenderedPageBreak/>
        <w:drawing>
          <wp:anchor distT="0" distB="0" distL="114300" distR="114300" simplePos="0" relativeHeight="251664384" behindDoc="1" locked="0" layoutInCell="1" allowOverlap="1" wp14:anchorId="4177428C" wp14:editId="1740DE49">
            <wp:simplePos x="0" y="0"/>
            <wp:positionH relativeFrom="column">
              <wp:posOffset>-48895</wp:posOffset>
            </wp:positionH>
            <wp:positionV relativeFrom="paragraph">
              <wp:posOffset>262255</wp:posOffset>
            </wp:positionV>
            <wp:extent cx="5486400" cy="2743200"/>
            <wp:effectExtent l="0" t="0" r="0" b="0"/>
            <wp:wrapTopAndBottom/>
            <wp:docPr id="33" name="Picture 33" descr="A graph of a graph of a number of men and wo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graph of a number of men and women&#10;&#10;Description automatically generated with medium confidence"/>
                    <pic:cNvPicPr/>
                  </pic:nvPicPr>
                  <pic:blipFill>
                    <a:blip r:embed="rId8"/>
                    <a:stretch>
                      <a:fillRect/>
                    </a:stretch>
                  </pic:blipFill>
                  <pic:spPr>
                    <a:xfrm>
                      <a:off x="0" y="0"/>
                      <a:ext cx="5486400" cy="2743200"/>
                    </a:xfrm>
                    <a:prstGeom prst="rect">
                      <a:avLst/>
                    </a:prstGeom>
                  </pic:spPr>
                </pic:pic>
              </a:graphicData>
            </a:graphic>
            <wp14:sizeRelH relativeFrom="page">
              <wp14:pctWidth>0</wp14:pctWidth>
            </wp14:sizeRelH>
            <wp14:sizeRelV relativeFrom="page">
              <wp14:pctHeight>0</wp14:pctHeight>
            </wp14:sizeRelV>
          </wp:anchor>
        </w:drawing>
      </w:r>
      <w:bookmarkEnd w:id="3"/>
      <w:r w:rsidR="00680ACD" w:rsidRPr="00B3060C">
        <w:rPr>
          <w:rFonts w:ascii="Times New Roman" w:hAnsi="Times New Roman" w:cs="Times New Roman"/>
          <w:bCs/>
          <w:sz w:val="22"/>
        </w:rPr>
        <w:t xml:space="preserve"> </w:t>
      </w:r>
    </w:p>
    <w:p w14:paraId="3DE98CF2" w14:textId="6D2EC900" w:rsidR="00A76B6F" w:rsidRPr="00C67FB7" w:rsidRDefault="00A76B6F" w:rsidP="0061653F">
      <w:pPr>
        <w:pStyle w:val="FigureTitles"/>
        <w:spacing w:line="480" w:lineRule="auto"/>
        <w:outlineLvl w:val="1"/>
        <w:rPr>
          <w:rFonts w:ascii="Times New Roman" w:hAnsi="Times New Roman" w:cs="Times New Roman"/>
          <w:sz w:val="22"/>
        </w:rPr>
      </w:pPr>
      <w:bookmarkStart w:id="5" w:name="_Toc217054169"/>
      <w:r>
        <w:rPr>
          <w:rFonts w:ascii="Times New Roman" w:hAnsi="Times New Roman" w:cs="Times New Roman"/>
          <w:sz w:val="22"/>
        </w:rPr>
        <w:t>F</w:t>
      </w:r>
      <w:r w:rsidRPr="00C67FB7">
        <w:rPr>
          <w:rFonts w:ascii="Times New Roman" w:hAnsi="Times New Roman" w:cs="Times New Roman"/>
          <w:sz w:val="22"/>
        </w:rPr>
        <w:t xml:space="preserve">igure </w:t>
      </w:r>
      <w:r>
        <w:rPr>
          <w:rFonts w:ascii="Times New Roman" w:hAnsi="Times New Roman" w:cs="Times New Roman"/>
          <w:sz w:val="22"/>
        </w:rPr>
        <w:t>S1.</w:t>
      </w:r>
      <w:r w:rsidRPr="00C67FB7">
        <w:rPr>
          <w:rFonts w:ascii="Times New Roman" w:hAnsi="Times New Roman" w:cs="Times New Roman"/>
          <w:sz w:val="22"/>
        </w:rPr>
        <w:t xml:space="preserve"> </w:t>
      </w:r>
      <w:r w:rsidRPr="00B3060C">
        <w:rPr>
          <w:rFonts w:ascii="Times New Roman" w:hAnsi="Times New Roman" w:cs="Times New Roman"/>
          <w:b w:val="0"/>
          <w:bCs/>
          <w:sz w:val="22"/>
        </w:rPr>
        <w:t>Parasite prevalence by qPCR by month and sex</w:t>
      </w:r>
      <w:r>
        <w:rPr>
          <w:rFonts w:ascii="Times New Roman" w:hAnsi="Times New Roman" w:cs="Times New Roman"/>
          <w:b w:val="0"/>
          <w:bCs/>
          <w:sz w:val="22"/>
        </w:rPr>
        <w:t>.</w:t>
      </w:r>
      <w:bookmarkEnd w:id="5"/>
      <w:r w:rsidRPr="00B3060C">
        <w:rPr>
          <w:rFonts w:ascii="Times New Roman" w:hAnsi="Times New Roman" w:cs="Times New Roman"/>
          <w:b w:val="0"/>
          <w:bCs/>
          <w:sz w:val="22"/>
        </w:rPr>
        <w:t xml:space="preserve"> </w:t>
      </w:r>
    </w:p>
    <w:p w14:paraId="43D104B1" w14:textId="77777777" w:rsidR="00680ACD" w:rsidRDefault="00680ACD" w:rsidP="00680ACD">
      <w:pPr>
        <w:pStyle w:val="Footnotes"/>
        <w:spacing w:line="480" w:lineRule="auto"/>
        <w:rPr>
          <w:rFonts w:ascii="Times New Roman" w:hAnsi="Times New Roman" w:cs="Times New Roman"/>
          <w:sz w:val="22"/>
        </w:rPr>
      </w:pPr>
      <w:r w:rsidRPr="00C67FB7">
        <w:rPr>
          <w:rFonts w:ascii="Times New Roman" w:hAnsi="Times New Roman" w:cs="Times New Roman"/>
          <w:sz w:val="22"/>
        </w:rPr>
        <w:t>Cohort data collection was paused from April to July in 2020 in compliance with the Government of Zambia’s COVID-19 prevention measures.</w:t>
      </w:r>
    </w:p>
    <w:p w14:paraId="44ADDFE7" w14:textId="77777777" w:rsidR="002E3F17" w:rsidRDefault="002E3F17" w:rsidP="00680ACD">
      <w:pPr>
        <w:pStyle w:val="Footnotes"/>
        <w:spacing w:line="480" w:lineRule="auto"/>
        <w:rPr>
          <w:rFonts w:ascii="Times New Roman" w:hAnsi="Times New Roman" w:cs="Times New Roman"/>
          <w:sz w:val="22"/>
        </w:rPr>
      </w:pPr>
    </w:p>
    <w:p w14:paraId="5D738672" w14:textId="77777777" w:rsidR="002E3F17" w:rsidRPr="00680ACD" w:rsidRDefault="002E3F17" w:rsidP="00680ACD">
      <w:pPr>
        <w:pStyle w:val="Footnotes"/>
        <w:spacing w:line="480" w:lineRule="auto"/>
        <w:rPr>
          <w:rFonts w:ascii="Times New Roman" w:hAnsi="Times New Roman" w:cs="Times New Roman"/>
          <w:sz w:val="22"/>
        </w:rPr>
      </w:pPr>
    </w:p>
    <w:bookmarkEnd w:id="4"/>
    <w:p w14:paraId="57D87D66" w14:textId="77777777" w:rsidR="001133EA" w:rsidRPr="00C67FB7" w:rsidRDefault="001133EA" w:rsidP="0037521C">
      <w:pPr>
        <w:pStyle w:val="Footnotes"/>
        <w:spacing w:line="480" w:lineRule="auto"/>
        <w:rPr>
          <w:rFonts w:ascii="Times New Roman" w:hAnsi="Times New Roman" w:cs="Times New Roman"/>
          <w:sz w:val="22"/>
        </w:rPr>
      </w:pPr>
    </w:p>
    <w:p w14:paraId="274F90D7" w14:textId="77777777" w:rsidR="0037521C" w:rsidRPr="00C67FB7" w:rsidRDefault="0037521C" w:rsidP="0037521C">
      <w:pPr>
        <w:pStyle w:val="References"/>
        <w:spacing w:line="480" w:lineRule="auto"/>
        <w:rPr>
          <w:rFonts w:ascii="Times New Roman" w:hAnsi="Times New Roman" w:cs="Times New Roman"/>
          <w:sz w:val="22"/>
        </w:rPr>
      </w:pPr>
    </w:p>
    <w:p w14:paraId="32745954" w14:textId="77777777" w:rsidR="0037521C" w:rsidRPr="00C67FB7" w:rsidRDefault="0037521C" w:rsidP="00B3060C">
      <w:pPr>
        <w:pStyle w:val="References"/>
        <w:spacing w:line="480" w:lineRule="auto"/>
        <w:ind w:left="0" w:firstLine="0"/>
        <w:rPr>
          <w:rFonts w:ascii="Times New Roman" w:hAnsi="Times New Roman" w:cs="Times New Roman"/>
          <w:sz w:val="22"/>
        </w:rPr>
      </w:pPr>
    </w:p>
    <w:p w14:paraId="3493C176" w14:textId="0F6A7CC9" w:rsidR="006D5E0C" w:rsidRPr="006D5E0C" w:rsidRDefault="006D5E0C" w:rsidP="006D5E0C">
      <w:pPr>
        <w:pStyle w:val="Footnotes"/>
      </w:pPr>
      <w:bookmarkStart w:id="6" w:name="_Toc113017245"/>
    </w:p>
    <w:bookmarkEnd w:id="6"/>
    <w:p w14:paraId="263E049E" w14:textId="77777777" w:rsidR="00170E23" w:rsidRDefault="00170E23">
      <w:pPr>
        <w:spacing w:after="0" w:line="240" w:lineRule="auto"/>
        <w:rPr>
          <w:rFonts w:ascii="Times New Roman" w:hAnsi="Times New Roman" w:cs="Times New Roman"/>
          <w:b/>
          <w:bCs/>
          <w:sz w:val="22"/>
        </w:rPr>
      </w:pPr>
      <w:r>
        <w:rPr>
          <w:rFonts w:ascii="Times New Roman" w:hAnsi="Times New Roman" w:cs="Times New Roman"/>
          <w:b/>
          <w:bCs/>
          <w:sz w:val="22"/>
        </w:rPr>
        <w:br w:type="page"/>
      </w:r>
    </w:p>
    <w:p w14:paraId="726AE601" w14:textId="2002CB4D" w:rsidR="000F0AF2" w:rsidRPr="000F0AF2" w:rsidRDefault="000F0AF2" w:rsidP="0061653F">
      <w:pPr>
        <w:pStyle w:val="Body"/>
        <w:ind w:firstLine="0"/>
        <w:outlineLvl w:val="0"/>
        <w:rPr>
          <w:rFonts w:ascii="Times New Roman" w:hAnsi="Times New Roman" w:cs="Times New Roman"/>
          <w:b/>
          <w:bCs/>
          <w:sz w:val="22"/>
        </w:rPr>
      </w:pPr>
      <w:bookmarkStart w:id="7" w:name="_Toc217054170"/>
      <w:r>
        <w:rPr>
          <w:rFonts w:ascii="Times New Roman" w:hAnsi="Times New Roman" w:cs="Times New Roman"/>
          <w:b/>
          <w:bCs/>
          <w:sz w:val="22"/>
        </w:rPr>
        <w:lastRenderedPageBreak/>
        <w:t>Random forest simulation experiment</w:t>
      </w:r>
      <w:bookmarkEnd w:id="7"/>
    </w:p>
    <w:p w14:paraId="0A069998" w14:textId="657A74D3" w:rsidR="000F0AF2" w:rsidRDefault="00570F48" w:rsidP="000F0AF2">
      <w:pPr>
        <w:pStyle w:val="Body"/>
        <w:ind w:firstLine="0"/>
        <w:rPr>
          <w:rFonts w:ascii="Times New Roman" w:hAnsi="Times New Roman" w:cs="Times New Roman"/>
          <w:sz w:val="22"/>
        </w:rPr>
      </w:pPr>
      <w:r w:rsidRPr="00570F48">
        <w:rPr>
          <w:rFonts w:ascii="Times New Roman" w:hAnsi="Times New Roman" w:cs="Times New Roman"/>
          <w:sz w:val="22"/>
          <w:u w:val="single"/>
        </w:rPr>
        <w:t>Methods</w:t>
      </w:r>
      <w:r>
        <w:rPr>
          <w:rFonts w:ascii="Times New Roman" w:hAnsi="Times New Roman" w:cs="Times New Roman"/>
          <w:sz w:val="22"/>
        </w:rPr>
        <w:t xml:space="preserve">: A random forest model was constructed to model qPCR </w:t>
      </w:r>
      <w:r w:rsidR="000F0AF2" w:rsidRPr="00F5428E">
        <w:rPr>
          <w:rFonts w:ascii="Times New Roman" w:hAnsi="Times New Roman" w:cs="Times New Roman"/>
          <w:sz w:val="22"/>
        </w:rPr>
        <w:t>positivity</w:t>
      </w:r>
      <w:r w:rsidR="000F0AF2">
        <w:rPr>
          <w:rFonts w:ascii="Times New Roman" w:hAnsi="Times New Roman" w:cs="Times New Roman"/>
          <w:sz w:val="22"/>
        </w:rPr>
        <w:t>, selecting</w:t>
      </w:r>
      <w:r w:rsidR="000F0AF2" w:rsidRPr="00F5428E">
        <w:rPr>
          <w:rFonts w:ascii="Times New Roman" w:hAnsi="Times New Roman" w:cs="Times New Roman"/>
          <w:sz w:val="22"/>
        </w:rPr>
        <w:t xml:space="preserve"> </w:t>
      </w:r>
      <w:r w:rsidR="000F0AF2">
        <w:rPr>
          <w:rFonts w:ascii="Times New Roman" w:hAnsi="Times New Roman" w:cs="Times New Roman"/>
          <w:sz w:val="22"/>
        </w:rPr>
        <w:t xml:space="preserve">from a list of covariates including age, sex, net use, individual travel history, if a visitor was in the house during the past month, household member travel, household visitors, employment, recent visit to a health center, and month of year. To assess whether the model fit the observed outcome data better than randomly distributed data, 1000 simulations of an experiment </w:t>
      </w:r>
      <w:r>
        <w:rPr>
          <w:rFonts w:ascii="Times New Roman" w:hAnsi="Times New Roman" w:cs="Times New Roman"/>
          <w:sz w:val="22"/>
        </w:rPr>
        <w:t xml:space="preserve">were run that </w:t>
      </w:r>
      <w:r w:rsidR="000F0AF2">
        <w:rPr>
          <w:rFonts w:ascii="Times New Roman" w:hAnsi="Times New Roman" w:cs="Times New Roman"/>
          <w:sz w:val="22"/>
        </w:rPr>
        <w:t xml:space="preserve">fit a random forest model to </w:t>
      </w:r>
      <w:r>
        <w:rPr>
          <w:rFonts w:ascii="Times New Roman" w:hAnsi="Times New Roman" w:cs="Times New Roman"/>
          <w:sz w:val="22"/>
        </w:rPr>
        <w:t>two</w:t>
      </w:r>
      <w:r w:rsidR="000F0AF2">
        <w:rPr>
          <w:rFonts w:ascii="Times New Roman" w:hAnsi="Times New Roman" w:cs="Times New Roman"/>
          <w:sz w:val="22"/>
        </w:rPr>
        <w:t xml:space="preserve"> version</w:t>
      </w:r>
      <w:r>
        <w:rPr>
          <w:rFonts w:ascii="Times New Roman" w:hAnsi="Times New Roman" w:cs="Times New Roman"/>
          <w:sz w:val="22"/>
        </w:rPr>
        <w:t>s</w:t>
      </w:r>
      <w:r w:rsidR="000F0AF2">
        <w:rPr>
          <w:rFonts w:ascii="Times New Roman" w:hAnsi="Times New Roman" w:cs="Times New Roman"/>
          <w:sz w:val="22"/>
        </w:rPr>
        <w:t xml:space="preserve"> of </w:t>
      </w:r>
      <w:r>
        <w:rPr>
          <w:rFonts w:ascii="Times New Roman" w:hAnsi="Times New Roman" w:cs="Times New Roman"/>
          <w:sz w:val="22"/>
        </w:rPr>
        <w:t>the</w:t>
      </w:r>
      <w:r w:rsidR="000F0AF2">
        <w:rPr>
          <w:rFonts w:ascii="Times New Roman" w:hAnsi="Times New Roman" w:cs="Times New Roman"/>
          <w:sz w:val="22"/>
        </w:rPr>
        <w:t xml:space="preserve"> dataset</w:t>
      </w:r>
      <w:r>
        <w:rPr>
          <w:rFonts w:ascii="Times New Roman" w:hAnsi="Times New Roman" w:cs="Times New Roman"/>
          <w:sz w:val="22"/>
        </w:rPr>
        <w:t>; 1) the actual data and 2)</w:t>
      </w:r>
      <w:r w:rsidR="000F0AF2">
        <w:rPr>
          <w:rFonts w:ascii="Times New Roman" w:hAnsi="Times New Roman" w:cs="Times New Roman"/>
          <w:sz w:val="22"/>
        </w:rPr>
        <w:t xml:space="preserve"> </w:t>
      </w:r>
      <w:r>
        <w:rPr>
          <w:rFonts w:ascii="Times New Roman" w:hAnsi="Times New Roman" w:cs="Times New Roman"/>
          <w:sz w:val="22"/>
        </w:rPr>
        <w:t>a version of the dataset where the qPCR outcome</w:t>
      </w:r>
      <w:r w:rsidR="005F2ED9">
        <w:rPr>
          <w:rFonts w:ascii="Times New Roman" w:hAnsi="Times New Roman" w:cs="Times New Roman"/>
          <w:sz w:val="22"/>
        </w:rPr>
        <w:t>s</w:t>
      </w:r>
      <w:r>
        <w:rPr>
          <w:rFonts w:ascii="Times New Roman" w:hAnsi="Times New Roman" w:cs="Times New Roman"/>
          <w:sz w:val="22"/>
        </w:rPr>
        <w:t xml:space="preserve"> were randomly redistributed across participants</w:t>
      </w:r>
      <w:r w:rsidR="000F0AF2">
        <w:rPr>
          <w:rFonts w:ascii="Times New Roman" w:hAnsi="Times New Roman" w:cs="Times New Roman"/>
          <w:sz w:val="22"/>
        </w:rPr>
        <w:t xml:space="preserve">. </w:t>
      </w:r>
      <w:r>
        <w:rPr>
          <w:rFonts w:ascii="Times New Roman" w:hAnsi="Times New Roman" w:cs="Times New Roman"/>
          <w:sz w:val="22"/>
        </w:rPr>
        <w:t>A</w:t>
      </w:r>
      <w:r w:rsidR="000F0AF2">
        <w:rPr>
          <w:rFonts w:ascii="Times New Roman" w:hAnsi="Times New Roman" w:cs="Times New Roman"/>
          <w:sz w:val="22"/>
        </w:rPr>
        <w:t xml:space="preserve">ll 1000 simulations compared the </w:t>
      </w:r>
      <w:r>
        <w:rPr>
          <w:rFonts w:ascii="Times New Roman" w:hAnsi="Times New Roman" w:cs="Times New Roman"/>
          <w:sz w:val="22"/>
        </w:rPr>
        <w:t xml:space="preserve">fit of the </w:t>
      </w:r>
      <w:r w:rsidR="000F0AF2">
        <w:rPr>
          <w:rFonts w:ascii="Times New Roman" w:hAnsi="Times New Roman" w:cs="Times New Roman"/>
          <w:sz w:val="22"/>
        </w:rPr>
        <w:t xml:space="preserve">model on the actual data </w:t>
      </w:r>
      <w:r>
        <w:rPr>
          <w:rFonts w:ascii="Times New Roman" w:hAnsi="Times New Roman" w:cs="Times New Roman"/>
          <w:sz w:val="22"/>
        </w:rPr>
        <w:t>to the fit of the model to data with randomly redistributed o</w:t>
      </w:r>
      <w:r w:rsidR="005F2ED9">
        <w:rPr>
          <w:rFonts w:ascii="Times New Roman" w:hAnsi="Times New Roman" w:cs="Times New Roman"/>
          <w:sz w:val="22"/>
        </w:rPr>
        <w:t>u</w:t>
      </w:r>
      <w:r>
        <w:rPr>
          <w:rFonts w:ascii="Times New Roman" w:hAnsi="Times New Roman" w:cs="Times New Roman"/>
          <w:sz w:val="22"/>
        </w:rPr>
        <w:t>tcomes. Then, a probability was</w:t>
      </w:r>
      <w:r w:rsidR="000F0AF2">
        <w:rPr>
          <w:rFonts w:ascii="Times New Roman" w:hAnsi="Times New Roman" w:cs="Times New Roman"/>
          <w:sz w:val="22"/>
        </w:rPr>
        <w:t xml:space="preserve"> compute</w:t>
      </w:r>
      <w:r>
        <w:rPr>
          <w:rFonts w:ascii="Times New Roman" w:hAnsi="Times New Roman" w:cs="Times New Roman"/>
          <w:sz w:val="22"/>
        </w:rPr>
        <w:t xml:space="preserve">d as </w:t>
      </w:r>
      <w:r w:rsidR="000F0AF2">
        <w:rPr>
          <w:rFonts w:ascii="Times New Roman" w:hAnsi="Times New Roman" w:cs="Times New Roman"/>
          <w:sz w:val="22"/>
        </w:rPr>
        <w:t>the probability that</w:t>
      </w:r>
      <w:r w:rsidR="000F0AF2" w:rsidRPr="00F5428E">
        <w:rPr>
          <w:rFonts w:ascii="Times New Roman" w:hAnsi="Times New Roman" w:cs="Times New Roman"/>
          <w:sz w:val="22"/>
        </w:rPr>
        <w:t xml:space="preserve"> the actual model was better than the model </w:t>
      </w:r>
      <w:r w:rsidR="000F0AF2">
        <w:rPr>
          <w:rFonts w:ascii="Times New Roman" w:hAnsi="Times New Roman" w:cs="Times New Roman"/>
          <w:sz w:val="22"/>
        </w:rPr>
        <w:t>based on</w:t>
      </w:r>
      <w:r w:rsidR="000F0AF2" w:rsidRPr="00F5428E">
        <w:rPr>
          <w:rFonts w:ascii="Times New Roman" w:hAnsi="Times New Roman" w:cs="Times New Roman"/>
          <w:sz w:val="22"/>
        </w:rPr>
        <w:t xml:space="preserve"> random data</w:t>
      </w:r>
      <w:r w:rsidR="000F0AF2">
        <w:rPr>
          <w:rFonts w:ascii="Times New Roman" w:hAnsi="Times New Roman" w:cs="Times New Roman"/>
          <w:sz w:val="22"/>
        </w:rPr>
        <w:t xml:space="preserve"> as a proportion of experiments where the model with the actual data outperformed the model with the random data.  </w:t>
      </w:r>
    </w:p>
    <w:p w14:paraId="3A3F1EFB" w14:textId="1F271929" w:rsidR="003F6612" w:rsidRDefault="00570F48" w:rsidP="003F6612">
      <w:pPr>
        <w:rPr>
          <w:rFonts w:ascii="Times New Roman" w:hAnsi="Times New Roman" w:cs="Times New Roman"/>
          <w:sz w:val="22"/>
        </w:rPr>
      </w:pPr>
      <w:r w:rsidRPr="00570F48">
        <w:rPr>
          <w:rFonts w:ascii="Times New Roman" w:hAnsi="Times New Roman" w:cs="Times New Roman"/>
          <w:sz w:val="22"/>
          <w:u w:val="single"/>
        </w:rPr>
        <w:t>Results</w:t>
      </w:r>
      <w:r>
        <w:rPr>
          <w:rFonts w:ascii="Times New Roman" w:hAnsi="Times New Roman" w:cs="Times New Roman"/>
          <w:sz w:val="22"/>
        </w:rPr>
        <w:t xml:space="preserve">: </w:t>
      </w:r>
      <w:r w:rsidR="003F6612">
        <w:rPr>
          <w:rFonts w:ascii="Times New Roman" w:hAnsi="Times New Roman" w:cs="Times New Roman"/>
          <w:sz w:val="22"/>
        </w:rPr>
        <w:t>The random forest model fit on randomly distributed episodes of parasitemia by qPCR outperformed the random forest model fit on</w:t>
      </w:r>
      <w:r w:rsidR="003F6612" w:rsidRPr="00E55AA6">
        <w:rPr>
          <w:rFonts w:ascii="Times New Roman" w:hAnsi="Times New Roman" w:cs="Times New Roman"/>
          <w:sz w:val="22"/>
        </w:rPr>
        <w:t xml:space="preserve"> the actual distribution of positive</w:t>
      </w:r>
      <w:r w:rsidR="003F6612">
        <w:rPr>
          <w:rFonts w:ascii="Times New Roman" w:hAnsi="Times New Roman" w:cs="Times New Roman"/>
          <w:sz w:val="22"/>
        </w:rPr>
        <w:t>s</w:t>
      </w:r>
      <w:r w:rsidR="003F6612" w:rsidRPr="00E55AA6">
        <w:rPr>
          <w:rFonts w:ascii="Times New Roman" w:hAnsi="Times New Roman" w:cs="Times New Roman"/>
          <w:sz w:val="22"/>
        </w:rPr>
        <w:t xml:space="preserve"> in </w:t>
      </w:r>
      <w:r w:rsidR="005F2ED9">
        <w:rPr>
          <w:rFonts w:ascii="Times New Roman" w:hAnsi="Times New Roman" w:cs="Times New Roman"/>
          <w:sz w:val="22"/>
        </w:rPr>
        <w:t xml:space="preserve">only </w:t>
      </w:r>
      <w:r w:rsidR="003F6612" w:rsidRPr="00E55AA6">
        <w:rPr>
          <w:rFonts w:ascii="Times New Roman" w:hAnsi="Times New Roman" w:cs="Times New Roman"/>
          <w:sz w:val="22"/>
        </w:rPr>
        <w:t>10.2% of simulations.</w:t>
      </w:r>
      <w:r w:rsidR="003F6612">
        <w:rPr>
          <w:rFonts w:ascii="Times New Roman" w:hAnsi="Times New Roman" w:cs="Times New Roman"/>
          <w:sz w:val="22"/>
        </w:rPr>
        <w:t xml:space="preserve"> The model fit to randomly distributed qPCR positives with </w:t>
      </w:r>
      <w:r w:rsidR="003F6612" w:rsidRPr="00E55AA6">
        <w:rPr>
          <w:rFonts w:ascii="Times New Roman" w:hAnsi="Times New Roman" w:cs="Times New Roman"/>
          <w:sz w:val="22"/>
        </w:rPr>
        <w:t xml:space="preserve">at least 10 </w:t>
      </w:r>
      <w:r w:rsidR="003F6612">
        <w:rPr>
          <w:rFonts w:ascii="Times New Roman" w:hAnsi="Times New Roman" w:cs="Times New Roman"/>
          <w:sz w:val="22"/>
        </w:rPr>
        <w:t xml:space="preserve">parasite/µL data outperformed the model fit to the actual distribution in </w:t>
      </w:r>
      <w:r w:rsidR="005F2ED9">
        <w:rPr>
          <w:rFonts w:ascii="Times New Roman" w:hAnsi="Times New Roman" w:cs="Times New Roman"/>
          <w:sz w:val="22"/>
        </w:rPr>
        <w:t xml:space="preserve">only </w:t>
      </w:r>
      <w:r w:rsidR="003F6612">
        <w:rPr>
          <w:rFonts w:ascii="Times New Roman" w:hAnsi="Times New Roman" w:cs="Times New Roman"/>
          <w:sz w:val="22"/>
        </w:rPr>
        <w:t xml:space="preserve">two percent of the simulations. However, the fit was poor for both models fit on the actual data, with AUCs of 0.56 and 0.63. </w:t>
      </w:r>
    </w:p>
    <w:p w14:paraId="229456F5" w14:textId="77777777" w:rsidR="000F0AF2" w:rsidRDefault="000F0AF2" w:rsidP="00A76B6F">
      <w:pPr>
        <w:pStyle w:val="References"/>
        <w:spacing w:line="480" w:lineRule="auto"/>
        <w:ind w:left="0" w:firstLine="0"/>
        <w:outlineLvl w:val="0"/>
        <w:rPr>
          <w:rFonts w:ascii="Times New Roman" w:hAnsi="Times New Roman" w:cs="Times New Roman"/>
          <w:sz w:val="22"/>
        </w:rPr>
      </w:pPr>
    </w:p>
    <w:p w14:paraId="2FD8AB54" w14:textId="77777777" w:rsidR="00A76B6F" w:rsidRDefault="00A76B6F" w:rsidP="0037521C">
      <w:pPr>
        <w:pStyle w:val="References"/>
        <w:spacing w:line="480" w:lineRule="auto"/>
        <w:ind w:left="0" w:firstLine="0"/>
        <w:rPr>
          <w:rFonts w:ascii="Times New Roman" w:hAnsi="Times New Roman" w:cs="Times New Roman"/>
          <w:sz w:val="22"/>
        </w:rPr>
      </w:pPr>
    </w:p>
    <w:p w14:paraId="72D4AA33" w14:textId="77777777" w:rsidR="0061653F" w:rsidRDefault="0061653F" w:rsidP="00A76B6F">
      <w:pPr>
        <w:pStyle w:val="References"/>
        <w:spacing w:line="480" w:lineRule="auto"/>
        <w:ind w:left="0" w:firstLine="0"/>
        <w:outlineLvl w:val="0"/>
        <w:rPr>
          <w:rFonts w:ascii="Times New Roman" w:hAnsi="Times New Roman" w:cs="Times New Roman"/>
          <w:sz w:val="22"/>
        </w:rPr>
      </w:pPr>
    </w:p>
    <w:p w14:paraId="2FADBF57" w14:textId="77777777" w:rsidR="0061653F" w:rsidRDefault="0061653F" w:rsidP="00A76B6F">
      <w:pPr>
        <w:pStyle w:val="References"/>
        <w:spacing w:line="480" w:lineRule="auto"/>
        <w:ind w:left="0" w:firstLine="0"/>
        <w:outlineLvl w:val="0"/>
        <w:rPr>
          <w:rFonts w:ascii="Times New Roman" w:hAnsi="Times New Roman" w:cs="Times New Roman"/>
          <w:sz w:val="22"/>
        </w:rPr>
      </w:pPr>
    </w:p>
    <w:p w14:paraId="7CE56BCA" w14:textId="77777777" w:rsidR="0061653F" w:rsidRDefault="0061653F" w:rsidP="00A76B6F">
      <w:pPr>
        <w:pStyle w:val="References"/>
        <w:spacing w:line="480" w:lineRule="auto"/>
        <w:ind w:left="0" w:firstLine="0"/>
        <w:outlineLvl w:val="0"/>
        <w:rPr>
          <w:rFonts w:ascii="Times New Roman" w:hAnsi="Times New Roman" w:cs="Times New Roman"/>
          <w:sz w:val="22"/>
        </w:rPr>
      </w:pPr>
    </w:p>
    <w:p w14:paraId="27EF2635" w14:textId="28BBB27F" w:rsidR="0061653F" w:rsidRPr="000342B6" w:rsidRDefault="0061653F" w:rsidP="0061653F">
      <w:pPr>
        <w:pStyle w:val="References"/>
        <w:spacing w:line="480" w:lineRule="auto"/>
        <w:ind w:left="0" w:firstLine="0"/>
        <w:outlineLvl w:val="0"/>
        <w:rPr>
          <w:rFonts w:ascii="Times New Roman" w:hAnsi="Times New Roman" w:cs="Times New Roman"/>
          <w:b/>
          <w:bCs/>
          <w:sz w:val="22"/>
        </w:rPr>
      </w:pPr>
      <w:bookmarkStart w:id="8" w:name="_Toc217054171"/>
      <w:r w:rsidRPr="000342B6">
        <w:rPr>
          <w:rFonts w:ascii="Times New Roman" w:hAnsi="Times New Roman" w:cs="Times New Roman"/>
          <w:b/>
          <w:bCs/>
          <w:sz w:val="22"/>
        </w:rPr>
        <w:lastRenderedPageBreak/>
        <w:t>Sensitivity Analysis</w:t>
      </w:r>
      <w:bookmarkEnd w:id="8"/>
      <w:r w:rsidR="00657BCE">
        <w:rPr>
          <w:rFonts w:ascii="Times New Roman" w:hAnsi="Times New Roman" w:cs="Times New Roman"/>
          <w:b/>
          <w:bCs/>
          <w:sz w:val="22"/>
        </w:rPr>
        <w:t xml:space="preserve"> Using </w:t>
      </w:r>
      <w:r w:rsidR="00657BCE" w:rsidRPr="00657BCE">
        <w:rPr>
          <w:rFonts w:ascii="Times New Roman" w:hAnsi="Times New Roman" w:cs="Times New Roman"/>
          <w:b/>
          <w:bCs/>
          <w:sz w:val="22"/>
        </w:rPr>
        <w:t>&gt;10 parasite per microliter</w:t>
      </w:r>
    </w:p>
    <w:p w14:paraId="766526F7" w14:textId="25E0A0C4" w:rsidR="0061653F" w:rsidRDefault="0061653F" w:rsidP="0061653F">
      <w:pPr>
        <w:pStyle w:val="TableTitles"/>
        <w:outlineLvl w:val="1"/>
        <w:rPr>
          <w:rFonts w:ascii="Times New Roman" w:hAnsi="Times New Roman" w:cs="Times New Roman"/>
          <w:sz w:val="22"/>
        </w:rPr>
      </w:pPr>
      <w:bookmarkStart w:id="9" w:name="_Toc217054172"/>
      <w:r>
        <w:rPr>
          <w:rFonts w:ascii="Times New Roman" w:hAnsi="Times New Roman" w:cs="Times New Roman"/>
          <w:sz w:val="22"/>
        </w:rPr>
        <w:t xml:space="preserve">Table S3. </w:t>
      </w:r>
      <w:r w:rsidRPr="008C629D">
        <w:rPr>
          <w:rFonts w:ascii="Times New Roman" w:hAnsi="Times New Roman" w:cs="Times New Roman"/>
          <w:b w:val="0"/>
          <w:bCs/>
          <w:sz w:val="22"/>
        </w:rPr>
        <w:t>Longitudinal cohort member demographics</w:t>
      </w:r>
      <w:r>
        <w:rPr>
          <w:rFonts w:ascii="Times New Roman" w:hAnsi="Times New Roman" w:cs="Times New Roman"/>
          <w:b w:val="0"/>
          <w:bCs/>
          <w:sz w:val="22"/>
        </w:rPr>
        <w:t xml:space="preserve">, stratified by never and ever positive </w:t>
      </w:r>
      <w:r w:rsidRPr="00103565">
        <w:rPr>
          <w:rFonts w:ascii="Times New Roman" w:hAnsi="Times New Roman" w:cs="Times New Roman"/>
          <w:b w:val="0"/>
          <w:bCs/>
          <w:sz w:val="22"/>
        </w:rPr>
        <w:t>(qPCR positives &gt;10 parasite per microliter)</w:t>
      </w:r>
      <w:bookmarkEnd w:id="9"/>
    </w:p>
    <w:tbl>
      <w:tblPr>
        <w:tblW w:w="10040" w:type="dxa"/>
        <w:tblLook w:val="04A0" w:firstRow="1" w:lastRow="0" w:firstColumn="1" w:lastColumn="0" w:noHBand="0" w:noVBand="1"/>
      </w:tblPr>
      <w:tblGrid>
        <w:gridCol w:w="2780"/>
        <w:gridCol w:w="2020"/>
        <w:gridCol w:w="1980"/>
        <w:gridCol w:w="1960"/>
        <w:gridCol w:w="1300"/>
      </w:tblGrid>
      <w:tr w:rsidR="0061653F" w:rsidRPr="00A4797E" w14:paraId="67CA3948" w14:textId="77777777" w:rsidTr="001D0DAE">
        <w:trPr>
          <w:trHeight w:val="320"/>
        </w:trPr>
        <w:tc>
          <w:tcPr>
            <w:tcW w:w="2780" w:type="dxa"/>
            <w:tcBorders>
              <w:top w:val="single" w:sz="4" w:space="0" w:color="auto"/>
              <w:left w:val="single" w:sz="4" w:space="0" w:color="auto"/>
              <w:bottom w:val="single" w:sz="4" w:space="0" w:color="auto"/>
              <w:right w:val="single" w:sz="4" w:space="0" w:color="auto"/>
            </w:tcBorders>
            <w:vAlign w:val="bottom"/>
            <w:hideMark/>
          </w:tcPr>
          <w:p w14:paraId="2194CC51"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w:t>
            </w:r>
          </w:p>
        </w:tc>
        <w:tc>
          <w:tcPr>
            <w:tcW w:w="2020" w:type="dxa"/>
            <w:tcBorders>
              <w:top w:val="single" w:sz="4" w:space="0" w:color="auto"/>
              <w:left w:val="nil"/>
              <w:bottom w:val="single" w:sz="4" w:space="0" w:color="auto"/>
              <w:right w:val="single" w:sz="4" w:space="0" w:color="auto"/>
            </w:tcBorders>
            <w:noWrap/>
            <w:vAlign w:val="bottom"/>
            <w:hideMark/>
          </w:tcPr>
          <w:p w14:paraId="646EF932"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Overall</w:t>
            </w:r>
          </w:p>
        </w:tc>
        <w:tc>
          <w:tcPr>
            <w:tcW w:w="1980" w:type="dxa"/>
            <w:tcBorders>
              <w:top w:val="single" w:sz="4" w:space="0" w:color="auto"/>
              <w:left w:val="nil"/>
              <w:bottom w:val="single" w:sz="4" w:space="0" w:color="auto"/>
              <w:right w:val="single" w:sz="4" w:space="0" w:color="auto"/>
            </w:tcBorders>
            <w:noWrap/>
            <w:vAlign w:val="bottom"/>
            <w:hideMark/>
          </w:tcPr>
          <w:p w14:paraId="105ACEBB"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Never positive</w:t>
            </w:r>
          </w:p>
        </w:tc>
        <w:tc>
          <w:tcPr>
            <w:tcW w:w="1960" w:type="dxa"/>
            <w:tcBorders>
              <w:top w:val="single" w:sz="4" w:space="0" w:color="auto"/>
              <w:left w:val="nil"/>
              <w:bottom w:val="single" w:sz="4" w:space="0" w:color="auto"/>
              <w:right w:val="single" w:sz="4" w:space="0" w:color="auto"/>
            </w:tcBorders>
            <w:noWrap/>
            <w:vAlign w:val="bottom"/>
            <w:hideMark/>
          </w:tcPr>
          <w:p w14:paraId="06B98E10"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Ever positive</w:t>
            </w:r>
          </w:p>
        </w:tc>
        <w:tc>
          <w:tcPr>
            <w:tcW w:w="1300" w:type="dxa"/>
            <w:tcBorders>
              <w:top w:val="single" w:sz="4" w:space="0" w:color="auto"/>
              <w:left w:val="nil"/>
              <w:bottom w:val="single" w:sz="4" w:space="0" w:color="auto"/>
              <w:right w:val="single" w:sz="4" w:space="0" w:color="auto"/>
            </w:tcBorders>
            <w:noWrap/>
            <w:vAlign w:val="bottom"/>
            <w:hideMark/>
          </w:tcPr>
          <w:p w14:paraId="178BC326"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p</w:t>
            </w:r>
          </w:p>
        </w:tc>
      </w:tr>
      <w:tr w:rsidR="0061653F" w:rsidRPr="00A4797E" w14:paraId="15B7651A"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54046D00"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Individual</w:t>
            </w:r>
          </w:p>
        </w:tc>
        <w:tc>
          <w:tcPr>
            <w:tcW w:w="2020" w:type="dxa"/>
            <w:tcBorders>
              <w:top w:val="nil"/>
              <w:left w:val="nil"/>
              <w:bottom w:val="single" w:sz="4" w:space="0" w:color="auto"/>
              <w:right w:val="single" w:sz="4" w:space="0" w:color="auto"/>
            </w:tcBorders>
            <w:noWrap/>
            <w:vAlign w:val="bottom"/>
            <w:hideMark/>
          </w:tcPr>
          <w:p w14:paraId="48D67DC7"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n=1071</w:t>
            </w:r>
          </w:p>
        </w:tc>
        <w:tc>
          <w:tcPr>
            <w:tcW w:w="1980" w:type="dxa"/>
            <w:tcBorders>
              <w:top w:val="nil"/>
              <w:left w:val="nil"/>
              <w:bottom w:val="single" w:sz="4" w:space="0" w:color="auto"/>
              <w:right w:val="single" w:sz="4" w:space="0" w:color="auto"/>
            </w:tcBorders>
            <w:noWrap/>
            <w:vAlign w:val="bottom"/>
            <w:hideMark/>
          </w:tcPr>
          <w:p w14:paraId="67A420E5"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n=1015</w:t>
            </w:r>
          </w:p>
        </w:tc>
        <w:tc>
          <w:tcPr>
            <w:tcW w:w="1960" w:type="dxa"/>
            <w:tcBorders>
              <w:top w:val="nil"/>
              <w:left w:val="nil"/>
              <w:bottom w:val="single" w:sz="4" w:space="0" w:color="auto"/>
              <w:right w:val="single" w:sz="4" w:space="0" w:color="auto"/>
            </w:tcBorders>
            <w:noWrap/>
            <w:vAlign w:val="bottom"/>
            <w:hideMark/>
          </w:tcPr>
          <w:p w14:paraId="1E8ED6B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n=56</w:t>
            </w:r>
          </w:p>
        </w:tc>
        <w:tc>
          <w:tcPr>
            <w:tcW w:w="1300" w:type="dxa"/>
            <w:tcBorders>
              <w:top w:val="nil"/>
              <w:left w:val="nil"/>
              <w:bottom w:val="single" w:sz="4" w:space="0" w:color="auto"/>
              <w:right w:val="single" w:sz="4" w:space="0" w:color="auto"/>
            </w:tcBorders>
            <w:noWrap/>
            <w:vAlign w:val="bottom"/>
            <w:hideMark/>
          </w:tcPr>
          <w:p w14:paraId="68D02F67"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w:t>
            </w:r>
          </w:p>
        </w:tc>
      </w:tr>
      <w:tr w:rsidR="0061653F" w:rsidRPr="00A4797E" w14:paraId="078B3CEC"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37AE5264"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Number of follow-up visits (median [IQR])</w:t>
            </w:r>
          </w:p>
        </w:tc>
        <w:tc>
          <w:tcPr>
            <w:tcW w:w="2020" w:type="dxa"/>
            <w:tcBorders>
              <w:top w:val="nil"/>
              <w:left w:val="nil"/>
              <w:bottom w:val="single" w:sz="4" w:space="0" w:color="auto"/>
              <w:right w:val="single" w:sz="4" w:space="0" w:color="auto"/>
            </w:tcBorders>
            <w:noWrap/>
            <w:vAlign w:val="bottom"/>
            <w:hideMark/>
          </w:tcPr>
          <w:p w14:paraId="359B85CB"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9.42 (7.10)</w:t>
            </w:r>
          </w:p>
        </w:tc>
        <w:tc>
          <w:tcPr>
            <w:tcW w:w="1980" w:type="dxa"/>
            <w:tcBorders>
              <w:top w:val="nil"/>
              <w:left w:val="nil"/>
              <w:bottom w:val="single" w:sz="4" w:space="0" w:color="auto"/>
              <w:right w:val="single" w:sz="4" w:space="0" w:color="auto"/>
            </w:tcBorders>
            <w:noWrap/>
            <w:vAlign w:val="bottom"/>
            <w:hideMark/>
          </w:tcPr>
          <w:p w14:paraId="2A6890D1"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9.10 (7.06)</w:t>
            </w:r>
          </w:p>
        </w:tc>
        <w:tc>
          <w:tcPr>
            <w:tcW w:w="1960" w:type="dxa"/>
            <w:tcBorders>
              <w:top w:val="nil"/>
              <w:left w:val="nil"/>
              <w:bottom w:val="single" w:sz="4" w:space="0" w:color="auto"/>
              <w:right w:val="single" w:sz="4" w:space="0" w:color="auto"/>
            </w:tcBorders>
            <w:noWrap/>
            <w:vAlign w:val="bottom"/>
            <w:hideMark/>
          </w:tcPr>
          <w:p w14:paraId="08887420"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15.20 (5.15)</w:t>
            </w:r>
          </w:p>
        </w:tc>
        <w:tc>
          <w:tcPr>
            <w:tcW w:w="1300" w:type="dxa"/>
            <w:tcBorders>
              <w:top w:val="nil"/>
              <w:left w:val="nil"/>
              <w:bottom w:val="single" w:sz="4" w:space="0" w:color="auto"/>
              <w:right w:val="single" w:sz="4" w:space="0" w:color="auto"/>
            </w:tcBorders>
            <w:noWrap/>
            <w:vAlign w:val="bottom"/>
            <w:hideMark/>
          </w:tcPr>
          <w:p w14:paraId="75DBAD10"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&lt;0.001</w:t>
            </w:r>
          </w:p>
        </w:tc>
      </w:tr>
      <w:tr w:rsidR="0061653F" w:rsidRPr="00A4797E" w14:paraId="4AD4AE38"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03ACD1D3"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Age (years) (median [IQR])</w:t>
            </w:r>
          </w:p>
        </w:tc>
        <w:tc>
          <w:tcPr>
            <w:tcW w:w="2020" w:type="dxa"/>
            <w:tcBorders>
              <w:top w:val="nil"/>
              <w:left w:val="nil"/>
              <w:bottom w:val="single" w:sz="4" w:space="0" w:color="auto"/>
              <w:right w:val="single" w:sz="4" w:space="0" w:color="auto"/>
            </w:tcBorders>
            <w:noWrap/>
            <w:vAlign w:val="bottom"/>
            <w:hideMark/>
          </w:tcPr>
          <w:p w14:paraId="17FA45F3"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16.00 [8.00, 28.00]</w:t>
            </w:r>
          </w:p>
        </w:tc>
        <w:tc>
          <w:tcPr>
            <w:tcW w:w="1980" w:type="dxa"/>
            <w:tcBorders>
              <w:top w:val="nil"/>
              <w:left w:val="nil"/>
              <w:bottom w:val="single" w:sz="4" w:space="0" w:color="auto"/>
              <w:right w:val="single" w:sz="4" w:space="0" w:color="auto"/>
            </w:tcBorders>
            <w:noWrap/>
            <w:vAlign w:val="bottom"/>
            <w:hideMark/>
          </w:tcPr>
          <w:p w14:paraId="775A3AE3"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16.00 [9.00, 28.00]</w:t>
            </w:r>
          </w:p>
        </w:tc>
        <w:tc>
          <w:tcPr>
            <w:tcW w:w="1960" w:type="dxa"/>
            <w:tcBorders>
              <w:top w:val="nil"/>
              <w:left w:val="nil"/>
              <w:bottom w:val="single" w:sz="4" w:space="0" w:color="auto"/>
              <w:right w:val="single" w:sz="4" w:space="0" w:color="auto"/>
            </w:tcBorders>
            <w:noWrap/>
            <w:vAlign w:val="bottom"/>
            <w:hideMark/>
          </w:tcPr>
          <w:p w14:paraId="5B921ED5"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12.00 [7.00, 21.50]</w:t>
            </w:r>
          </w:p>
        </w:tc>
        <w:tc>
          <w:tcPr>
            <w:tcW w:w="1300" w:type="dxa"/>
            <w:tcBorders>
              <w:top w:val="nil"/>
              <w:left w:val="nil"/>
              <w:bottom w:val="single" w:sz="4" w:space="0" w:color="auto"/>
              <w:right w:val="single" w:sz="4" w:space="0" w:color="auto"/>
            </w:tcBorders>
            <w:noWrap/>
            <w:vAlign w:val="bottom"/>
            <w:hideMark/>
          </w:tcPr>
          <w:p w14:paraId="0FB5C1B3"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0.043</w:t>
            </w:r>
          </w:p>
        </w:tc>
      </w:tr>
      <w:tr w:rsidR="0061653F" w:rsidRPr="00A4797E" w14:paraId="3E0C25EE"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5C2C6B0A"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Female sex (n, %)</w:t>
            </w:r>
          </w:p>
        </w:tc>
        <w:tc>
          <w:tcPr>
            <w:tcW w:w="2020" w:type="dxa"/>
            <w:tcBorders>
              <w:top w:val="nil"/>
              <w:left w:val="nil"/>
              <w:bottom w:val="single" w:sz="4" w:space="0" w:color="auto"/>
              <w:right w:val="single" w:sz="4" w:space="0" w:color="auto"/>
            </w:tcBorders>
            <w:noWrap/>
            <w:vAlign w:val="bottom"/>
            <w:hideMark/>
          </w:tcPr>
          <w:p w14:paraId="2F135086"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133 (57.6) </w:t>
            </w:r>
          </w:p>
        </w:tc>
        <w:tc>
          <w:tcPr>
            <w:tcW w:w="1980" w:type="dxa"/>
            <w:tcBorders>
              <w:top w:val="nil"/>
              <w:left w:val="nil"/>
              <w:bottom w:val="single" w:sz="4" w:space="0" w:color="auto"/>
              <w:right w:val="single" w:sz="4" w:space="0" w:color="auto"/>
            </w:tcBorders>
            <w:noWrap/>
            <w:vAlign w:val="bottom"/>
            <w:hideMark/>
          </w:tcPr>
          <w:p w14:paraId="1305021E"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128 (57.7) </w:t>
            </w:r>
          </w:p>
        </w:tc>
        <w:tc>
          <w:tcPr>
            <w:tcW w:w="1960" w:type="dxa"/>
            <w:tcBorders>
              <w:top w:val="nil"/>
              <w:left w:val="nil"/>
              <w:bottom w:val="single" w:sz="4" w:space="0" w:color="auto"/>
              <w:right w:val="single" w:sz="4" w:space="0" w:color="auto"/>
            </w:tcBorders>
            <w:noWrap/>
            <w:vAlign w:val="bottom"/>
            <w:hideMark/>
          </w:tcPr>
          <w:p w14:paraId="422EFFC8"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5 (55.6) </w:t>
            </w:r>
          </w:p>
        </w:tc>
        <w:tc>
          <w:tcPr>
            <w:tcW w:w="1300" w:type="dxa"/>
            <w:tcBorders>
              <w:top w:val="nil"/>
              <w:left w:val="nil"/>
              <w:bottom w:val="single" w:sz="4" w:space="0" w:color="auto"/>
              <w:right w:val="single" w:sz="4" w:space="0" w:color="auto"/>
            </w:tcBorders>
            <w:noWrap/>
            <w:vAlign w:val="bottom"/>
            <w:hideMark/>
          </w:tcPr>
          <w:p w14:paraId="20176F0E"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1</w:t>
            </w:r>
          </w:p>
        </w:tc>
      </w:tr>
      <w:tr w:rsidR="0061653F" w:rsidRPr="00A4797E" w14:paraId="0D39F4BD"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7317FDFD"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Visitor (n, %)</w:t>
            </w:r>
          </w:p>
        </w:tc>
        <w:tc>
          <w:tcPr>
            <w:tcW w:w="2020" w:type="dxa"/>
            <w:tcBorders>
              <w:top w:val="nil"/>
              <w:left w:val="nil"/>
              <w:bottom w:val="single" w:sz="4" w:space="0" w:color="auto"/>
              <w:right w:val="single" w:sz="4" w:space="0" w:color="auto"/>
            </w:tcBorders>
            <w:noWrap/>
            <w:vAlign w:val="bottom"/>
            <w:hideMark/>
          </w:tcPr>
          <w:p w14:paraId="7A77CDA4"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149 (14.9) </w:t>
            </w:r>
          </w:p>
        </w:tc>
        <w:tc>
          <w:tcPr>
            <w:tcW w:w="1980" w:type="dxa"/>
            <w:tcBorders>
              <w:top w:val="nil"/>
              <w:left w:val="nil"/>
              <w:bottom w:val="single" w:sz="4" w:space="0" w:color="auto"/>
              <w:right w:val="single" w:sz="4" w:space="0" w:color="auto"/>
            </w:tcBorders>
            <w:noWrap/>
            <w:vAlign w:val="bottom"/>
            <w:hideMark/>
          </w:tcPr>
          <w:p w14:paraId="6118FAC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147 (15.6) </w:t>
            </w:r>
          </w:p>
        </w:tc>
        <w:tc>
          <w:tcPr>
            <w:tcW w:w="1960" w:type="dxa"/>
            <w:tcBorders>
              <w:top w:val="nil"/>
              <w:left w:val="nil"/>
              <w:bottom w:val="single" w:sz="4" w:space="0" w:color="auto"/>
              <w:right w:val="single" w:sz="4" w:space="0" w:color="auto"/>
            </w:tcBorders>
            <w:noWrap/>
            <w:vAlign w:val="bottom"/>
            <w:hideMark/>
          </w:tcPr>
          <w:p w14:paraId="165A4572"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2 ( 3.6) </w:t>
            </w:r>
          </w:p>
        </w:tc>
        <w:tc>
          <w:tcPr>
            <w:tcW w:w="1300" w:type="dxa"/>
            <w:tcBorders>
              <w:top w:val="nil"/>
              <w:left w:val="nil"/>
              <w:bottom w:val="single" w:sz="4" w:space="0" w:color="auto"/>
              <w:right w:val="single" w:sz="4" w:space="0" w:color="auto"/>
            </w:tcBorders>
            <w:noWrap/>
            <w:vAlign w:val="bottom"/>
            <w:hideMark/>
          </w:tcPr>
          <w:p w14:paraId="2026D805"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0.027</w:t>
            </w:r>
          </w:p>
        </w:tc>
      </w:tr>
      <w:tr w:rsidR="0061653F" w:rsidRPr="00A4797E" w14:paraId="1BD58609"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036E9DA0"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Years of education (median [IQR])</w:t>
            </w:r>
          </w:p>
        </w:tc>
        <w:tc>
          <w:tcPr>
            <w:tcW w:w="2020" w:type="dxa"/>
            <w:tcBorders>
              <w:top w:val="nil"/>
              <w:left w:val="nil"/>
              <w:bottom w:val="single" w:sz="4" w:space="0" w:color="auto"/>
              <w:right w:val="single" w:sz="4" w:space="0" w:color="auto"/>
            </w:tcBorders>
            <w:noWrap/>
            <w:vAlign w:val="bottom"/>
            <w:hideMark/>
          </w:tcPr>
          <w:p w14:paraId="45A1C7F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6.17 (4.45)</w:t>
            </w:r>
          </w:p>
        </w:tc>
        <w:tc>
          <w:tcPr>
            <w:tcW w:w="1980" w:type="dxa"/>
            <w:tcBorders>
              <w:top w:val="nil"/>
              <w:left w:val="nil"/>
              <w:bottom w:val="single" w:sz="4" w:space="0" w:color="auto"/>
              <w:right w:val="single" w:sz="4" w:space="0" w:color="auto"/>
            </w:tcBorders>
            <w:noWrap/>
            <w:vAlign w:val="bottom"/>
            <w:hideMark/>
          </w:tcPr>
          <w:p w14:paraId="6A81E59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6.23 (4.44)</w:t>
            </w:r>
          </w:p>
        </w:tc>
        <w:tc>
          <w:tcPr>
            <w:tcW w:w="1960" w:type="dxa"/>
            <w:tcBorders>
              <w:top w:val="nil"/>
              <w:left w:val="nil"/>
              <w:bottom w:val="single" w:sz="4" w:space="0" w:color="auto"/>
              <w:right w:val="single" w:sz="4" w:space="0" w:color="auto"/>
            </w:tcBorders>
            <w:noWrap/>
            <w:vAlign w:val="bottom"/>
            <w:hideMark/>
          </w:tcPr>
          <w:p w14:paraId="1452946D"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5.09 (4.44)</w:t>
            </w:r>
          </w:p>
        </w:tc>
        <w:tc>
          <w:tcPr>
            <w:tcW w:w="1300" w:type="dxa"/>
            <w:tcBorders>
              <w:top w:val="nil"/>
              <w:left w:val="nil"/>
              <w:bottom w:val="single" w:sz="4" w:space="0" w:color="auto"/>
              <w:right w:val="single" w:sz="4" w:space="0" w:color="auto"/>
            </w:tcBorders>
            <w:noWrap/>
            <w:vAlign w:val="bottom"/>
            <w:hideMark/>
          </w:tcPr>
          <w:p w14:paraId="3F14CBA6"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0.068</w:t>
            </w:r>
          </w:p>
        </w:tc>
      </w:tr>
      <w:tr w:rsidR="0061653F" w:rsidRPr="00A4797E" w14:paraId="7446E74B"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6983BBDE"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Ever employed (n, %)</w:t>
            </w:r>
          </w:p>
        </w:tc>
        <w:tc>
          <w:tcPr>
            <w:tcW w:w="2020" w:type="dxa"/>
            <w:tcBorders>
              <w:top w:val="nil"/>
              <w:left w:val="nil"/>
              <w:bottom w:val="single" w:sz="4" w:space="0" w:color="auto"/>
              <w:right w:val="single" w:sz="4" w:space="0" w:color="auto"/>
            </w:tcBorders>
            <w:noWrap/>
            <w:vAlign w:val="bottom"/>
            <w:hideMark/>
          </w:tcPr>
          <w:p w14:paraId="7DCB211D"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369 (34.5) </w:t>
            </w:r>
          </w:p>
        </w:tc>
        <w:tc>
          <w:tcPr>
            <w:tcW w:w="1980" w:type="dxa"/>
            <w:tcBorders>
              <w:top w:val="nil"/>
              <w:left w:val="nil"/>
              <w:bottom w:val="single" w:sz="4" w:space="0" w:color="auto"/>
              <w:right w:val="single" w:sz="4" w:space="0" w:color="auto"/>
            </w:tcBorders>
            <w:noWrap/>
            <w:vAlign w:val="bottom"/>
            <w:hideMark/>
          </w:tcPr>
          <w:p w14:paraId="74C26432"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349 (34.4) </w:t>
            </w:r>
          </w:p>
        </w:tc>
        <w:tc>
          <w:tcPr>
            <w:tcW w:w="1960" w:type="dxa"/>
            <w:tcBorders>
              <w:top w:val="nil"/>
              <w:left w:val="nil"/>
              <w:bottom w:val="single" w:sz="4" w:space="0" w:color="auto"/>
              <w:right w:val="single" w:sz="4" w:space="0" w:color="auto"/>
            </w:tcBorders>
            <w:noWrap/>
            <w:vAlign w:val="bottom"/>
            <w:hideMark/>
          </w:tcPr>
          <w:p w14:paraId="608ACC5F"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20 (35.7) </w:t>
            </w:r>
          </w:p>
        </w:tc>
        <w:tc>
          <w:tcPr>
            <w:tcW w:w="1300" w:type="dxa"/>
            <w:tcBorders>
              <w:top w:val="nil"/>
              <w:left w:val="nil"/>
              <w:bottom w:val="single" w:sz="4" w:space="0" w:color="auto"/>
              <w:right w:val="single" w:sz="4" w:space="0" w:color="auto"/>
            </w:tcBorders>
            <w:noWrap/>
            <w:vAlign w:val="bottom"/>
            <w:hideMark/>
          </w:tcPr>
          <w:p w14:paraId="47CF3C3E"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0.953</w:t>
            </w:r>
          </w:p>
        </w:tc>
      </w:tr>
      <w:tr w:rsidR="0061653F" w:rsidRPr="00A4797E" w14:paraId="0031F5E2" w14:textId="77777777" w:rsidTr="001D0DAE">
        <w:trPr>
          <w:trHeight w:val="320"/>
        </w:trPr>
        <w:tc>
          <w:tcPr>
            <w:tcW w:w="2780" w:type="dxa"/>
            <w:tcBorders>
              <w:top w:val="nil"/>
              <w:left w:val="single" w:sz="4" w:space="0" w:color="auto"/>
              <w:bottom w:val="single" w:sz="4" w:space="0" w:color="auto"/>
              <w:right w:val="single" w:sz="4" w:space="0" w:color="auto"/>
            </w:tcBorders>
            <w:vAlign w:val="bottom"/>
            <w:hideMark/>
          </w:tcPr>
          <w:p w14:paraId="5F24211B"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Ever travelled (n, %)</w:t>
            </w:r>
          </w:p>
        </w:tc>
        <w:tc>
          <w:tcPr>
            <w:tcW w:w="2020" w:type="dxa"/>
            <w:tcBorders>
              <w:top w:val="nil"/>
              <w:left w:val="nil"/>
              <w:bottom w:val="single" w:sz="4" w:space="0" w:color="auto"/>
              <w:right w:val="single" w:sz="4" w:space="0" w:color="auto"/>
            </w:tcBorders>
            <w:noWrap/>
            <w:vAlign w:val="bottom"/>
            <w:hideMark/>
          </w:tcPr>
          <w:p w14:paraId="0816E234"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572 (53.4) </w:t>
            </w:r>
          </w:p>
        </w:tc>
        <w:tc>
          <w:tcPr>
            <w:tcW w:w="1980" w:type="dxa"/>
            <w:tcBorders>
              <w:top w:val="nil"/>
              <w:left w:val="nil"/>
              <w:bottom w:val="single" w:sz="4" w:space="0" w:color="auto"/>
              <w:right w:val="single" w:sz="4" w:space="0" w:color="auto"/>
            </w:tcBorders>
            <w:noWrap/>
            <w:vAlign w:val="bottom"/>
            <w:hideMark/>
          </w:tcPr>
          <w:p w14:paraId="70F08CC0"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537 (52.9) </w:t>
            </w:r>
          </w:p>
        </w:tc>
        <w:tc>
          <w:tcPr>
            <w:tcW w:w="1960" w:type="dxa"/>
            <w:tcBorders>
              <w:top w:val="nil"/>
              <w:left w:val="nil"/>
              <w:bottom w:val="single" w:sz="4" w:space="0" w:color="auto"/>
              <w:right w:val="single" w:sz="4" w:space="0" w:color="auto"/>
            </w:tcBorders>
            <w:noWrap/>
            <w:vAlign w:val="bottom"/>
            <w:hideMark/>
          </w:tcPr>
          <w:p w14:paraId="575493DD"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35 (62.5) </w:t>
            </w:r>
          </w:p>
        </w:tc>
        <w:tc>
          <w:tcPr>
            <w:tcW w:w="1300" w:type="dxa"/>
            <w:tcBorders>
              <w:top w:val="nil"/>
              <w:left w:val="nil"/>
              <w:bottom w:val="single" w:sz="4" w:space="0" w:color="auto"/>
              <w:right w:val="single" w:sz="4" w:space="0" w:color="auto"/>
            </w:tcBorders>
            <w:noWrap/>
            <w:vAlign w:val="bottom"/>
            <w:hideMark/>
          </w:tcPr>
          <w:p w14:paraId="62B977B3"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0.206</w:t>
            </w:r>
          </w:p>
        </w:tc>
      </w:tr>
      <w:tr w:rsidR="0061653F" w:rsidRPr="00A4797E" w14:paraId="7790174F"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17B28924"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nights using </w:t>
            </w:r>
            <w:proofErr w:type="spellStart"/>
            <w:r w:rsidRPr="00A4797E">
              <w:rPr>
                <w:rFonts w:ascii="Times New Roman" w:eastAsia="Times New Roman" w:hAnsi="Times New Roman" w:cs="Times New Roman"/>
                <w:color w:val="000000"/>
                <w:szCs w:val="20"/>
              </w:rPr>
              <w:t>bednet</w:t>
            </w:r>
            <w:proofErr w:type="spellEnd"/>
            <w:r w:rsidRPr="00A4797E">
              <w:rPr>
                <w:rFonts w:ascii="Times New Roman" w:eastAsia="Times New Roman" w:hAnsi="Times New Roman" w:cs="Times New Roman"/>
                <w:color w:val="000000"/>
                <w:szCs w:val="20"/>
              </w:rPr>
              <w:t xml:space="preserve"> (mean (SD))</w:t>
            </w:r>
          </w:p>
        </w:tc>
        <w:tc>
          <w:tcPr>
            <w:tcW w:w="2020" w:type="dxa"/>
            <w:tcBorders>
              <w:top w:val="nil"/>
              <w:left w:val="nil"/>
              <w:bottom w:val="single" w:sz="4" w:space="0" w:color="auto"/>
              <w:right w:val="single" w:sz="4" w:space="0" w:color="auto"/>
            </w:tcBorders>
            <w:noWrap/>
            <w:vAlign w:val="bottom"/>
            <w:hideMark/>
          </w:tcPr>
          <w:p w14:paraId="3743D9B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0.34 (0.37)</w:t>
            </w:r>
          </w:p>
        </w:tc>
        <w:tc>
          <w:tcPr>
            <w:tcW w:w="1980" w:type="dxa"/>
            <w:tcBorders>
              <w:top w:val="nil"/>
              <w:left w:val="nil"/>
              <w:bottom w:val="single" w:sz="4" w:space="0" w:color="auto"/>
              <w:right w:val="single" w:sz="4" w:space="0" w:color="auto"/>
            </w:tcBorders>
            <w:noWrap/>
            <w:vAlign w:val="bottom"/>
            <w:hideMark/>
          </w:tcPr>
          <w:p w14:paraId="4104D73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0.34 (0.37)</w:t>
            </w:r>
          </w:p>
        </w:tc>
        <w:tc>
          <w:tcPr>
            <w:tcW w:w="1960" w:type="dxa"/>
            <w:tcBorders>
              <w:top w:val="nil"/>
              <w:left w:val="nil"/>
              <w:bottom w:val="single" w:sz="4" w:space="0" w:color="auto"/>
              <w:right w:val="single" w:sz="4" w:space="0" w:color="auto"/>
            </w:tcBorders>
            <w:noWrap/>
            <w:vAlign w:val="bottom"/>
            <w:hideMark/>
          </w:tcPr>
          <w:p w14:paraId="71C16E2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0.37 (0.35)</w:t>
            </w:r>
          </w:p>
        </w:tc>
        <w:tc>
          <w:tcPr>
            <w:tcW w:w="1300" w:type="dxa"/>
            <w:tcBorders>
              <w:top w:val="nil"/>
              <w:left w:val="nil"/>
              <w:bottom w:val="single" w:sz="4" w:space="0" w:color="auto"/>
              <w:right w:val="single" w:sz="4" w:space="0" w:color="auto"/>
            </w:tcBorders>
            <w:noWrap/>
            <w:vAlign w:val="bottom"/>
            <w:hideMark/>
          </w:tcPr>
          <w:p w14:paraId="24AC0D8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0.562</w:t>
            </w:r>
          </w:p>
        </w:tc>
      </w:tr>
      <w:tr w:rsidR="0061653F" w:rsidRPr="00A4797E" w14:paraId="7A93195D" w14:textId="77777777" w:rsidTr="001D0DAE">
        <w:trPr>
          <w:trHeight w:val="320"/>
        </w:trPr>
        <w:tc>
          <w:tcPr>
            <w:tcW w:w="2780" w:type="dxa"/>
            <w:tcBorders>
              <w:top w:val="nil"/>
              <w:left w:val="single" w:sz="4" w:space="0" w:color="auto"/>
              <w:bottom w:val="single" w:sz="4" w:space="0" w:color="auto"/>
              <w:right w:val="single" w:sz="4" w:space="0" w:color="auto"/>
            </w:tcBorders>
            <w:shd w:val="clear" w:color="000000" w:fill="E7E6E6"/>
            <w:vAlign w:val="bottom"/>
            <w:hideMark/>
          </w:tcPr>
          <w:p w14:paraId="6DDB2A08"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Household</w:t>
            </w:r>
          </w:p>
        </w:tc>
        <w:tc>
          <w:tcPr>
            <w:tcW w:w="2020" w:type="dxa"/>
            <w:tcBorders>
              <w:top w:val="nil"/>
              <w:left w:val="nil"/>
              <w:bottom w:val="single" w:sz="4" w:space="0" w:color="auto"/>
              <w:right w:val="single" w:sz="4" w:space="0" w:color="auto"/>
            </w:tcBorders>
            <w:shd w:val="clear" w:color="000000" w:fill="E7E6E6"/>
            <w:noWrap/>
            <w:vAlign w:val="bottom"/>
            <w:hideMark/>
          </w:tcPr>
          <w:p w14:paraId="0BE86A53"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w:t>
            </w:r>
            <w:r>
              <w:rPr>
                <w:rFonts w:ascii="Times New Roman" w:eastAsia="Times New Roman" w:hAnsi="Times New Roman" w:cs="Times New Roman"/>
                <w:color w:val="000000"/>
                <w:szCs w:val="20"/>
              </w:rPr>
              <w:t>201</w:t>
            </w:r>
          </w:p>
        </w:tc>
        <w:tc>
          <w:tcPr>
            <w:tcW w:w="1980" w:type="dxa"/>
            <w:tcBorders>
              <w:top w:val="nil"/>
              <w:left w:val="nil"/>
              <w:bottom w:val="single" w:sz="4" w:space="0" w:color="auto"/>
              <w:right w:val="single" w:sz="4" w:space="0" w:color="auto"/>
            </w:tcBorders>
            <w:shd w:val="clear" w:color="000000" w:fill="E7E6E6"/>
            <w:noWrap/>
            <w:vAlign w:val="bottom"/>
            <w:hideMark/>
          </w:tcPr>
          <w:p w14:paraId="6E43978A"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n=80</w:t>
            </w:r>
          </w:p>
        </w:tc>
        <w:tc>
          <w:tcPr>
            <w:tcW w:w="1960" w:type="dxa"/>
            <w:tcBorders>
              <w:top w:val="nil"/>
              <w:left w:val="nil"/>
              <w:bottom w:val="single" w:sz="4" w:space="0" w:color="auto"/>
              <w:right w:val="single" w:sz="4" w:space="0" w:color="auto"/>
            </w:tcBorders>
            <w:shd w:val="clear" w:color="000000" w:fill="E7E6E6"/>
            <w:noWrap/>
            <w:vAlign w:val="bottom"/>
            <w:hideMark/>
          </w:tcPr>
          <w:p w14:paraId="32197B7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n=87</w:t>
            </w:r>
          </w:p>
        </w:tc>
        <w:tc>
          <w:tcPr>
            <w:tcW w:w="1300" w:type="dxa"/>
            <w:tcBorders>
              <w:top w:val="nil"/>
              <w:left w:val="nil"/>
              <w:bottom w:val="single" w:sz="4" w:space="0" w:color="auto"/>
              <w:right w:val="single" w:sz="4" w:space="0" w:color="auto"/>
            </w:tcBorders>
            <w:shd w:val="clear" w:color="000000" w:fill="E7E6E6"/>
            <w:noWrap/>
            <w:vAlign w:val="bottom"/>
            <w:hideMark/>
          </w:tcPr>
          <w:p w14:paraId="16A2B1FE"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w:t>
            </w:r>
          </w:p>
        </w:tc>
      </w:tr>
      <w:tr w:rsidR="0061653F" w:rsidRPr="00A4797E" w14:paraId="18118E39" w14:textId="77777777" w:rsidTr="001D0DAE">
        <w:trPr>
          <w:trHeight w:val="269"/>
        </w:trPr>
        <w:tc>
          <w:tcPr>
            <w:tcW w:w="2780" w:type="dxa"/>
            <w:tcBorders>
              <w:top w:val="nil"/>
              <w:left w:val="single" w:sz="4" w:space="0" w:color="auto"/>
              <w:bottom w:val="single" w:sz="4" w:space="0" w:color="auto"/>
              <w:right w:val="single" w:sz="4" w:space="0" w:color="auto"/>
            </w:tcBorders>
            <w:vAlign w:val="bottom"/>
            <w:hideMark/>
          </w:tcPr>
          <w:p w14:paraId="7840F88C"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Household size (median [IQR])</w:t>
            </w:r>
          </w:p>
        </w:tc>
        <w:tc>
          <w:tcPr>
            <w:tcW w:w="2020" w:type="dxa"/>
            <w:tcBorders>
              <w:top w:val="nil"/>
              <w:left w:val="nil"/>
              <w:bottom w:val="single" w:sz="4" w:space="0" w:color="auto"/>
              <w:right w:val="single" w:sz="4" w:space="0" w:color="auto"/>
            </w:tcBorders>
            <w:noWrap/>
            <w:vAlign w:val="bottom"/>
            <w:hideMark/>
          </w:tcPr>
          <w:p w14:paraId="6F8C051F" w14:textId="77777777" w:rsidR="0061653F" w:rsidRPr="00A7025A" w:rsidRDefault="0061653F" w:rsidP="001D0DAE">
            <w:pPr>
              <w:spacing w:after="0" w:line="240" w:lineRule="auto"/>
              <w:rPr>
                <w:rFonts w:ascii="Times New Roman" w:eastAsia="Times New Roman" w:hAnsi="Times New Roman" w:cs="Times New Roman"/>
                <w:color w:val="000000"/>
                <w:szCs w:val="20"/>
              </w:rPr>
            </w:pPr>
            <w:r w:rsidRPr="00A7025A">
              <w:rPr>
                <w:rFonts w:ascii="Times New Roman" w:eastAsia="Times New Roman" w:hAnsi="Times New Roman" w:cs="Times New Roman"/>
                <w:color w:val="000000"/>
                <w:szCs w:val="20"/>
              </w:rPr>
              <w:t>5.00 [3.00, 7.00]</w:t>
            </w:r>
          </w:p>
        </w:tc>
        <w:tc>
          <w:tcPr>
            <w:tcW w:w="1980" w:type="dxa"/>
            <w:tcBorders>
              <w:top w:val="nil"/>
              <w:left w:val="nil"/>
              <w:bottom w:val="single" w:sz="4" w:space="0" w:color="auto"/>
              <w:right w:val="single" w:sz="4" w:space="0" w:color="auto"/>
            </w:tcBorders>
            <w:noWrap/>
            <w:vAlign w:val="bottom"/>
            <w:hideMark/>
          </w:tcPr>
          <w:p w14:paraId="69AD769D" w14:textId="77777777" w:rsidR="0061653F" w:rsidRPr="00A7025A" w:rsidRDefault="0061653F" w:rsidP="001D0DAE">
            <w:pPr>
              <w:jc w:val="right"/>
              <w:rPr>
                <w:rFonts w:ascii="Times New Roman" w:eastAsia="Times New Roman" w:hAnsi="Times New Roman" w:cs="Times New Roman"/>
                <w:color w:val="000000"/>
                <w:szCs w:val="20"/>
              </w:rPr>
            </w:pPr>
            <w:r w:rsidRPr="00A7025A">
              <w:rPr>
                <w:rFonts w:ascii="Times New Roman" w:eastAsia="Times New Roman" w:hAnsi="Times New Roman" w:cs="Times New Roman"/>
                <w:color w:val="000000"/>
                <w:szCs w:val="20"/>
              </w:rPr>
              <w:t>3.00 [2.00, 6.00]</w:t>
            </w:r>
          </w:p>
        </w:tc>
        <w:tc>
          <w:tcPr>
            <w:tcW w:w="1960" w:type="dxa"/>
            <w:tcBorders>
              <w:top w:val="nil"/>
              <w:left w:val="nil"/>
              <w:bottom w:val="single" w:sz="4" w:space="0" w:color="auto"/>
              <w:right w:val="single" w:sz="4" w:space="0" w:color="auto"/>
            </w:tcBorders>
            <w:noWrap/>
            <w:vAlign w:val="bottom"/>
            <w:hideMark/>
          </w:tcPr>
          <w:p w14:paraId="3EAC44B8" w14:textId="77777777" w:rsidR="0061653F" w:rsidRPr="00A7025A" w:rsidRDefault="0061653F" w:rsidP="001D0DAE">
            <w:pPr>
              <w:jc w:val="right"/>
              <w:rPr>
                <w:rFonts w:ascii="Times New Roman" w:eastAsia="Times New Roman" w:hAnsi="Times New Roman" w:cs="Times New Roman"/>
                <w:color w:val="000000"/>
                <w:szCs w:val="20"/>
              </w:rPr>
            </w:pPr>
            <w:r w:rsidRPr="00A7025A">
              <w:rPr>
                <w:rFonts w:ascii="Times New Roman" w:eastAsia="Times New Roman" w:hAnsi="Times New Roman" w:cs="Times New Roman"/>
                <w:color w:val="000000"/>
                <w:szCs w:val="20"/>
              </w:rPr>
              <w:t>6.00 [4.00, 8.00]</w:t>
            </w:r>
          </w:p>
        </w:tc>
        <w:tc>
          <w:tcPr>
            <w:tcW w:w="1300" w:type="dxa"/>
            <w:tcBorders>
              <w:top w:val="nil"/>
              <w:left w:val="nil"/>
              <w:bottom w:val="single" w:sz="4" w:space="0" w:color="auto"/>
              <w:right w:val="single" w:sz="4" w:space="0" w:color="auto"/>
            </w:tcBorders>
            <w:noWrap/>
            <w:vAlign w:val="bottom"/>
            <w:hideMark/>
          </w:tcPr>
          <w:p w14:paraId="71D51EF5" w14:textId="77777777" w:rsidR="0061653F" w:rsidRPr="00A7025A" w:rsidRDefault="0061653F" w:rsidP="001D0DAE">
            <w:pPr>
              <w:jc w:val="right"/>
              <w:rPr>
                <w:rFonts w:ascii="Times New Roman" w:eastAsia="Times New Roman" w:hAnsi="Times New Roman" w:cs="Times New Roman"/>
                <w:color w:val="000000"/>
                <w:szCs w:val="20"/>
              </w:rPr>
            </w:pPr>
            <w:r w:rsidRPr="00A7025A">
              <w:rPr>
                <w:rFonts w:ascii="Times New Roman" w:eastAsia="Times New Roman" w:hAnsi="Times New Roman" w:cs="Times New Roman"/>
                <w:color w:val="000000"/>
                <w:szCs w:val="20"/>
              </w:rPr>
              <w:t>&lt;0.001</w:t>
            </w:r>
          </w:p>
        </w:tc>
      </w:tr>
      <w:tr w:rsidR="0061653F" w:rsidRPr="00A4797E" w14:paraId="649DF6A8"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7489E5DD"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Household has at least one ITN (n, %)</w:t>
            </w:r>
          </w:p>
        </w:tc>
        <w:tc>
          <w:tcPr>
            <w:tcW w:w="2020" w:type="dxa"/>
            <w:tcBorders>
              <w:top w:val="nil"/>
              <w:left w:val="nil"/>
              <w:bottom w:val="single" w:sz="4" w:space="0" w:color="auto"/>
              <w:right w:val="single" w:sz="4" w:space="0" w:color="auto"/>
            </w:tcBorders>
            <w:noWrap/>
            <w:vAlign w:val="bottom"/>
            <w:hideMark/>
          </w:tcPr>
          <w:p w14:paraId="6944423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131 (76.6) </w:t>
            </w:r>
          </w:p>
        </w:tc>
        <w:tc>
          <w:tcPr>
            <w:tcW w:w="1980" w:type="dxa"/>
            <w:tcBorders>
              <w:top w:val="nil"/>
              <w:left w:val="nil"/>
              <w:bottom w:val="single" w:sz="4" w:space="0" w:color="auto"/>
              <w:right w:val="single" w:sz="4" w:space="0" w:color="auto"/>
            </w:tcBorders>
            <w:noWrap/>
            <w:vAlign w:val="bottom"/>
            <w:hideMark/>
          </w:tcPr>
          <w:p w14:paraId="7AAD771F"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54 (74.0) </w:t>
            </w:r>
          </w:p>
        </w:tc>
        <w:tc>
          <w:tcPr>
            <w:tcW w:w="1960" w:type="dxa"/>
            <w:tcBorders>
              <w:top w:val="nil"/>
              <w:left w:val="nil"/>
              <w:bottom w:val="single" w:sz="4" w:space="0" w:color="auto"/>
              <w:right w:val="single" w:sz="4" w:space="0" w:color="auto"/>
            </w:tcBorders>
            <w:noWrap/>
            <w:vAlign w:val="bottom"/>
            <w:hideMark/>
          </w:tcPr>
          <w:p w14:paraId="6BBFC81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68 (81.9) </w:t>
            </w:r>
          </w:p>
        </w:tc>
        <w:tc>
          <w:tcPr>
            <w:tcW w:w="1300" w:type="dxa"/>
            <w:tcBorders>
              <w:top w:val="nil"/>
              <w:left w:val="nil"/>
              <w:bottom w:val="single" w:sz="4" w:space="0" w:color="auto"/>
              <w:right w:val="single" w:sz="4" w:space="0" w:color="auto"/>
            </w:tcBorders>
            <w:noWrap/>
            <w:vAlign w:val="bottom"/>
            <w:hideMark/>
          </w:tcPr>
          <w:p w14:paraId="376CD115"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0.314</w:t>
            </w:r>
          </w:p>
        </w:tc>
      </w:tr>
      <w:tr w:rsidR="0061653F" w:rsidRPr="00A4797E" w14:paraId="2CC194D8"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1B0C77AE"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IRS in household during study (n, %) </w:t>
            </w:r>
          </w:p>
        </w:tc>
        <w:tc>
          <w:tcPr>
            <w:tcW w:w="2020" w:type="dxa"/>
            <w:tcBorders>
              <w:top w:val="nil"/>
              <w:left w:val="nil"/>
              <w:bottom w:val="single" w:sz="4" w:space="0" w:color="auto"/>
              <w:right w:val="single" w:sz="4" w:space="0" w:color="auto"/>
            </w:tcBorders>
            <w:noWrap/>
            <w:vAlign w:val="bottom"/>
            <w:hideMark/>
          </w:tcPr>
          <w:p w14:paraId="4858103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4 ( 2.0) </w:t>
            </w:r>
          </w:p>
        </w:tc>
        <w:tc>
          <w:tcPr>
            <w:tcW w:w="1980" w:type="dxa"/>
            <w:tcBorders>
              <w:top w:val="nil"/>
              <w:left w:val="nil"/>
              <w:bottom w:val="single" w:sz="4" w:space="0" w:color="auto"/>
              <w:right w:val="single" w:sz="4" w:space="0" w:color="auto"/>
            </w:tcBorders>
            <w:noWrap/>
            <w:vAlign w:val="bottom"/>
            <w:hideMark/>
          </w:tcPr>
          <w:p w14:paraId="75733584"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3 ( 3.8) </w:t>
            </w:r>
          </w:p>
        </w:tc>
        <w:tc>
          <w:tcPr>
            <w:tcW w:w="1960" w:type="dxa"/>
            <w:tcBorders>
              <w:top w:val="nil"/>
              <w:left w:val="nil"/>
              <w:bottom w:val="single" w:sz="4" w:space="0" w:color="auto"/>
              <w:right w:val="single" w:sz="4" w:space="0" w:color="auto"/>
            </w:tcBorders>
            <w:noWrap/>
            <w:vAlign w:val="bottom"/>
            <w:hideMark/>
          </w:tcPr>
          <w:p w14:paraId="5FD90ED9"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 ( 1.1) </w:t>
            </w:r>
          </w:p>
        </w:tc>
        <w:tc>
          <w:tcPr>
            <w:tcW w:w="1300" w:type="dxa"/>
            <w:tcBorders>
              <w:top w:val="nil"/>
              <w:left w:val="nil"/>
              <w:bottom w:val="single" w:sz="4" w:space="0" w:color="auto"/>
              <w:right w:val="single" w:sz="4" w:space="0" w:color="auto"/>
            </w:tcBorders>
            <w:noWrap/>
            <w:vAlign w:val="bottom"/>
            <w:hideMark/>
          </w:tcPr>
          <w:p w14:paraId="251B8B74"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0.554</w:t>
            </w:r>
          </w:p>
        </w:tc>
      </w:tr>
      <w:tr w:rsidR="0061653F" w:rsidRPr="00A4797E" w14:paraId="62CF2C23" w14:textId="77777777" w:rsidTr="001D0DAE">
        <w:trPr>
          <w:trHeight w:val="580"/>
        </w:trPr>
        <w:tc>
          <w:tcPr>
            <w:tcW w:w="2780" w:type="dxa"/>
            <w:tcBorders>
              <w:top w:val="nil"/>
              <w:left w:val="single" w:sz="4" w:space="0" w:color="auto"/>
              <w:bottom w:val="single" w:sz="4" w:space="0" w:color="auto"/>
              <w:right w:val="single" w:sz="4" w:space="0" w:color="auto"/>
            </w:tcBorders>
            <w:vAlign w:val="bottom"/>
            <w:hideMark/>
          </w:tcPr>
          <w:p w14:paraId="1977E2AF" w14:textId="77777777" w:rsidR="0061653F" w:rsidRPr="00A4797E" w:rsidRDefault="0061653F" w:rsidP="001D0DAE">
            <w:pPr>
              <w:spacing w:after="0" w:line="240" w:lineRule="auto"/>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Household has more than one sleeping structure (n, %)</w:t>
            </w:r>
          </w:p>
        </w:tc>
        <w:tc>
          <w:tcPr>
            <w:tcW w:w="2020" w:type="dxa"/>
            <w:tcBorders>
              <w:top w:val="nil"/>
              <w:left w:val="nil"/>
              <w:bottom w:val="single" w:sz="4" w:space="0" w:color="auto"/>
              <w:right w:val="single" w:sz="4" w:space="0" w:color="auto"/>
            </w:tcBorders>
            <w:noWrap/>
            <w:vAlign w:val="bottom"/>
            <w:hideMark/>
          </w:tcPr>
          <w:p w14:paraId="2740209A"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49 (28.7) </w:t>
            </w:r>
          </w:p>
        </w:tc>
        <w:tc>
          <w:tcPr>
            <w:tcW w:w="1980" w:type="dxa"/>
            <w:tcBorders>
              <w:top w:val="nil"/>
              <w:left w:val="nil"/>
              <w:bottom w:val="single" w:sz="4" w:space="0" w:color="auto"/>
              <w:right w:val="single" w:sz="4" w:space="0" w:color="auto"/>
            </w:tcBorders>
            <w:noWrap/>
            <w:vAlign w:val="bottom"/>
            <w:hideMark/>
          </w:tcPr>
          <w:p w14:paraId="622F834B"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17 (23.3) </w:t>
            </w:r>
          </w:p>
        </w:tc>
        <w:tc>
          <w:tcPr>
            <w:tcW w:w="1960" w:type="dxa"/>
            <w:tcBorders>
              <w:top w:val="nil"/>
              <w:left w:val="nil"/>
              <w:bottom w:val="single" w:sz="4" w:space="0" w:color="auto"/>
              <w:right w:val="single" w:sz="4" w:space="0" w:color="auto"/>
            </w:tcBorders>
            <w:noWrap/>
            <w:vAlign w:val="bottom"/>
            <w:hideMark/>
          </w:tcPr>
          <w:p w14:paraId="53CCBBCC"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 xml:space="preserve">  31 (37.3) </w:t>
            </w:r>
          </w:p>
        </w:tc>
        <w:tc>
          <w:tcPr>
            <w:tcW w:w="1300" w:type="dxa"/>
            <w:tcBorders>
              <w:top w:val="nil"/>
              <w:left w:val="nil"/>
              <w:bottom w:val="single" w:sz="4" w:space="0" w:color="auto"/>
              <w:right w:val="single" w:sz="4" w:space="0" w:color="auto"/>
            </w:tcBorders>
            <w:noWrap/>
            <w:vAlign w:val="bottom"/>
            <w:hideMark/>
          </w:tcPr>
          <w:p w14:paraId="704D5BFF" w14:textId="77777777" w:rsidR="0061653F" w:rsidRPr="00A4797E" w:rsidRDefault="0061653F" w:rsidP="001D0DAE">
            <w:pPr>
              <w:spacing w:after="0" w:line="240" w:lineRule="auto"/>
              <w:jc w:val="right"/>
              <w:rPr>
                <w:rFonts w:ascii="Times New Roman" w:eastAsia="Times New Roman" w:hAnsi="Times New Roman" w:cs="Times New Roman"/>
                <w:color w:val="000000"/>
                <w:szCs w:val="20"/>
              </w:rPr>
            </w:pPr>
            <w:r w:rsidRPr="00A4797E">
              <w:rPr>
                <w:rFonts w:ascii="Times New Roman" w:eastAsia="Times New Roman" w:hAnsi="Times New Roman" w:cs="Times New Roman"/>
                <w:color w:val="000000"/>
                <w:szCs w:val="20"/>
              </w:rPr>
              <w:t>0.085</w:t>
            </w:r>
          </w:p>
        </w:tc>
      </w:tr>
    </w:tbl>
    <w:p w14:paraId="40DD2723" w14:textId="77777777" w:rsidR="0061653F" w:rsidRDefault="0061653F" w:rsidP="0061653F">
      <w:pPr>
        <w:rPr>
          <w:rFonts w:ascii="Times New Roman" w:hAnsi="Times New Roman" w:cs="Times New Roman"/>
          <w:sz w:val="22"/>
        </w:rPr>
      </w:pPr>
    </w:p>
    <w:p w14:paraId="2AC99A82" w14:textId="77777777" w:rsidR="0061653F" w:rsidRDefault="0061653F">
      <w:pPr>
        <w:spacing w:after="0" w:line="240" w:lineRule="auto"/>
        <w:rPr>
          <w:rFonts w:ascii="Times New Roman" w:hAnsi="Times New Roman" w:cs="Times New Roman"/>
          <w:b/>
          <w:iCs/>
          <w:sz w:val="22"/>
        </w:rPr>
      </w:pPr>
      <w:r>
        <w:rPr>
          <w:rFonts w:ascii="Times New Roman" w:hAnsi="Times New Roman" w:cs="Times New Roman"/>
          <w:sz w:val="22"/>
        </w:rPr>
        <w:br w:type="page"/>
      </w:r>
    </w:p>
    <w:p w14:paraId="619DEFF7" w14:textId="58E0260D" w:rsidR="0061653F" w:rsidRDefault="0061653F" w:rsidP="0061653F">
      <w:pPr>
        <w:pStyle w:val="FigureTitles"/>
        <w:spacing w:line="480" w:lineRule="auto"/>
        <w:rPr>
          <w:rFonts w:ascii="Times New Roman" w:hAnsi="Times New Roman" w:cs="Times New Roman"/>
          <w:sz w:val="22"/>
          <w:highlight w:val="yellow"/>
        </w:rPr>
      </w:pPr>
      <w:r w:rsidRPr="0061653F">
        <w:rPr>
          <w:rFonts w:ascii="Times New Roman" w:hAnsi="Times New Roman" w:cs="Times New Roman"/>
          <w:noProof/>
          <w:sz w:val="22"/>
        </w:rPr>
        <w:lastRenderedPageBreak/>
        <w:drawing>
          <wp:inline distT="0" distB="0" distL="0" distR="0" wp14:anchorId="2A20A50E" wp14:editId="05B4CE0A">
            <wp:extent cx="5414963" cy="5414963"/>
            <wp:effectExtent l="0" t="0" r="0" b="0"/>
            <wp:docPr id="65034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1741" name=""/>
                    <pic:cNvPicPr/>
                  </pic:nvPicPr>
                  <pic:blipFill>
                    <a:blip r:embed="rId9"/>
                    <a:stretch>
                      <a:fillRect/>
                    </a:stretch>
                  </pic:blipFill>
                  <pic:spPr>
                    <a:xfrm>
                      <a:off x="0" y="0"/>
                      <a:ext cx="5419950" cy="5419950"/>
                    </a:xfrm>
                    <a:prstGeom prst="rect">
                      <a:avLst/>
                    </a:prstGeom>
                  </pic:spPr>
                </pic:pic>
              </a:graphicData>
            </a:graphic>
          </wp:inline>
        </w:drawing>
      </w:r>
    </w:p>
    <w:p w14:paraId="2C2C78B2" w14:textId="77777777" w:rsidR="009D7B1C" w:rsidRPr="0061653F" w:rsidRDefault="009D7B1C" w:rsidP="009D7B1C">
      <w:pPr>
        <w:pStyle w:val="FigureTitles"/>
        <w:spacing w:line="480" w:lineRule="auto"/>
        <w:outlineLvl w:val="1"/>
        <w:rPr>
          <w:rFonts w:ascii="Times New Roman" w:hAnsi="Times New Roman" w:cs="Times New Roman"/>
          <w:sz w:val="22"/>
        </w:rPr>
      </w:pPr>
      <w:bookmarkStart w:id="10" w:name="_Toc217054173"/>
      <w:r w:rsidRPr="0061653F">
        <w:rPr>
          <w:rFonts w:ascii="Times New Roman" w:hAnsi="Times New Roman" w:cs="Times New Roman"/>
          <w:sz w:val="22"/>
        </w:rPr>
        <w:t xml:space="preserve">Figure S4: </w:t>
      </w:r>
      <w:r w:rsidRPr="0061653F">
        <w:rPr>
          <w:rFonts w:ascii="Times New Roman" w:hAnsi="Times New Roman" w:cs="Times New Roman"/>
          <w:b w:val="0"/>
          <w:bCs/>
          <w:sz w:val="22"/>
        </w:rPr>
        <w:t>Individual qPCR results of cohort members over time, restricted to those qPCR positives with parasite density at or above 10 parasite per microliter of blood.</w:t>
      </w:r>
      <w:bookmarkEnd w:id="10"/>
    </w:p>
    <w:p w14:paraId="411F0D45" w14:textId="77777777" w:rsidR="009D7B1C" w:rsidRDefault="009D7B1C" w:rsidP="009D7B1C">
      <w:pPr>
        <w:pStyle w:val="FigureTitles"/>
        <w:spacing w:line="480" w:lineRule="auto"/>
        <w:rPr>
          <w:rFonts w:ascii="Times New Roman" w:hAnsi="Times New Roman" w:cs="Times New Roman"/>
          <w:sz w:val="22"/>
        </w:rPr>
      </w:pPr>
      <w:r w:rsidRPr="0061653F">
        <w:rPr>
          <w:rFonts w:ascii="Times New Roman" w:hAnsi="Times New Roman" w:cs="Times New Roman"/>
          <w:b w:val="0"/>
          <w:bCs/>
          <w:sz w:val="22"/>
        </w:rPr>
        <w:t>Each line represents one individual cohort participant ordered by age. Cohort data collection was paused from April to July in 2020 in compliance with the Government of Zambia’s COVID-19 prevention measures.</w:t>
      </w:r>
    </w:p>
    <w:p w14:paraId="300E35A3" w14:textId="77777777" w:rsidR="009D7B1C" w:rsidRPr="009D7B1C" w:rsidRDefault="009D7B1C" w:rsidP="009D7B1C">
      <w:pPr>
        <w:pStyle w:val="Footnotes"/>
        <w:rPr>
          <w:highlight w:val="yellow"/>
        </w:rPr>
      </w:pPr>
    </w:p>
    <w:p w14:paraId="487BD66E" w14:textId="77777777" w:rsidR="0061653F" w:rsidRDefault="0061653F">
      <w:pPr>
        <w:spacing w:after="0" w:line="240" w:lineRule="auto"/>
        <w:rPr>
          <w:rFonts w:ascii="Times New Roman" w:hAnsi="Times New Roman" w:cs="Times New Roman"/>
          <w:b/>
          <w:iCs/>
          <w:sz w:val="22"/>
          <w:highlight w:val="yellow"/>
        </w:rPr>
      </w:pPr>
      <w:r>
        <w:rPr>
          <w:rFonts w:ascii="Times New Roman" w:hAnsi="Times New Roman" w:cs="Times New Roman"/>
          <w:sz w:val="22"/>
          <w:highlight w:val="yellow"/>
        </w:rPr>
        <w:br w:type="page"/>
      </w:r>
    </w:p>
    <w:p w14:paraId="655B309F" w14:textId="651CFABB" w:rsidR="0061653F" w:rsidRDefault="009D7B1C" w:rsidP="00170E23">
      <w:pPr>
        <w:pStyle w:val="References"/>
        <w:spacing w:line="480" w:lineRule="auto"/>
        <w:ind w:left="0" w:firstLine="0"/>
        <w:rPr>
          <w:rFonts w:ascii="Times New Roman" w:hAnsi="Times New Roman" w:cs="Times New Roman"/>
          <w:sz w:val="22"/>
        </w:rPr>
      </w:pPr>
      <w:r w:rsidRPr="009D7B1C">
        <w:rPr>
          <w:rFonts w:ascii="Times New Roman" w:hAnsi="Times New Roman" w:cs="Times New Roman"/>
          <w:sz w:val="22"/>
        </w:rPr>
        <w:lastRenderedPageBreak/>
        <w:drawing>
          <wp:inline distT="0" distB="0" distL="0" distR="0" wp14:anchorId="23CBB931" wp14:editId="56AF3229">
            <wp:extent cx="4476730" cy="5116195"/>
            <wp:effectExtent l="0" t="0" r="0" b="1905"/>
            <wp:docPr id="166831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10865" name=""/>
                    <pic:cNvPicPr/>
                  </pic:nvPicPr>
                  <pic:blipFill>
                    <a:blip r:embed="rId10"/>
                    <a:stretch>
                      <a:fillRect/>
                    </a:stretch>
                  </pic:blipFill>
                  <pic:spPr>
                    <a:xfrm>
                      <a:off x="0" y="0"/>
                      <a:ext cx="4483020" cy="5123383"/>
                    </a:xfrm>
                    <a:prstGeom prst="rect">
                      <a:avLst/>
                    </a:prstGeom>
                  </pic:spPr>
                </pic:pic>
              </a:graphicData>
            </a:graphic>
          </wp:inline>
        </w:drawing>
      </w:r>
    </w:p>
    <w:p w14:paraId="725FD1F2" w14:textId="77777777" w:rsidR="009D7B1C" w:rsidRPr="0061653F" w:rsidRDefault="009D7B1C" w:rsidP="009D7B1C">
      <w:pPr>
        <w:pStyle w:val="FigureTitles"/>
        <w:spacing w:line="480" w:lineRule="auto"/>
        <w:outlineLvl w:val="1"/>
        <w:rPr>
          <w:rFonts w:ascii="Times New Roman" w:hAnsi="Times New Roman" w:cs="Times New Roman"/>
          <w:sz w:val="22"/>
        </w:rPr>
      </w:pPr>
      <w:bookmarkStart w:id="11" w:name="_Toc217054174"/>
      <w:r w:rsidRPr="0061653F">
        <w:rPr>
          <w:rFonts w:ascii="Times New Roman" w:hAnsi="Times New Roman" w:cs="Times New Roman"/>
          <w:sz w:val="22"/>
        </w:rPr>
        <w:t xml:space="preserve">Figure S5. </w:t>
      </w:r>
      <w:r w:rsidRPr="0061653F">
        <w:rPr>
          <w:rFonts w:ascii="Times New Roman" w:hAnsi="Times New Roman" w:cs="Times New Roman"/>
          <w:b w:val="0"/>
          <w:bCs/>
          <w:sz w:val="22"/>
        </w:rPr>
        <w:t>No associations between individual qPCR positivity and clinical disease,  restricted to those qPCR positives with parasite density at or above 10 parasite per microliter of blood.</w:t>
      </w:r>
      <w:bookmarkEnd w:id="11"/>
    </w:p>
    <w:p w14:paraId="61062F51" w14:textId="77777777" w:rsidR="009D7B1C" w:rsidRPr="00654893" w:rsidRDefault="009D7B1C" w:rsidP="009D7B1C">
      <w:pPr>
        <w:pStyle w:val="Footnotes"/>
        <w:spacing w:line="480" w:lineRule="auto"/>
        <w:rPr>
          <w:rFonts w:ascii="Times New Roman" w:hAnsi="Times New Roman" w:cs="Times New Roman"/>
          <w:sz w:val="22"/>
        </w:rPr>
      </w:pPr>
      <w:r w:rsidRPr="0061653F">
        <w:rPr>
          <w:rFonts w:ascii="Times New Roman" w:hAnsi="Times New Roman" w:cs="Times New Roman"/>
          <w:sz w:val="22"/>
        </w:rPr>
        <w:t>Univariate analysis examined the associations between qPCR positivity and clinical outcomes to examine evidence of clinical relevance of qPCR positivity. The alpha for the significance threshold was adjusted for multiple comparisons.  A) qPCR positivity and symptoms of malaria</w:t>
      </w:r>
      <w:r>
        <w:rPr>
          <w:rFonts w:ascii="Times New Roman" w:hAnsi="Times New Roman" w:cs="Times New Roman"/>
          <w:sz w:val="22"/>
        </w:rPr>
        <w:t>; and</w:t>
      </w:r>
      <w:r w:rsidRPr="0061653F">
        <w:rPr>
          <w:rFonts w:ascii="Times New Roman" w:hAnsi="Times New Roman" w:cs="Times New Roman"/>
          <w:sz w:val="22"/>
        </w:rPr>
        <w:t xml:space="preserve"> B) qPCR positivity and self-reported malaria. Participants were asked to self-report any malaria diagnoses received at a health facility.</w:t>
      </w:r>
      <w:r>
        <w:rPr>
          <w:rFonts w:ascii="Times New Roman" w:hAnsi="Times New Roman" w:cs="Times New Roman"/>
          <w:sz w:val="22"/>
        </w:rPr>
        <w:t xml:space="preserve"> </w:t>
      </w:r>
    </w:p>
    <w:p w14:paraId="04209E26" w14:textId="77777777" w:rsidR="009D7B1C" w:rsidRDefault="009D7B1C" w:rsidP="00170E23">
      <w:pPr>
        <w:pStyle w:val="References"/>
        <w:spacing w:line="480" w:lineRule="auto"/>
        <w:ind w:left="0" w:firstLine="0"/>
        <w:rPr>
          <w:rFonts w:ascii="Times New Roman" w:hAnsi="Times New Roman" w:cs="Times New Roman"/>
          <w:sz w:val="22"/>
        </w:rPr>
      </w:pPr>
    </w:p>
    <w:p w14:paraId="274014A1" w14:textId="77777777" w:rsidR="0061653F" w:rsidRDefault="0061653F" w:rsidP="00A76B6F">
      <w:pPr>
        <w:pStyle w:val="References"/>
        <w:spacing w:line="480" w:lineRule="auto"/>
        <w:ind w:left="0" w:firstLine="0"/>
        <w:outlineLvl w:val="0"/>
        <w:rPr>
          <w:rFonts w:ascii="Times New Roman" w:hAnsi="Times New Roman" w:cs="Times New Roman"/>
          <w:sz w:val="22"/>
        </w:rPr>
      </w:pPr>
    </w:p>
    <w:p w14:paraId="014841BF" w14:textId="3EDF9B38" w:rsidR="0061653F" w:rsidRDefault="009D7B1C" w:rsidP="00170E23">
      <w:pPr>
        <w:pStyle w:val="References"/>
        <w:spacing w:line="480" w:lineRule="auto"/>
        <w:ind w:left="0" w:firstLine="0"/>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23528637" wp14:editId="76F0643D">
            <wp:extent cx="4067229" cy="4648200"/>
            <wp:effectExtent l="0" t="0" r="0" b="0"/>
            <wp:docPr id="129729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5883" name="Picture 12972958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9773" cy="4662536"/>
                    </a:xfrm>
                    <a:prstGeom prst="rect">
                      <a:avLst/>
                    </a:prstGeom>
                  </pic:spPr>
                </pic:pic>
              </a:graphicData>
            </a:graphic>
          </wp:inline>
        </w:drawing>
      </w:r>
    </w:p>
    <w:p w14:paraId="4E868782" w14:textId="77777777" w:rsidR="009D7B1C" w:rsidRPr="0061653F" w:rsidRDefault="009D7B1C" w:rsidP="009D7B1C">
      <w:pPr>
        <w:pStyle w:val="FigureTitles"/>
        <w:spacing w:line="480" w:lineRule="auto"/>
        <w:outlineLvl w:val="1"/>
        <w:rPr>
          <w:rFonts w:ascii="Times New Roman" w:hAnsi="Times New Roman" w:cs="Times New Roman"/>
          <w:sz w:val="22"/>
        </w:rPr>
      </w:pPr>
      <w:bookmarkStart w:id="12" w:name="_Toc217054175"/>
      <w:r w:rsidRPr="0061653F">
        <w:rPr>
          <w:rFonts w:ascii="Times New Roman" w:hAnsi="Times New Roman" w:cs="Times New Roman"/>
          <w:sz w:val="22"/>
        </w:rPr>
        <w:t xml:space="preserve">Figure S6: </w:t>
      </w:r>
      <w:r w:rsidRPr="0061653F">
        <w:rPr>
          <w:rFonts w:ascii="Times New Roman" w:hAnsi="Times New Roman" w:cs="Times New Roman"/>
          <w:b w:val="0"/>
          <w:bCs/>
          <w:sz w:val="22"/>
        </w:rPr>
        <w:t>No associations between individual qPCR positivity and clinical disease in household members</w:t>
      </w:r>
      <w:r w:rsidRPr="0061653F">
        <w:rPr>
          <w:rFonts w:ascii="Times New Roman" w:hAnsi="Times New Roman" w:cs="Times New Roman"/>
          <w:sz w:val="22"/>
        </w:rPr>
        <w:t xml:space="preserve">, </w:t>
      </w:r>
      <w:r w:rsidRPr="0061653F">
        <w:rPr>
          <w:rFonts w:ascii="Times New Roman" w:hAnsi="Times New Roman" w:cs="Times New Roman"/>
          <w:b w:val="0"/>
          <w:bCs/>
          <w:sz w:val="22"/>
        </w:rPr>
        <w:t>restricted to those qPCR positives with parasite density at or above 10 parasite per microliter of blood.</w:t>
      </w:r>
      <w:bookmarkEnd w:id="12"/>
    </w:p>
    <w:p w14:paraId="1A096EE7" w14:textId="77777777" w:rsidR="009D7B1C" w:rsidRDefault="009D7B1C" w:rsidP="009D7B1C">
      <w:pPr>
        <w:pStyle w:val="Footnotes"/>
        <w:spacing w:line="480" w:lineRule="auto"/>
        <w:rPr>
          <w:rFonts w:ascii="Times New Roman" w:hAnsi="Times New Roman" w:cs="Times New Roman"/>
          <w:sz w:val="22"/>
        </w:rPr>
      </w:pPr>
      <w:r w:rsidRPr="0061653F">
        <w:rPr>
          <w:rFonts w:ascii="Times New Roman" w:hAnsi="Times New Roman" w:cs="Times New Roman"/>
          <w:sz w:val="22"/>
        </w:rPr>
        <w:t>Univariate analysis examined the associations between qPCR positivity and outcomes in other household members to examine evidence that qPCR positivity led to onward transmission. A) individual qPCR positivity and symptoms of malaria in household members</w:t>
      </w:r>
      <w:r>
        <w:rPr>
          <w:rFonts w:ascii="Times New Roman" w:hAnsi="Times New Roman" w:cs="Times New Roman"/>
          <w:sz w:val="22"/>
        </w:rPr>
        <w:t xml:space="preserve">; </w:t>
      </w:r>
      <w:r w:rsidRPr="0061653F">
        <w:rPr>
          <w:rFonts w:ascii="Times New Roman" w:hAnsi="Times New Roman" w:cs="Times New Roman"/>
          <w:sz w:val="22"/>
        </w:rPr>
        <w:t>B) individual qPCR positivity and self-reported malaria</w:t>
      </w:r>
      <w:r>
        <w:rPr>
          <w:rFonts w:ascii="Times New Roman" w:hAnsi="Times New Roman" w:cs="Times New Roman"/>
          <w:sz w:val="22"/>
        </w:rPr>
        <w:t>; and</w:t>
      </w:r>
      <w:r w:rsidRPr="0061653F">
        <w:rPr>
          <w:rFonts w:ascii="Times New Roman" w:hAnsi="Times New Roman" w:cs="Times New Roman"/>
          <w:sz w:val="22"/>
        </w:rPr>
        <w:t xml:space="preserve"> C) individual qPCR positivity and qPCR positivity in household members.</w:t>
      </w:r>
    </w:p>
    <w:p w14:paraId="6ACCD14E" w14:textId="77777777" w:rsidR="009D7B1C" w:rsidRPr="00C67FB7" w:rsidRDefault="009D7B1C" w:rsidP="00170E23">
      <w:pPr>
        <w:pStyle w:val="References"/>
        <w:spacing w:line="480" w:lineRule="auto"/>
        <w:ind w:left="0" w:firstLine="0"/>
        <w:rPr>
          <w:rFonts w:ascii="Times New Roman" w:hAnsi="Times New Roman" w:cs="Times New Roman"/>
          <w:sz w:val="22"/>
        </w:rPr>
      </w:pPr>
    </w:p>
    <w:sectPr w:rsidR="009D7B1C" w:rsidRPr="00C67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5EC13" w14:textId="77777777" w:rsidR="00E6218A" w:rsidRDefault="00E6218A" w:rsidP="00846D3E">
      <w:pPr>
        <w:spacing w:after="0" w:line="240" w:lineRule="auto"/>
      </w:pPr>
      <w:r>
        <w:separator/>
      </w:r>
    </w:p>
  </w:endnote>
  <w:endnote w:type="continuationSeparator" w:id="0">
    <w:p w14:paraId="2697892D" w14:textId="77777777" w:rsidR="00E6218A" w:rsidRDefault="00E6218A" w:rsidP="00846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AB13" w14:textId="77777777" w:rsidR="00E6218A" w:rsidRDefault="00E6218A" w:rsidP="00846D3E">
      <w:pPr>
        <w:spacing w:after="0" w:line="240" w:lineRule="auto"/>
      </w:pPr>
      <w:r>
        <w:separator/>
      </w:r>
    </w:p>
  </w:footnote>
  <w:footnote w:type="continuationSeparator" w:id="0">
    <w:p w14:paraId="32C5B422" w14:textId="77777777" w:rsidR="00E6218A" w:rsidRDefault="00E6218A" w:rsidP="00846D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93"/>
    <w:rsid w:val="000342B6"/>
    <w:rsid w:val="000F0AF2"/>
    <w:rsid w:val="00103565"/>
    <w:rsid w:val="001133EA"/>
    <w:rsid w:val="0016044E"/>
    <w:rsid w:val="00170E23"/>
    <w:rsid w:val="002E3F17"/>
    <w:rsid w:val="0037521C"/>
    <w:rsid w:val="003F6612"/>
    <w:rsid w:val="00422279"/>
    <w:rsid w:val="004D5354"/>
    <w:rsid w:val="004D5DE3"/>
    <w:rsid w:val="00570F48"/>
    <w:rsid w:val="005F2ED9"/>
    <w:rsid w:val="0061653F"/>
    <w:rsid w:val="00654307"/>
    <w:rsid w:val="00654893"/>
    <w:rsid w:val="00657BCE"/>
    <w:rsid w:val="00680ACD"/>
    <w:rsid w:val="006D5E0C"/>
    <w:rsid w:val="00793049"/>
    <w:rsid w:val="007F3EDA"/>
    <w:rsid w:val="00846D3E"/>
    <w:rsid w:val="00864411"/>
    <w:rsid w:val="00882BD9"/>
    <w:rsid w:val="009D7B1C"/>
    <w:rsid w:val="00A33320"/>
    <w:rsid w:val="00A4797E"/>
    <w:rsid w:val="00A7025A"/>
    <w:rsid w:val="00A76B6F"/>
    <w:rsid w:val="00AD115F"/>
    <w:rsid w:val="00B3060C"/>
    <w:rsid w:val="00B96A8E"/>
    <w:rsid w:val="00C014A1"/>
    <w:rsid w:val="00C94582"/>
    <w:rsid w:val="00D34F03"/>
    <w:rsid w:val="00DB35DE"/>
    <w:rsid w:val="00E51F65"/>
    <w:rsid w:val="00E560E5"/>
    <w:rsid w:val="00E62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04064"/>
  <w15:chartTrackingRefBased/>
  <w15:docId w15:val="{C340671F-659B-2249-B31E-2D122E1E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893"/>
    <w:pPr>
      <w:spacing w:after="200" w:line="480" w:lineRule="auto"/>
    </w:pPr>
    <w:rPr>
      <w:rFonts w:ascii="Helvetica" w:hAnsi="Helvetica" w:cs="Times New Roman (Headings CS)"/>
      <w:sz w:val="20"/>
      <w:szCs w:val="22"/>
    </w:rPr>
  </w:style>
  <w:style w:type="paragraph" w:styleId="Heading1">
    <w:name w:val="heading 1"/>
    <w:basedOn w:val="Normal"/>
    <w:next w:val="Normal"/>
    <w:link w:val="Heading1Char"/>
    <w:uiPriority w:val="9"/>
    <w:qFormat/>
    <w:rsid w:val="00A76B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65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37521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
    <w:name w:val="Table Content"/>
    <w:basedOn w:val="Normal"/>
    <w:qFormat/>
    <w:rsid w:val="0037521C"/>
    <w:pPr>
      <w:spacing w:after="0" w:line="240" w:lineRule="auto"/>
      <w:contextualSpacing/>
    </w:pPr>
    <w:rPr>
      <w:rFonts w:cs="Times New Roman"/>
      <w:bCs/>
      <w:szCs w:val="20"/>
    </w:rPr>
  </w:style>
  <w:style w:type="paragraph" w:customStyle="1" w:styleId="TableTitles">
    <w:name w:val="Table Titles"/>
    <w:basedOn w:val="Heading4"/>
    <w:link w:val="TableTitlesChar"/>
    <w:qFormat/>
    <w:rsid w:val="0037521C"/>
    <w:pPr>
      <w:spacing w:before="240" w:after="40" w:line="240" w:lineRule="auto"/>
    </w:pPr>
    <w:rPr>
      <w:rFonts w:ascii="Helvetica" w:eastAsiaTheme="minorHAnsi" w:hAnsi="Helvetica" w:cs="Times New Roman (Headings CS)"/>
      <w:b/>
      <w:i w:val="0"/>
      <w:color w:val="auto"/>
    </w:rPr>
  </w:style>
  <w:style w:type="paragraph" w:customStyle="1" w:styleId="FigureTitles">
    <w:name w:val="Figure Titles"/>
    <w:basedOn w:val="Heading4"/>
    <w:next w:val="Footnotes"/>
    <w:link w:val="FigureTitlesChar"/>
    <w:qFormat/>
    <w:rsid w:val="0037521C"/>
    <w:pPr>
      <w:spacing w:before="240" w:after="40" w:line="240" w:lineRule="auto"/>
    </w:pPr>
    <w:rPr>
      <w:rFonts w:ascii="Helvetica" w:eastAsiaTheme="minorHAnsi" w:hAnsi="Helvetica" w:cs="Times New Roman (Headings CS)"/>
      <w:b/>
      <w:i w:val="0"/>
      <w:color w:val="auto"/>
    </w:rPr>
  </w:style>
  <w:style w:type="paragraph" w:customStyle="1" w:styleId="Footnotes">
    <w:name w:val="Footnotes"/>
    <w:basedOn w:val="Normal"/>
    <w:qFormat/>
    <w:rsid w:val="0037521C"/>
    <w:pPr>
      <w:spacing w:after="240" w:line="240" w:lineRule="auto"/>
      <w:contextualSpacing/>
    </w:pPr>
    <w:rPr>
      <w:sz w:val="16"/>
    </w:rPr>
  </w:style>
  <w:style w:type="paragraph" w:customStyle="1" w:styleId="References">
    <w:name w:val="References"/>
    <w:basedOn w:val="Normal"/>
    <w:qFormat/>
    <w:rsid w:val="0037521C"/>
    <w:pPr>
      <w:spacing w:line="240" w:lineRule="auto"/>
      <w:ind w:left="720" w:hanging="720"/>
    </w:pPr>
  </w:style>
  <w:style w:type="character" w:customStyle="1" w:styleId="FigureTitlesChar">
    <w:name w:val="Figure Titles Char"/>
    <w:basedOn w:val="DefaultParagraphFont"/>
    <w:link w:val="FigureTitles"/>
    <w:rsid w:val="0037521C"/>
    <w:rPr>
      <w:rFonts w:ascii="Helvetica" w:hAnsi="Helvetica" w:cs="Times New Roman (Headings CS)"/>
      <w:b/>
      <w:iCs/>
      <w:sz w:val="20"/>
      <w:szCs w:val="22"/>
    </w:rPr>
  </w:style>
  <w:style w:type="character" w:customStyle="1" w:styleId="TableTitlesChar">
    <w:name w:val="Table Titles Char"/>
    <w:basedOn w:val="DefaultParagraphFont"/>
    <w:link w:val="TableTitles"/>
    <w:rsid w:val="0037521C"/>
    <w:rPr>
      <w:rFonts w:ascii="Helvetica" w:hAnsi="Helvetica" w:cs="Times New Roman (Headings CS)"/>
      <w:b/>
      <w:iCs/>
      <w:sz w:val="20"/>
      <w:szCs w:val="22"/>
    </w:rPr>
  </w:style>
  <w:style w:type="table" w:styleId="TableGrid">
    <w:name w:val="Table Grid"/>
    <w:basedOn w:val="TableNormal"/>
    <w:uiPriority w:val="39"/>
    <w:rsid w:val="0037521C"/>
    <w:pPr>
      <w:spacing w:after="200" w:line="276" w:lineRule="auto"/>
    </w:pPr>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0">
    <w:name w:val="Table content"/>
    <w:basedOn w:val="Normal"/>
    <w:qFormat/>
    <w:rsid w:val="0037521C"/>
    <w:pPr>
      <w:spacing w:after="120" w:line="240" w:lineRule="auto"/>
    </w:pPr>
  </w:style>
  <w:style w:type="character" w:customStyle="1" w:styleId="Heading4Char">
    <w:name w:val="Heading 4 Char"/>
    <w:basedOn w:val="DefaultParagraphFont"/>
    <w:link w:val="Heading4"/>
    <w:uiPriority w:val="9"/>
    <w:semiHidden/>
    <w:rsid w:val="0037521C"/>
    <w:rPr>
      <w:rFonts w:asciiTheme="majorHAnsi" w:eastAsiaTheme="majorEastAsia" w:hAnsiTheme="majorHAnsi" w:cstheme="majorBidi"/>
      <w:i/>
      <w:iCs/>
      <w:color w:val="2F5496" w:themeColor="accent1" w:themeShade="BF"/>
      <w:sz w:val="20"/>
      <w:szCs w:val="22"/>
    </w:rPr>
  </w:style>
  <w:style w:type="character" w:customStyle="1" w:styleId="Heading1Char">
    <w:name w:val="Heading 1 Char"/>
    <w:basedOn w:val="DefaultParagraphFont"/>
    <w:link w:val="Heading1"/>
    <w:uiPriority w:val="9"/>
    <w:rsid w:val="00A76B6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76B6F"/>
    <w:pPr>
      <w:spacing w:before="480" w:line="276" w:lineRule="auto"/>
      <w:outlineLvl w:val="9"/>
    </w:pPr>
    <w:rPr>
      <w:b/>
      <w:bCs/>
      <w:sz w:val="28"/>
      <w:szCs w:val="28"/>
    </w:rPr>
  </w:style>
  <w:style w:type="paragraph" w:styleId="TOC1">
    <w:name w:val="toc 1"/>
    <w:basedOn w:val="Normal"/>
    <w:next w:val="Normal"/>
    <w:autoRedefine/>
    <w:uiPriority w:val="39"/>
    <w:unhideWhenUsed/>
    <w:rsid w:val="00A76B6F"/>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A76B6F"/>
    <w:rPr>
      <w:color w:val="0563C1" w:themeColor="hyperlink"/>
      <w:u w:val="single"/>
    </w:rPr>
  </w:style>
  <w:style w:type="paragraph" w:styleId="TOC2">
    <w:name w:val="toc 2"/>
    <w:basedOn w:val="Normal"/>
    <w:next w:val="Normal"/>
    <w:autoRedefine/>
    <w:uiPriority w:val="39"/>
    <w:unhideWhenUsed/>
    <w:rsid w:val="00A76B6F"/>
    <w:pPr>
      <w:spacing w:before="120" w:after="0"/>
      <w:ind w:left="200"/>
    </w:pPr>
    <w:rPr>
      <w:rFonts w:asciiTheme="minorHAnsi" w:hAnsiTheme="minorHAnsi" w:cstheme="minorHAnsi"/>
      <w:b/>
      <w:bCs/>
      <w:sz w:val="22"/>
    </w:rPr>
  </w:style>
  <w:style w:type="paragraph" w:styleId="TOC3">
    <w:name w:val="toc 3"/>
    <w:basedOn w:val="Normal"/>
    <w:next w:val="Normal"/>
    <w:autoRedefine/>
    <w:uiPriority w:val="39"/>
    <w:semiHidden/>
    <w:unhideWhenUsed/>
    <w:rsid w:val="00A76B6F"/>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A76B6F"/>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A76B6F"/>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A76B6F"/>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A76B6F"/>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A76B6F"/>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A76B6F"/>
    <w:pPr>
      <w:spacing w:after="0"/>
      <w:ind w:left="1600"/>
    </w:pPr>
    <w:rPr>
      <w:rFonts w:asciiTheme="minorHAnsi" w:hAnsiTheme="minorHAnsi" w:cstheme="minorHAnsi"/>
      <w:szCs w:val="20"/>
    </w:rPr>
  </w:style>
  <w:style w:type="paragraph" w:customStyle="1" w:styleId="Body">
    <w:name w:val="Body"/>
    <w:basedOn w:val="Normal"/>
    <w:next w:val="Normal"/>
    <w:qFormat/>
    <w:rsid w:val="000F0AF2"/>
    <w:pPr>
      <w:ind w:firstLine="720"/>
    </w:pPr>
  </w:style>
  <w:style w:type="character" w:styleId="CommentReference">
    <w:name w:val="annotation reference"/>
    <w:basedOn w:val="DefaultParagraphFont"/>
    <w:uiPriority w:val="99"/>
    <w:semiHidden/>
    <w:unhideWhenUsed/>
    <w:rsid w:val="000F0AF2"/>
    <w:rPr>
      <w:sz w:val="16"/>
      <w:szCs w:val="16"/>
    </w:rPr>
  </w:style>
  <w:style w:type="paragraph" w:styleId="CommentText">
    <w:name w:val="annotation text"/>
    <w:basedOn w:val="Normal"/>
    <w:link w:val="CommentTextChar"/>
    <w:uiPriority w:val="99"/>
    <w:unhideWhenUsed/>
    <w:rsid w:val="00570F48"/>
    <w:pPr>
      <w:spacing w:line="240" w:lineRule="auto"/>
    </w:pPr>
    <w:rPr>
      <w:szCs w:val="20"/>
    </w:rPr>
  </w:style>
  <w:style w:type="character" w:customStyle="1" w:styleId="CommentTextChar">
    <w:name w:val="Comment Text Char"/>
    <w:basedOn w:val="DefaultParagraphFont"/>
    <w:link w:val="CommentText"/>
    <w:uiPriority w:val="99"/>
    <w:rsid w:val="00570F48"/>
    <w:rPr>
      <w:rFonts w:ascii="Helvetica" w:hAnsi="Helvetica" w:cs="Times New Roman (Headings CS)"/>
      <w:sz w:val="20"/>
      <w:szCs w:val="20"/>
    </w:rPr>
  </w:style>
  <w:style w:type="character" w:customStyle="1" w:styleId="Heading2Char">
    <w:name w:val="Heading 2 Char"/>
    <w:basedOn w:val="DefaultParagraphFont"/>
    <w:link w:val="Heading2"/>
    <w:uiPriority w:val="9"/>
    <w:semiHidden/>
    <w:rsid w:val="0061653F"/>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882BD9"/>
    <w:rPr>
      <w:rFonts w:ascii="Helvetica" w:hAnsi="Helvetica" w:cs="Times New Roman (Headings CS)"/>
      <w:sz w:val="20"/>
      <w:szCs w:val="22"/>
    </w:rPr>
  </w:style>
  <w:style w:type="paragraph" w:styleId="CommentSubject">
    <w:name w:val="annotation subject"/>
    <w:basedOn w:val="CommentText"/>
    <w:next w:val="CommentText"/>
    <w:link w:val="CommentSubjectChar"/>
    <w:uiPriority w:val="99"/>
    <w:semiHidden/>
    <w:unhideWhenUsed/>
    <w:rsid w:val="00882BD9"/>
    <w:rPr>
      <w:b/>
      <w:bCs/>
    </w:rPr>
  </w:style>
  <w:style w:type="character" w:customStyle="1" w:styleId="CommentSubjectChar">
    <w:name w:val="Comment Subject Char"/>
    <w:basedOn w:val="CommentTextChar"/>
    <w:link w:val="CommentSubject"/>
    <w:uiPriority w:val="99"/>
    <w:semiHidden/>
    <w:rsid w:val="00882BD9"/>
    <w:rPr>
      <w:rFonts w:ascii="Helvetica" w:hAnsi="Helvetica" w:cs="Times New Roman (Headings CS)"/>
      <w:b/>
      <w:bCs/>
      <w:sz w:val="20"/>
      <w:szCs w:val="20"/>
    </w:rPr>
  </w:style>
  <w:style w:type="paragraph" w:styleId="Header">
    <w:name w:val="header"/>
    <w:basedOn w:val="Normal"/>
    <w:link w:val="HeaderChar"/>
    <w:uiPriority w:val="99"/>
    <w:unhideWhenUsed/>
    <w:rsid w:val="00846D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6D3E"/>
    <w:rPr>
      <w:rFonts w:ascii="Helvetica" w:hAnsi="Helvetica" w:cs="Times New Roman (Headings CS)"/>
      <w:sz w:val="20"/>
      <w:szCs w:val="22"/>
    </w:rPr>
  </w:style>
  <w:style w:type="paragraph" w:styleId="Footer">
    <w:name w:val="footer"/>
    <w:basedOn w:val="Normal"/>
    <w:link w:val="FooterChar"/>
    <w:uiPriority w:val="99"/>
    <w:unhideWhenUsed/>
    <w:rsid w:val="00846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6D3E"/>
    <w:rPr>
      <w:rFonts w:ascii="Helvetica" w:hAnsi="Helvetica" w:cs="Times New Roman (Headings CS)"/>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142272">
      <w:bodyDiv w:val="1"/>
      <w:marLeft w:val="0"/>
      <w:marRight w:val="0"/>
      <w:marTop w:val="0"/>
      <w:marBottom w:val="0"/>
      <w:divBdr>
        <w:top w:val="none" w:sz="0" w:space="0" w:color="auto"/>
        <w:left w:val="none" w:sz="0" w:space="0" w:color="auto"/>
        <w:bottom w:val="none" w:sz="0" w:space="0" w:color="auto"/>
        <w:right w:val="none" w:sz="0" w:space="0" w:color="auto"/>
      </w:divBdr>
    </w:div>
    <w:div w:id="1529485569">
      <w:bodyDiv w:val="1"/>
      <w:marLeft w:val="0"/>
      <w:marRight w:val="0"/>
      <w:marTop w:val="0"/>
      <w:marBottom w:val="0"/>
      <w:divBdr>
        <w:top w:val="none" w:sz="0" w:space="0" w:color="auto"/>
        <w:left w:val="none" w:sz="0" w:space="0" w:color="auto"/>
        <w:bottom w:val="none" w:sz="0" w:space="0" w:color="auto"/>
        <w:right w:val="none" w:sz="0" w:space="0" w:color="auto"/>
      </w:divBdr>
      <w:divsChild>
        <w:div w:id="468404288">
          <w:marLeft w:val="0"/>
          <w:marRight w:val="0"/>
          <w:marTop w:val="0"/>
          <w:marBottom w:val="0"/>
          <w:divBdr>
            <w:top w:val="none" w:sz="0" w:space="0" w:color="auto"/>
            <w:left w:val="none" w:sz="0" w:space="0" w:color="auto"/>
            <w:bottom w:val="none" w:sz="0" w:space="0" w:color="auto"/>
            <w:right w:val="none" w:sz="0" w:space="0" w:color="auto"/>
          </w:divBdr>
          <w:divsChild>
            <w:div w:id="80414671">
              <w:marLeft w:val="0"/>
              <w:marRight w:val="0"/>
              <w:marTop w:val="0"/>
              <w:marBottom w:val="0"/>
              <w:divBdr>
                <w:top w:val="none" w:sz="0" w:space="0" w:color="auto"/>
                <w:left w:val="none" w:sz="0" w:space="0" w:color="auto"/>
                <w:bottom w:val="none" w:sz="0" w:space="0" w:color="auto"/>
                <w:right w:val="none" w:sz="0" w:space="0" w:color="auto"/>
              </w:divBdr>
              <w:divsChild>
                <w:div w:id="12657245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moh.gov.zm/?wpfb_dl=32"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68922-EAEA-FC4C-A060-578540511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Martin</dc:creator>
  <cp:keywords/>
  <dc:description/>
  <cp:lastModifiedBy>Anne Martin</cp:lastModifiedBy>
  <cp:revision>4</cp:revision>
  <dcterms:created xsi:type="dcterms:W3CDTF">2026-01-14T08:24:00Z</dcterms:created>
  <dcterms:modified xsi:type="dcterms:W3CDTF">2026-01-14T08:32:00Z</dcterms:modified>
</cp:coreProperties>
</file>