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996A" w14:textId="77777777" w:rsidR="00DF33B3" w:rsidRPr="00FE7E29" w:rsidRDefault="00DF33B3" w:rsidP="00DF33B3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FE7E29">
        <w:rPr>
          <w:rFonts w:ascii="Times New Roman" w:hAnsi="Times New Roman" w:cs="Times New Roman"/>
          <w:b/>
          <w:bCs/>
          <w:lang w:val="en-US"/>
        </w:rPr>
        <w:t>Table 1. Descriptive characteristics of the Health and Retirement Study sample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E7E29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774"/>
        <w:gridCol w:w="62"/>
        <w:gridCol w:w="1134"/>
        <w:gridCol w:w="1207"/>
        <w:gridCol w:w="1486"/>
        <w:gridCol w:w="1315"/>
        <w:gridCol w:w="1398"/>
        <w:gridCol w:w="1398"/>
      </w:tblGrid>
      <w:tr w:rsidR="00DF33B3" w:rsidRPr="00FE7E29" w14:paraId="0D01377C" w14:textId="77777777" w:rsidTr="00961604">
        <w:tc>
          <w:tcPr>
            <w:tcW w:w="2836" w:type="dxa"/>
            <w:gridSpan w:val="2"/>
            <w:tcBorders>
              <w:right w:val="nil"/>
            </w:tcBorders>
          </w:tcPr>
          <w:p w14:paraId="4B874A61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gridSpan w:val="3"/>
            <w:tcBorders>
              <w:left w:val="nil"/>
            </w:tcBorders>
          </w:tcPr>
          <w:p w14:paraId="203D4109" w14:textId="77777777" w:rsidR="00DF33B3" w:rsidRPr="00E153EC" w:rsidRDefault="00DF33B3" w:rsidP="00961604">
            <w:pPr>
              <w:tabs>
                <w:tab w:val="left" w:pos="299"/>
                <w:tab w:val="center" w:pos="188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153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ab/>
            </w:r>
            <w:r w:rsidRPr="00E153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ab/>
              <w:t>Midlife study population (</w:t>
            </w:r>
            <w:r w:rsidRPr="00C428E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en-US"/>
              </w:rPr>
              <w:t>≤</w:t>
            </w:r>
            <w:r w:rsidRPr="00C428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65)</w:t>
            </w:r>
          </w:p>
        </w:tc>
        <w:tc>
          <w:tcPr>
            <w:tcW w:w="4111" w:type="dxa"/>
            <w:gridSpan w:val="3"/>
          </w:tcPr>
          <w:p w14:paraId="68F4A8EB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Late-life study population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(&gt;65)</w:t>
            </w:r>
          </w:p>
        </w:tc>
      </w:tr>
      <w:tr w:rsidR="00DF33B3" w:rsidRPr="00FE7E29" w14:paraId="31232670" w14:textId="77777777" w:rsidTr="00961604">
        <w:tc>
          <w:tcPr>
            <w:tcW w:w="2774" w:type="dxa"/>
            <w:tcBorders>
              <w:bottom w:val="single" w:sz="8" w:space="0" w:color="auto"/>
            </w:tcBorders>
          </w:tcPr>
          <w:p w14:paraId="02BA4A0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96" w:type="dxa"/>
            <w:gridSpan w:val="2"/>
            <w:tcBorders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FB7521A" w14:textId="77777777" w:rsidR="00DF33B3" w:rsidRPr="00FE7E29" w:rsidRDefault="00DF33B3" w:rsidP="0096160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analytical sample</w:t>
            </w:r>
          </w:p>
        </w:tc>
        <w:tc>
          <w:tcPr>
            <w:tcW w:w="1207" w:type="dxa"/>
            <w:tcBorders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6D57B92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86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F295DC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 dementia</w:t>
            </w:r>
          </w:p>
        </w:tc>
        <w:tc>
          <w:tcPr>
            <w:tcW w:w="1315" w:type="dxa"/>
            <w:tcBorders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36C02A5" w14:textId="77777777" w:rsidR="00DF33B3" w:rsidRPr="00FE7E29" w:rsidRDefault="00DF33B3" w:rsidP="009616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analytical sample</w:t>
            </w:r>
          </w:p>
        </w:tc>
        <w:tc>
          <w:tcPr>
            <w:tcW w:w="1398" w:type="dxa"/>
            <w:tcBorders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1AE592B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398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9FAFAC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 dementia</w:t>
            </w:r>
          </w:p>
        </w:tc>
      </w:tr>
      <w:tr w:rsidR="00DF33B3" w:rsidRPr="00FE7E29" w14:paraId="0EECAE66" w14:textId="77777777" w:rsidTr="00961604">
        <w:tc>
          <w:tcPr>
            <w:tcW w:w="27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C865F12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Incidence rate, cases per 1000 person-years 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39F9FAD9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8.8</w:t>
            </w:r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193158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F86E6FE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055878F1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35.4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E2460C9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4A1D171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F33B3" w:rsidRPr="00FE7E29" w14:paraId="5E5BC508" w14:textId="77777777" w:rsidTr="00961604">
        <w:tc>
          <w:tcPr>
            <w:tcW w:w="27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8EB4A6F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59353D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4,233</w:t>
            </w:r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00394C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362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(8.6)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46F68F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3,871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(91.4)</w:t>
            </w:r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119A67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7,249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12FC1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1,927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(26.6)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435CE8C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5,322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(73.4)</w:t>
            </w:r>
          </w:p>
        </w:tc>
      </w:tr>
      <w:tr w:rsidR="00DF33B3" w:rsidRPr="00FE7E29" w14:paraId="4AE4599C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1A2A578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Female sex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,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57B28CB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2,518 (59.5)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7CE059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201 (55.5)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35B8D8A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2,317 (59.9)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0F5D63D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4,099 (56.5)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CCC777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1,139 (59.1)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1B0FDED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2,960 (55.6)</w:t>
            </w:r>
          </w:p>
        </w:tc>
      </w:tr>
      <w:tr w:rsidR="00DF33B3" w:rsidRPr="00FE7E29" w14:paraId="735A803A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54E9368" w14:textId="77777777" w:rsidR="00DF33B3" w:rsidRPr="00FE7E29" w:rsidRDefault="00DF33B3" w:rsidP="00961604">
            <w:pPr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Age in years at baseline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mean, (SD)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279DF8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59.7 (3.3)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881740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60.8 (3.0)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94DABB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59.6 (3.3)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3C0ECD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74.6 (6.6)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B4A9C6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77.2 (7.0)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85F841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73.6 (6.2)</w:t>
            </w:r>
          </w:p>
        </w:tc>
      </w:tr>
      <w:tr w:rsidR="00DF33B3" w:rsidRPr="00FE7E29" w14:paraId="3CF33AA1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1F61B2B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Age in years at last follow-up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097D224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69.4 (3.5)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97E52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69.5 (3.5)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7E3F560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69.4 (3.5)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5ED3EE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82.1 (6.5)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8031B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84.4 (6.8)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67FF01C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81.2 (6.2)</w:t>
            </w:r>
          </w:p>
        </w:tc>
      </w:tr>
      <w:tr w:rsidR="00DF33B3" w:rsidRPr="00FE7E29" w14:paraId="2DF427DD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A1D1372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Ethnicity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87FD7E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B8A8A7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CEDDC8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C31175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3258E2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704CB3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4FF50C90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AAA15F1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White/Caucasian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3A186B0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3,030 (71.6)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CFF43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175 (48.3)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25D9C78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2,855 (73.8)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2EC8CA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6,099 (84.1)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1BFA1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1,421 (73.7)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14565B3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4,678 (87.9)</w:t>
            </w:r>
          </w:p>
        </w:tc>
      </w:tr>
      <w:tr w:rsidR="00DF33B3" w:rsidRPr="00FE7E29" w14:paraId="56A2EE1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6EFDF23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Black/African American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B4FE7A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802 (18.9)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375E1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125 (34.5)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C675F2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677 (17.5)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4B998D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918 (12.7)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5F29ECE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425 (22.1)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672A14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493 (9.3)</w:t>
            </w:r>
          </w:p>
        </w:tc>
      </w:tr>
      <w:tr w:rsidR="00DF33B3" w:rsidRPr="00FE7E29" w14:paraId="76FAF357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3942658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58FD6D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401 (9.5)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A31938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 (17.1)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AF670D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339 (8.8)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B53180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232 (3.2)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1DCCD7F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 (4.2)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6863DB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151 (2.8)</w:t>
            </w:r>
          </w:p>
        </w:tc>
      </w:tr>
      <w:tr w:rsidR="00DF33B3" w:rsidRPr="00FE7E29" w14:paraId="605F9EC4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4564A97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Current smoker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4D78519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710 (16.8)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DF7D7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104 (28.7)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67DD86D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606 (15.7)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889BD1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633 (8.7)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727176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161 (8.4)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51B9CFA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472 (8.9)</w:t>
            </w:r>
          </w:p>
        </w:tc>
      </w:tr>
      <w:tr w:rsidR="00DF33B3" w:rsidRPr="00FE7E29" w14:paraId="5D77FC60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F5ABD63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Education level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720664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101113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0FED0F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AA24C1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4F4F1F4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9708A5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307B7AD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F19E7BC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Less than high school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FDBF09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573 (13.5)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3AA7E4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170 (47.0)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EBBD33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403 (10.4)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6A1F7B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1,550 (21.4)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3EA9C79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774 (40.2)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25A625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776 (14.6)</w:t>
            </w:r>
          </w:p>
        </w:tc>
      </w:tr>
      <w:tr w:rsidR="00DF33B3" w:rsidRPr="00FE7E29" w14:paraId="337B6E46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23B49E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GED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0D4BB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203 (4.8)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C1EC7B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 (5.5)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3E124D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183 (4.7)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F4FA9D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326 (4.5)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E32A2F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91 (4.7)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7A3017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235 (4.4)</w:t>
            </w:r>
          </w:p>
        </w:tc>
      </w:tr>
      <w:tr w:rsidR="00DF33B3" w:rsidRPr="00FE7E29" w14:paraId="61C947C4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1423093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High school graduate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34E334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1,067 (25.2)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A11BCE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86 (23.8)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589A84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981 (25.3)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D0A07B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2,372 (32.7)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14D6890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539 (28.0)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553254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1,833 (34.4)</w:t>
            </w:r>
          </w:p>
        </w:tc>
      </w:tr>
      <w:tr w:rsidR="00DF33B3" w:rsidRPr="00FE7E29" w14:paraId="6673BED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1D30E89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Some college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8E1599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1,190 (28.1)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835C1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63 (17.4)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141DB3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1,127 (29.1)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68348A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1,498 (20.7)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5865A8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300 (15.6)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E4BA13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1,198 (22.5)</w:t>
            </w:r>
          </w:p>
        </w:tc>
      </w:tr>
      <w:tr w:rsidR="00DF33B3" w:rsidRPr="00FE7E29" w14:paraId="5ABC4246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16C7F65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College and above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A5FF7E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1,200 (28.3)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EB5DA7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 (6.3)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18BF1F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1,177 (30.4)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0CE2A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1,503 (20.7)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203603C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223 (11.6)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33CB36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1,280 (24.1)</w:t>
            </w:r>
          </w:p>
        </w:tc>
      </w:tr>
      <w:tr w:rsidR="00DF33B3" w:rsidRPr="00484CBB" w14:paraId="457F9B3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34763EE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BMI and metabolic health measures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64D1558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DCB4BD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0B28D37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8445E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DEEE0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505E1CB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76F4B46D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B71D8C1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BMI in kg/m</w:t>
            </w: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69954D2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30.5 (6.0)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BE111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30.7 (6.0)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59A14D4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30.5 (6.0)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1C1DAA8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29.3 (5.5)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23D6C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28.9 (5.6)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2EF48DE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29.5 (5.5)</w:t>
            </w:r>
          </w:p>
        </w:tc>
      </w:tr>
      <w:tr w:rsidR="00DF33B3" w:rsidRPr="00FE7E29" w14:paraId="49633A8D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4BAADD0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Systolic BP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28AAD3E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127.7 (18.8)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C90793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131.7 (20.7)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0D864E0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127.3 (18.6)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746D2F3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133.7 (20.6)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B98A2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135.8 (21.9)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37F4E78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132.9 (20.0)</w:t>
            </w:r>
          </w:p>
        </w:tc>
      </w:tr>
      <w:tr w:rsidR="00DF33B3" w:rsidRPr="00FE7E29" w14:paraId="74E93D41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ECA0D82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Diastolic BP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28752FB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81.3 (11.1)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2B419C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82.7 (12.5)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424DDE2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81.1 (11.0)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404F74F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78.0 (11.4)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3475E4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78.0 (11.9)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23F7CFB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78.1 (11.2)</w:t>
            </w:r>
          </w:p>
        </w:tc>
      </w:tr>
      <w:tr w:rsidR="00DF33B3" w:rsidRPr="00FE7E29" w14:paraId="0E225A79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2DFDE46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HbA1c in %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515F006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5.9 (1.1)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49FCC4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 (1.4)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416DB87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 (1.1)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294A3E7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5.9 (0.9)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4B2C8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6.0 (1.0)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7EF813F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 (0.9)</w:t>
            </w:r>
          </w:p>
        </w:tc>
      </w:tr>
      <w:tr w:rsidR="00DF33B3" w:rsidRPr="00FE7E29" w14:paraId="35BE2F71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6F59DE9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HDL-C level in mg/dL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27B7D83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55.2 (16.5)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EDED3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52.0 (15.4)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0CB2959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55.5 (16.5)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A21EC0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54.1 (16.0)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26842B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53.6 (16.0)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34D3A06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54.3 (16.1)</w:t>
            </w:r>
          </w:p>
        </w:tc>
      </w:tr>
      <w:tr w:rsidR="00DF33B3" w:rsidRPr="00484CBB" w14:paraId="58BDEE30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C2EE495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Metabolic health and weight phenotypes</w:t>
            </w:r>
            <w:r w:rsidRPr="00FE7E29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E03FC8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9FA82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61FE9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C7026A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4587483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1EAD36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3255AEC6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9678F5E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MHNO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4F3BA2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1,480 (35.0)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5393C1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86 (23.8)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FC2201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1,394 (36.0)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556940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2,262 (31.2)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2579EA2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555 (28.8)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118753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1,707 (32.1)</w:t>
            </w:r>
          </w:p>
        </w:tc>
      </w:tr>
      <w:tr w:rsidR="00DF33B3" w:rsidRPr="00FE7E29" w14:paraId="2E6C7D27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C1EBC12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MHO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221C5B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839 (19.8)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4AB131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 (15.7)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2090F4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782 (20.2)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09B3B0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917 (12.7)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3E33821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194 (10.1)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9124EF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723 (13.6)</w:t>
            </w:r>
          </w:p>
        </w:tc>
      </w:tr>
      <w:tr w:rsidR="00DF33B3" w:rsidRPr="00FE7E29" w14:paraId="7451CFBC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309FAB7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MUNO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0E4052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726 (17.2)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6A5F49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 (24.9)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7A44B3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636 (16.4)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4E79CC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2,068 (28.5)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475956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651 (33.8)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DF1122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1,417 (26.6)</w:t>
            </w:r>
          </w:p>
        </w:tc>
      </w:tr>
      <w:tr w:rsidR="00DF33B3" w:rsidRPr="00FE7E29" w14:paraId="7FEE8F6D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B4547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CBD708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1,188 (28.0)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A92228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129 (35.6)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42E77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1,059 (27.4)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18B76F7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2,002 (27.6)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03C05E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527 (27.3)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BAD79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1,475 (27.7)</w:t>
            </w:r>
          </w:p>
        </w:tc>
      </w:tr>
    </w:tbl>
    <w:p w14:paraId="7E01504A" w14:textId="77777777" w:rsidR="00DF33B3" w:rsidRDefault="00DF33B3" w:rsidP="00DF33B3">
      <w:pPr>
        <w:spacing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FE7E29">
        <w:rPr>
          <w:rFonts w:ascii="Times New Roman" w:hAnsi="Times New Roman" w:cs="Times New Roman"/>
          <w:lang w:val="en-US"/>
        </w:rPr>
        <w:t>Descriptive statistics for the Health and Retirement Study sample with measures taken in midlife (ages ≤65 years) or late-life (ages &gt;65 years), for the total analytical sample and by dementia status. Numbers are presented as mean and standard deviation of continuous variables and numbers and percentages of categorical variables.</w:t>
      </w:r>
      <w:r w:rsidRPr="00FE7E29">
        <w:rPr>
          <w:rFonts w:ascii="Times New Roman" w:hAnsi="Times New Roman" w:cs="Times New Roman"/>
          <w:lang w:val="en-US"/>
        </w:rPr>
        <w:tab/>
      </w:r>
      <w:r w:rsidRPr="00FE7E29">
        <w:rPr>
          <w:rFonts w:ascii="Times New Roman" w:hAnsi="Times New Roman" w:cs="Times New Roman"/>
          <w:lang w:val="en-US"/>
        </w:rPr>
        <w:br/>
      </w:r>
      <w:r w:rsidRPr="00FE7E29">
        <w:rPr>
          <w:rFonts w:ascii="Times New Roman" w:hAnsi="Times New Roman" w:cs="Times New Roman"/>
          <w:lang w:val="en-US"/>
        </w:rPr>
        <w:br/>
        <w:t>Abbreviations: BMI – Body mass index, BP – Blood pressure</w:t>
      </w:r>
      <w:r w:rsidRPr="00FE7E29">
        <w:rPr>
          <w:rFonts w:ascii="Times New Roman" w:eastAsia="Times New Roman" w:hAnsi="Times New Roman" w:cs="Times New Roman"/>
          <w:lang w:val="en-US"/>
        </w:rPr>
        <w:t xml:space="preserve">, </w:t>
      </w:r>
      <w:r w:rsidRPr="00FE7E29">
        <w:rPr>
          <w:rFonts w:ascii="Times New Roman" w:hAnsi="Times New Roman" w:cs="Times New Roman"/>
          <w:lang w:val="en-US"/>
        </w:rPr>
        <w:t xml:space="preserve">GED – </w:t>
      </w:r>
      <w:r w:rsidRPr="00FE7E29">
        <w:rPr>
          <w:rFonts w:ascii="Times New Roman" w:eastAsia="Times New Roman" w:hAnsi="Times New Roman" w:cs="Times New Roman"/>
          <w:lang w:val="en-US"/>
        </w:rPr>
        <w:t xml:space="preserve">General Educational Development, HbA1c – Hemoglobin A1c, </w:t>
      </w:r>
      <w:r w:rsidRPr="00FE7E29">
        <w:rPr>
          <w:rFonts w:ascii="Times New Roman" w:hAnsi="Times New Roman" w:cs="Times New Roman"/>
          <w:lang w:val="en-US"/>
        </w:rPr>
        <w:t>HDL-C – High-Density Lipoprotein Cholesterol</w:t>
      </w:r>
      <w:r w:rsidRPr="00FE7E29">
        <w:rPr>
          <w:rFonts w:ascii="Times New Roman" w:eastAsia="Times New Roman" w:hAnsi="Times New Roman" w:cs="Times New Roman"/>
          <w:lang w:val="en-US"/>
        </w:rPr>
        <w:t xml:space="preserve">, </w:t>
      </w:r>
      <w:r w:rsidRPr="00FE7E29">
        <w:rPr>
          <w:rFonts w:ascii="Times New Roman" w:hAnsi="Times New Roman" w:cs="Times New Roman"/>
          <w:lang w:val="en-US"/>
        </w:rPr>
        <w:t xml:space="preserve">MHNO – Metabolically healthy no obesity, MHO – Metabolically healthy obesity, MUNO – Metabolically unhealthy no obesity, MUO – Metabolically unhealthy obesity, N – Number of individuals, </w:t>
      </w:r>
      <w:r w:rsidRPr="00FE7E29">
        <w:rPr>
          <w:rFonts w:ascii="Times New Roman" w:eastAsia="Times New Roman" w:hAnsi="Times New Roman" w:cs="Times New Roman"/>
          <w:lang w:val="en-US"/>
        </w:rPr>
        <w:t>SD – Standard deviation.</w:t>
      </w:r>
      <w:r w:rsidRPr="00FE7E29">
        <w:rPr>
          <w:rFonts w:ascii="Times New Roman" w:eastAsia="Times New Roman" w:hAnsi="Times New Roman" w:cs="Times New Roman"/>
          <w:lang w:val="en-US"/>
        </w:rPr>
        <w:tab/>
      </w:r>
    </w:p>
    <w:p w14:paraId="1372254A" w14:textId="77777777" w:rsidR="00DF33B3" w:rsidRDefault="00DF33B3" w:rsidP="00DF33B3">
      <w:pPr>
        <w:spacing w:line="240" w:lineRule="auto"/>
        <w:jc w:val="both"/>
        <w:rPr>
          <w:rFonts w:ascii="Times New Roman" w:hAnsi="Times New Roman" w:cs="Times New Roman"/>
          <w:lang w:val="en-US"/>
        </w:rPr>
        <w:sectPr w:rsidR="00DF33B3" w:rsidSect="00DF33B3">
          <w:pgSz w:w="11906" w:h="16838"/>
          <w:pgMar w:top="1417" w:right="1417" w:bottom="1417" w:left="1417" w:header="708" w:footer="708" w:gutter="0"/>
          <w:lnNumType w:countBy="1"/>
          <w:cols w:space="708"/>
          <w:docGrid w:linePitch="360"/>
        </w:sectPr>
      </w:pPr>
    </w:p>
    <w:p w14:paraId="1D0D4BD8" w14:textId="77777777" w:rsidR="00DF33B3" w:rsidRPr="00FE7E29" w:rsidRDefault="00DF33B3" w:rsidP="00DF33B3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FE7E29">
        <w:rPr>
          <w:rFonts w:ascii="Times New Roman" w:hAnsi="Times New Roman" w:cs="Times New Roman"/>
          <w:b/>
          <w:bCs/>
          <w:lang w:val="en-US"/>
        </w:rPr>
        <w:lastRenderedPageBreak/>
        <w:t>Table 2. Descriptive characteristics of the Swedish Twin Registry sample</w:t>
      </w:r>
      <w:r>
        <w:rPr>
          <w:rFonts w:ascii="Times New Roman" w:hAnsi="Times New Roman" w:cs="Times New Roman"/>
          <w:b/>
          <w:bCs/>
          <w:lang w:val="en-US"/>
        </w:rPr>
        <w:t xml:space="preserve"> at baseline</w:t>
      </w:r>
      <w:r w:rsidRPr="00FE7E29">
        <w:rPr>
          <w:rFonts w:ascii="Times New Roman" w:hAnsi="Times New Roman" w:cs="Times New Roman"/>
          <w:b/>
          <w:bCs/>
          <w:lang w:val="en-US"/>
        </w:rPr>
        <w:t>.</w:t>
      </w:r>
    </w:p>
    <w:tbl>
      <w:tblPr>
        <w:tblStyle w:val="TableGrid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774"/>
        <w:gridCol w:w="62"/>
        <w:gridCol w:w="1134"/>
        <w:gridCol w:w="1207"/>
        <w:gridCol w:w="1486"/>
        <w:gridCol w:w="1315"/>
        <w:gridCol w:w="1398"/>
        <w:gridCol w:w="1398"/>
      </w:tblGrid>
      <w:tr w:rsidR="00DF33B3" w:rsidRPr="00FE7E29" w14:paraId="16BCDDFD" w14:textId="77777777" w:rsidTr="00961604">
        <w:tc>
          <w:tcPr>
            <w:tcW w:w="2836" w:type="dxa"/>
            <w:gridSpan w:val="2"/>
            <w:tcBorders>
              <w:right w:val="nil"/>
            </w:tcBorders>
          </w:tcPr>
          <w:p w14:paraId="22236DA5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gridSpan w:val="3"/>
            <w:tcBorders>
              <w:left w:val="nil"/>
            </w:tcBorders>
          </w:tcPr>
          <w:p w14:paraId="4432140E" w14:textId="77777777" w:rsidR="00DF33B3" w:rsidRPr="00E153EC" w:rsidRDefault="00DF33B3" w:rsidP="00961604">
            <w:pPr>
              <w:tabs>
                <w:tab w:val="left" w:pos="299"/>
                <w:tab w:val="center" w:pos="188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153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Midlife study population (</w:t>
            </w:r>
            <w:r w:rsidRPr="00C428E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en-US"/>
              </w:rPr>
              <w:t>≤</w:t>
            </w:r>
            <w:r w:rsidRPr="00C428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65)</w:t>
            </w:r>
          </w:p>
        </w:tc>
        <w:tc>
          <w:tcPr>
            <w:tcW w:w="4111" w:type="dxa"/>
            <w:gridSpan w:val="3"/>
          </w:tcPr>
          <w:p w14:paraId="50383101" w14:textId="77777777" w:rsidR="00DF33B3" w:rsidRPr="00E153EC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153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Late-life study population (&gt;65)</w:t>
            </w:r>
          </w:p>
        </w:tc>
      </w:tr>
      <w:tr w:rsidR="00DF33B3" w:rsidRPr="00FE7E29" w14:paraId="7C48C4D6" w14:textId="77777777" w:rsidTr="00961604">
        <w:tc>
          <w:tcPr>
            <w:tcW w:w="2774" w:type="dxa"/>
            <w:tcBorders>
              <w:bottom w:val="single" w:sz="8" w:space="0" w:color="auto"/>
            </w:tcBorders>
          </w:tcPr>
          <w:p w14:paraId="669CF89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96" w:type="dxa"/>
            <w:gridSpan w:val="2"/>
            <w:tcBorders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EF9B636" w14:textId="77777777" w:rsidR="00DF33B3" w:rsidRPr="00FE7E29" w:rsidRDefault="00DF33B3" w:rsidP="0096160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analytical sample</w:t>
            </w:r>
          </w:p>
        </w:tc>
        <w:tc>
          <w:tcPr>
            <w:tcW w:w="1207" w:type="dxa"/>
            <w:tcBorders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CD00B09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86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44434CF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 dementia</w:t>
            </w:r>
          </w:p>
        </w:tc>
        <w:tc>
          <w:tcPr>
            <w:tcW w:w="1315" w:type="dxa"/>
            <w:tcBorders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7AAA931" w14:textId="77777777" w:rsidR="00DF33B3" w:rsidRPr="00FE7E29" w:rsidRDefault="00DF33B3" w:rsidP="009616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analytical sample</w:t>
            </w:r>
          </w:p>
        </w:tc>
        <w:tc>
          <w:tcPr>
            <w:tcW w:w="1398" w:type="dxa"/>
            <w:tcBorders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92974ED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398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775D73" w14:textId="77777777" w:rsidR="00DF33B3" w:rsidRPr="00FE7E29" w:rsidRDefault="00DF33B3" w:rsidP="0096160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 dementia</w:t>
            </w:r>
          </w:p>
        </w:tc>
      </w:tr>
      <w:tr w:rsidR="00DF33B3" w:rsidRPr="00FE7E29" w14:paraId="53F6CBA5" w14:textId="77777777" w:rsidTr="00961604">
        <w:tc>
          <w:tcPr>
            <w:tcW w:w="27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EB45190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Incidence rate, cases per 1000 person-years 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36A9B2B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3.4</w:t>
            </w:r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38FEA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508F0C8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1AE0CDD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18.4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D469F4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59595AA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F33B3" w:rsidRPr="00FE7E29" w14:paraId="3A7A1C9E" w14:textId="77777777" w:rsidTr="00961604">
        <w:tc>
          <w:tcPr>
            <w:tcW w:w="27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3DEF6E21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560C52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5,856</w:t>
            </w:r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C772E0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(5.6)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532C738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5,529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(94.4)</w:t>
            </w:r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6B586DA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7,212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73DD0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1,669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(23.1)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9F2963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E2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5,543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(76.9)</w:t>
            </w:r>
          </w:p>
        </w:tc>
      </w:tr>
      <w:tr w:rsidR="00DF33B3" w:rsidRPr="00FE7E29" w14:paraId="0A58AC3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9A8A24D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Female sex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5675A0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3,266 (55.8)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8F6D57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181 (55.4)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6895F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3,085 (55.8)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74E0D4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3,863 (53.6)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85F5F5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959 (57.5)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DA4A1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2,904 (52.4)</w:t>
            </w:r>
          </w:p>
        </w:tc>
      </w:tr>
      <w:tr w:rsidR="00DF33B3" w:rsidRPr="00FE7E29" w14:paraId="6C16C640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6D2C638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Age in years at baseline</w:t>
            </w:r>
          </w:p>
          <w:p w14:paraId="5F0B13D4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704A2C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59.1 (3.9)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7E5825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60.5 (3.3)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AC4FE9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59.0 (3.9)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268DF2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72.4 (6.1)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1C456FE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73.9 (5.9)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EE396A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71.9 (6.0)</w:t>
            </w:r>
          </w:p>
        </w:tc>
      </w:tr>
      <w:tr w:rsidR="00DF33B3" w:rsidRPr="00FE7E29" w14:paraId="4E765F4E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0C079B0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Age in years at last follow-up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309394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75. 7 (4.8)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E6C7D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76.6 (5.9)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478E1AD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75.7 (4.7)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1A779E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85.0 (6.0)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FB57D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83.9 (6.0)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4564FE2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85.3 (5.9)</w:t>
            </w:r>
          </w:p>
        </w:tc>
      </w:tr>
      <w:tr w:rsidR="00DF33B3" w:rsidRPr="00FE7E29" w14:paraId="7FD4F067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E33096E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Current smoker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FD8F7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3,725 (63.6)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766FA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201 (61.5)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A6FB6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3,524 (63.7)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07FAE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3,730 (51.7)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326C2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789 (47.3)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6CF3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2,941 (53.1)</w:t>
            </w:r>
          </w:p>
        </w:tc>
      </w:tr>
      <w:tr w:rsidR="00DF33B3" w:rsidRPr="00FE7E29" w14:paraId="647D4D5C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7178E50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Education level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4DBB664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950B6F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188832D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C14424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3F1FD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40B46B1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351072AE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60DB3DD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≤7 years of education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B9FF4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1,392 (23.8)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883000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94 (28.7)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A550C9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1,298 (23.5)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518D7A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3,021 (41.9)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515269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743 (44.5)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7752B7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2,278 (41.1)</w:t>
            </w:r>
          </w:p>
        </w:tc>
      </w:tr>
      <w:tr w:rsidR="00DF33B3" w:rsidRPr="00FE7E29" w14:paraId="1389BDB5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30C54E0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&gt;7 years of education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B21032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4,464 (76.2)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C82804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233 (71.3)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7F00F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4,231 (76.5)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455359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4,191 (58.1)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3F683C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926 (55.5)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29540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3,265 (58.9)</w:t>
            </w:r>
          </w:p>
        </w:tc>
      </w:tr>
      <w:tr w:rsidR="00DF33B3" w:rsidRPr="00484CBB" w14:paraId="28820FB0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63F738A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BMI and metabolic health measures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6B40441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81AAE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5885694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1125C0F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67645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4982584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5020DF83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0A08FA2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BMI in kg/m</w:t>
            </w: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FE7E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B2F24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26.0 (3.9)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0538A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25.9 (3.5)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5B349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26.0 (4.0)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FE2B9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26.1 (3.8)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DC62A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25.9 (3.6)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C09BA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26.1 (3.9)</w:t>
            </w:r>
          </w:p>
        </w:tc>
      </w:tr>
      <w:tr w:rsidR="00DF33B3" w:rsidRPr="00FE7E29" w14:paraId="48F8E848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82B901D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Systolic BP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44751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135.0 (18.3)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DA57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139.9 (19.8)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D0939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134.7 (18.2)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BB539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146.7 (21.2)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8276C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147.4 (21.4)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12E57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146.5 (21.1)</w:t>
            </w:r>
          </w:p>
        </w:tc>
      </w:tr>
      <w:tr w:rsidR="00DF33B3" w:rsidRPr="00FE7E29" w14:paraId="04755A54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FF3EFE5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Diastolic BP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46E09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82.8 (10.5)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229D6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84.4 (10.5)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FD5A20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82.7 (10.5)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77521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81.7 (10.7)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944B3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81.3 (11.0)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164C2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81.9 (10.6)</w:t>
            </w:r>
          </w:p>
        </w:tc>
      </w:tr>
      <w:tr w:rsidR="00DF33B3" w:rsidRPr="00FE7E29" w14:paraId="0BCED514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5170549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HbA1c in %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3280E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4.7 (0.6)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837B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4.8 (0.9)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CF70C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4.7 (0.6)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266CB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 (0.7)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4997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 (0.7)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1F676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 (0.7)</w:t>
            </w:r>
          </w:p>
        </w:tc>
      </w:tr>
      <w:tr w:rsidR="00DF33B3" w:rsidRPr="00FE7E29" w14:paraId="6614AA4D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8D12115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Glucose level in mmol/L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29EEDAA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 (1.3)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47F39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4.8 (1.5)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2258D268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 (1.3)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448C9E7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 (2.2)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A9493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 (1.8)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366BF14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5.6 (2.4)</w:t>
            </w:r>
          </w:p>
        </w:tc>
      </w:tr>
      <w:tr w:rsidR="00DF33B3" w:rsidRPr="00FE7E29" w14:paraId="273D077B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1D646EE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HDL-C level in mmol/L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546BF51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A5A0D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0918F24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1D13B69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513B3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7F597DD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(0.4)</w:t>
            </w:r>
          </w:p>
        </w:tc>
      </w:tr>
      <w:tr w:rsidR="00DF33B3" w:rsidRPr="00FE7E29" w14:paraId="074BDFD4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B54CF06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Triglycerides in mmol/L (mean, (SD))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2F97151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 (0.8)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11BDC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(0.8)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0DAB00CC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 (0.8)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</w:tcPr>
          <w:p w14:paraId="744A42BC" w14:textId="77777777" w:rsidR="00DF33B3" w:rsidRPr="00FE7E29" w:rsidRDefault="00DF33B3" w:rsidP="00961604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 (0.8)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EF2214" w14:textId="77777777" w:rsidR="00DF33B3" w:rsidRPr="00FE7E29" w:rsidRDefault="00DF33B3" w:rsidP="00961604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 (0.9)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73FB35CD" w14:textId="77777777" w:rsidR="00DF33B3" w:rsidRPr="00FE7E29" w:rsidRDefault="00DF33B3" w:rsidP="00961604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 (0.8)</w:t>
            </w:r>
          </w:p>
        </w:tc>
      </w:tr>
      <w:tr w:rsidR="00DF33B3" w:rsidRPr="00484CBB" w14:paraId="2401881C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4D6804A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Metabolic health and weight phenotypes</w:t>
            </w:r>
            <w:r w:rsidRPr="00FE7E29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34045A2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60401C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02C6220B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</w:tcPr>
          <w:p w14:paraId="0614AA2F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1D18AA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</w:tcPr>
          <w:p w14:paraId="3EC1986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F33B3" w:rsidRPr="00FE7E29" w14:paraId="465AB1B7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9CF4CF9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MHNO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0C8CC2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3,404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(58.1)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24C593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192 (58.7)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6069E0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3,212 (58.1)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E8EAE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>3,483 (48.3)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088658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806 (48.3)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BABBC11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2,677 (48.3)</w:t>
            </w:r>
          </w:p>
        </w:tc>
      </w:tr>
      <w:tr w:rsidR="00DF33B3" w:rsidRPr="00FE7E29" w14:paraId="348A91C5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06095A5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MHO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4599E74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298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(5.1)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D2094DD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 (3.4)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FBE27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287 (5.2)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B2CA72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318 (4.4)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B1589E3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 (3.5)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57BA1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259 (4.7)</w:t>
            </w:r>
          </w:p>
        </w:tc>
      </w:tr>
      <w:tr w:rsidR="00DF33B3" w:rsidRPr="00FE7E29" w14:paraId="60191816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306F9C0" w14:textId="77777777" w:rsidR="00DF33B3" w:rsidRPr="00FE7E29" w:rsidRDefault="00DF33B3" w:rsidP="0096160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MUNO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DA803A7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1,622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(27.7)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1A113C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94 (28.7)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7FB72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1,528 (27.6)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DA1CCB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2,745 (38.1)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337BD96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680 (40.7)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C70D7F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2,065 (37.3)</w:t>
            </w:r>
          </w:p>
        </w:tc>
      </w:tr>
      <w:tr w:rsidR="00DF33B3" w:rsidRPr="00FE7E29" w14:paraId="4C34F98F" w14:textId="77777777" w:rsidTr="00961604">
        <w:tc>
          <w:tcPr>
            <w:tcW w:w="27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BDE52A" w14:textId="77777777" w:rsidR="00DF33B3" w:rsidRPr="00FE7E29" w:rsidRDefault="00DF33B3" w:rsidP="00961604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MUO</w:t>
            </w:r>
          </w:p>
        </w:tc>
        <w:tc>
          <w:tcPr>
            <w:tcW w:w="119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90D5D5E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532 </w:t>
            </w: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(9.1)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0C3A23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 (9.2)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C32BAE5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502 (9.1)</w:t>
            </w:r>
          </w:p>
        </w:tc>
        <w:tc>
          <w:tcPr>
            <w:tcW w:w="131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138D5C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666 (9.2)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C6D42FA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124 (7.4)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6AF3FF2" w14:textId="77777777" w:rsidR="00DF33B3" w:rsidRPr="00FE7E29" w:rsidRDefault="00DF33B3" w:rsidP="00961604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7E2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542 (9.8)</w:t>
            </w:r>
          </w:p>
        </w:tc>
      </w:tr>
    </w:tbl>
    <w:p w14:paraId="2756CA34" w14:textId="77777777" w:rsidR="00DF33B3" w:rsidRDefault="00DF33B3" w:rsidP="00DF33B3">
      <w:pPr>
        <w:jc w:val="both"/>
        <w:rPr>
          <w:rFonts w:ascii="Times New Roman" w:eastAsia="Times New Roman" w:hAnsi="Times New Roman" w:cs="Times New Roman"/>
          <w:lang w:val="en-US"/>
        </w:rPr>
      </w:pPr>
      <w:r w:rsidRPr="00FE7E29">
        <w:rPr>
          <w:rFonts w:ascii="Times New Roman" w:hAnsi="Times New Roman" w:cs="Times New Roman"/>
          <w:lang w:val="en-US"/>
        </w:rPr>
        <w:t>Descriptive statistics for the Swedish Twin Registry sample with measures taken in midlife (ages ≤65 years) or late-life (ages &gt;65 years), for the total analytical sample and by dementia status. Numbers are presented as mean and standard deviation of continuous variables and numbers and percentages of categorical variables.</w:t>
      </w:r>
      <w:r w:rsidRPr="00FE7E29">
        <w:rPr>
          <w:rFonts w:ascii="Times New Roman" w:hAnsi="Times New Roman" w:cs="Times New Roman"/>
          <w:lang w:val="en-US"/>
        </w:rPr>
        <w:tab/>
      </w:r>
      <w:r w:rsidRPr="00FE7E29">
        <w:rPr>
          <w:rFonts w:ascii="Times New Roman" w:hAnsi="Times New Roman" w:cs="Times New Roman"/>
          <w:lang w:val="en-US"/>
        </w:rPr>
        <w:br/>
      </w:r>
      <w:r w:rsidRPr="00FE7E29">
        <w:rPr>
          <w:rFonts w:ascii="Times New Roman" w:hAnsi="Times New Roman" w:cs="Times New Roman"/>
          <w:lang w:val="en-US"/>
        </w:rPr>
        <w:br/>
        <w:t>Abbreviations: BMI – Body mass index, BP – Blood pressure</w:t>
      </w:r>
      <w:r w:rsidRPr="00FE7E29">
        <w:rPr>
          <w:rFonts w:ascii="Times New Roman" w:eastAsia="Times New Roman" w:hAnsi="Times New Roman" w:cs="Times New Roman"/>
          <w:lang w:val="en-US"/>
        </w:rPr>
        <w:t xml:space="preserve">, HbA1c – Hemoglobin A1c, </w:t>
      </w:r>
      <w:r w:rsidRPr="00FE7E29">
        <w:rPr>
          <w:rFonts w:ascii="Times New Roman" w:hAnsi="Times New Roman" w:cs="Times New Roman"/>
          <w:lang w:val="en-US"/>
        </w:rPr>
        <w:t>HDL-C – High-Density Lipoprotein Cholesterol</w:t>
      </w:r>
      <w:r w:rsidRPr="00FE7E29">
        <w:rPr>
          <w:rFonts w:ascii="Times New Roman" w:eastAsia="Times New Roman" w:hAnsi="Times New Roman" w:cs="Times New Roman"/>
          <w:lang w:val="en-US"/>
        </w:rPr>
        <w:t xml:space="preserve">, </w:t>
      </w:r>
      <w:r w:rsidRPr="00FE7E29">
        <w:rPr>
          <w:rFonts w:ascii="Times New Roman" w:hAnsi="Times New Roman" w:cs="Times New Roman"/>
          <w:lang w:val="en-US"/>
        </w:rPr>
        <w:t xml:space="preserve">MHNO – Metabolically healthy no obesity, MHO – Metabolically healthy obesity, MUNO – Metabolically unhealthy no obesity, MUO – Metabolically unhealthy obesity, N – Number of individuals, </w:t>
      </w:r>
      <w:r w:rsidRPr="00FE7E29">
        <w:rPr>
          <w:rFonts w:ascii="Times New Roman" w:eastAsia="Times New Roman" w:hAnsi="Times New Roman" w:cs="Times New Roman"/>
          <w:lang w:val="en-US"/>
        </w:rPr>
        <w:t>SD – Standard deviation.</w:t>
      </w:r>
      <w:r w:rsidRPr="00FE7E29">
        <w:rPr>
          <w:rFonts w:ascii="Times New Roman" w:eastAsia="Times New Roman" w:hAnsi="Times New Roman" w:cs="Times New Roman"/>
          <w:lang w:val="en-US"/>
        </w:rPr>
        <w:tab/>
      </w:r>
    </w:p>
    <w:p w14:paraId="73BF34C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B3"/>
    <w:rsid w:val="000C4033"/>
    <w:rsid w:val="004B42CB"/>
    <w:rsid w:val="00650609"/>
    <w:rsid w:val="006E1731"/>
    <w:rsid w:val="00B260B7"/>
    <w:rsid w:val="00B85331"/>
    <w:rsid w:val="00DF33B3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7CB5B"/>
  <w15:chartTrackingRefBased/>
  <w15:docId w15:val="{81F55270-D484-48CF-A1A0-72E28EAB5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3B3"/>
    <w:pPr>
      <w:spacing w:line="259" w:lineRule="auto"/>
    </w:pPr>
    <w:rPr>
      <w:rFonts w:eastAsiaTheme="minorEastAsia"/>
      <w:sz w:val="22"/>
      <w:szCs w:val="22"/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3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3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3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3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3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3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3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3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3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3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3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3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3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3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3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3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3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3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3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F33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3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F33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3B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F33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3B3"/>
    <w:pPr>
      <w:spacing w:line="278" w:lineRule="auto"/>
      <w:ind w:left="720"/>
      <w:contextualSpacing/>
    </w:pPr>
    <w:rPr>
      <w:rFonts w:eastAsiaTheme="minorHAnsi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F33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3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3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3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33B3"/>
    <w:pPr>
      <w:spacing w:after="0" w:line="240" w:lineRule="auto"/>
    </w:pPr>
    <w:rPr>
      <w:rFonts w:eastAsiaTheme="minorEastAsia"/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F3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884</Words>
  <Characters>4925</Characters>
  <Application>Microsoft Office Word</Application>
  <DocSecurity>0</DocSecurity>
  <Lines>120</Lines>
  <Paragraphs>51</Paragraphs>
  <ScaleCrop>false</ScaleCrop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2026-03-12T06:07:00Z</dcterms:created>
  <dcterms:modified xsi:type="dcterms:W3CDTF">2026-03-12T06:08:00Z</dcterms:modified>
</cp:coreProperties>
</file>