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0676" w14:textId="77777777" w:rsidR="00963A5C" w:rsidRPr="00325F1D" w:rsidRDefault="00963A5C" w:rsidP="00963A5C">
      <w:pPr>
        <w:pBdr>
          <w:top w:val="nil"/>
          <w:left w:val="nil"/>
          <w:bottom w:val="nil"/>
          <w:right w:val="nil"/>
          <w:between w:val="nil"/>
        </w:pBdr>
        <w:spacing w:before="120" w:after="240" w:line="360" w:lineRule="auto"/>
        <w:jc w:val="both"/>
        <w:rPr>
          <w:rFonts w:eastAsia="맑은 고딕" w:cs="맑은 고딕"/>
          <w:color w:val="0D0D0D"/>
          <w:sz w:val="32"/>
          <w:szCs w:val="32"/>
        </w:rPr>
      </w:pPr>
      <w:r w:rsidRPr="00325F1D">
        <w:rPr>
          <w:rFonts w:eastAsia="맑은 고딕" w:cs="맑은 고딕"/>
          <w:color w:val="0D0D0D"/>
          <w:sz w:val="32"/>
          <w:szCs w:val="32"/>
        </w:rPr>
        <w:t>SUPPLEMENTARY</w:t>
      </w:r>
    </w:p>
    <w:p w14:paraId="7BDEC564" w14:textId="77777777" w:rsidR="00963A5C" w:rsidRPr="00325F1D" w:rsidRDefault="00963A5C" w:rsidP="00963A5C">
      <w:pPr>
        <w:spacing w:before="240" w:line="360" w:lineRule="auto"/>
        <w:jc w:val="both"/>
        <w:rPr>
          <w:rFonts w:eastAsia="맑은 고딕" w:cs="Times New Roman"/>
          <w:i/>
          <w:iCs/>
          <w:sz w:val="28"/>
          <w:szCs w:val="28"/>
        </w:rPr>
      </w:pPr>
      <w:r w:rsidRPr="00325F1D">
        <w:rPr>
          <w:rFonts w:eastAsia="Times New Roman" w:cs="Times New Roman"/>
          <w:i/>
          <w:iCs/>
          <w:sz w:val="28"/>
          <w:szCs w:val="28"/>
        </w:rPr>
        <w:t>Supplementary Figures</w:t>
      </w:r>
    </w:p>
    <w:p w14:paraId="1F81A8EE" w14:textId="7660CE10" w:rsidR="004F41D3" w:rsidRDefault="004F41D3" w:rsidP="004F41D3">
      <w:pPr>
        <w:pBdr>
          <w:top w:val="nil"/>
          <w:left w:val="nil"/>
          <w:bottom w:val="nil"/>
          <w:right w:val="nil"/>
          <w:between w:val="nil"/>
        </w:pBdr>
        <w:spacing w:after="240" w:line="275" w:lineRule="auto"/>
        <w:rPr>
          <w:color w:val="1B1C1D"/>
        </w:rPr>
      </w:pPr>
      <w:r>
        <w:rPr>
          <w:noProof/>
          <w:color w:val="1B1C1D"/>
        </w:rPr>
        <w:drawing>
          <wp:inline distT="114300" distB="114300" distL="114300" distR="114300" wp14:anchorId="08EE8BF4" wp14:editId="427BC703">
            <wp:extent cx="5943598" cy="2340262"/>
            <wp:effectExtent l="0" t="0" r="0" b="0"/>
            <wp:docPr id="9092644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943598" cy="2340262"/>
                    </a:xfrm>
                    <a:prstGeom prst="rect">
                      <a:avLst/>
                    </a:prstGeom>
                    <a:ln/>
                  </pic:spPr>
                </pic:pic>
              </a:graphicData>
            </a:graphic>
          </wp:inline>
        </w:drawing>
      </w:r>
    </w:p>
    <w:p w14:paraId="4C3A718D" w14:textId="77777777" w:rsidR="004F41D3" w:rsidRPr="004F41D3" w:rsidRDefault="004F41D3" w:rsidP="004F41D3">
      <w:pPr>
        <w:spacing w:after="240" w:line="273" w:lineRule="auto"/>
        <w:jc w:val="both"/>
        <w:rPr>
          <w:rFonts w:eastAsia="Times New Roman" w:cs="Times New Roman"/>
          <w:color w:val="1B1C1D"/>
          <w:sz w:val="20"/>
          <w:szCs w:val="20"/>
        </w:rPr>
      </w:pPr>
      <w:r w:rsidRPr="004F41D3">
        <w:rPr>
          <w:rFonts w:eastAsia="Times New Roman" w:cs="Times New Roman"/>
          <w:b/>
          <w:bCs/>
          <w:color w:val="1B1C1D"/>
          <w:sz w:val="20"/>
          <w:szCs w:val="20"/>
        </w:rPr>
        <w:t xml:space="preserve">Figure S1. </w:t>
      </w:r>
      <w:r w:rsidRPr="004F41D3">
        <w:rPr>
          <w:rFonts w:eastAsia="Times New Roman" w:cs="Times New Roman"/>
          <w:color w:val="1B1C1D"/>
          <w:sz w:val="20"/>
          <w:szCs w:val="20"/>
        </w:rPr>
        <w:t xml:space="preserve">Sensitivity of winter (DJF) blocking detection to local standard deviations without considering a minimum threshold </w:t>
      </w:r>
      <m:oMath>
        <m:sSub>
          <m:sSubPr>
            <m:ctrlPr>
              <w:rPr>
                <w:rFonts w:ascii="Cambria Math" w:eastAsia="Cambria Math" w:hAnsi="Cambria Math" w:cs="Cambria Math"/>
                <w:sz w:val="20"/>
                <w:szCs w:val="20"/>
              </w:rPr>
            </m:ctrlPr>
          </m:sSub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Z</m:t>
                </m:r>
              </m:e>
              <m:sup>
                <m:r>
                  <w:rPr>
                    <w:rFonts w:ascii="Cambria Math" w:eastAsia="Cambria Math" w:hAnsi="Cambria Math" w:cs="Cambria Math"/>
                    <w:sz w:val="20"/>
                    <w:szCs w:val="20"/>
                  </w:rPr>
                  <m:t>'</m:t>
                </m:r>
              </m:sup>
            </m:sSup>
          </m:e>
          <m:sub>
            <m:r>
              <w:rPr>
                <w:rFonts w:ascii="Cambria Math" w:eastAsia="Cambria Math" w:hAnsi="Cambria Math" w:cs="Cambria Math"/>
                <w:sz w:val="20"/>
                <w:szCs w:val="20"/>
              </w:rPr>
              <m:t>min</m:t>
            </m:r>
          </m:sub>
        </m:sSub>
      </m:oMath>
      <w:r w:rsidRPr="004F41D3">
        <w:rPr>
          <w:rFonts w:eastAsia="Times New Roman" w:cs="Times New Roman"/>
          <w:color w:val="1B1C1D"/>
          <w:sz w:val="20"/>
          <w:szCs w:val="20"/>
        </w:rPr>
        <w:t>. (a) Climatological blocking frequency detected by the standard HYB method. (b–h) Blocking frequencies detected by various range of thresholds from 1.5σ to 2.5σ. (i–o) The difference in blocking frequency between each sensitivity experiment and the standard HYB method (Experiment minus HYB).</w:t>
      </w:r>
    </w:p>
    <w:p w14:paraId="79231CD0" w14:textId="77777777" w:rsidR="004F41D3" w:rsidRDefault="004F41D3" w:rsidP="004F41D3">
      <w:pPr>
        <w:spacing w:after="240" w:line="273" w:lineRule="auto"/>
        <w:jc w:val="both"/>
        <w:rPr>
          <w:rFonts w:ascii="Times New Roman" w:eastAsia="Times New Roman" w:hAnsi="Times New Roman" w:cs="Times New Roman"/>
          <w:color w:val="1B1C1D"/>
        </w:rPr>
      </w:pPr>
      <w:r>
        <w:rPr>
          <w:noProof/>
        </w:rPr>
        <w:drawing>
          <wp:anchor distT="0" distB="0" distL="114300" distR="114300" simplePos="0" relativeHeight="251659264" behindDoc="0" locked="0" layoutInCell="1" hidden="0" allowOverlap="1" wp14:anchorId="218EA0D9" wp14:editId="77BD67BD">
            <wp:simplePos x="0" y="0"/>
            <wp:positionH relativeFrom="column">
              <wp:posOffset>13971</wp:posOffset>
            </wp:positionH>
            <wp:positionV relativeFrom="paragraph">
              <wp:posOffset>330200</wp:posOffset>
            </wp:positionV>
            <wp:extent cx="5915025" cy="2451100"/>
            <wp:effectExtent l="0" t="0" r="0" b="0"/>
            <wp:wrapSquare wrapText="bothSides" distT="0" distB="0" distL="114300" distR="114300"/>
            <wp:docPr id="9092644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915025" cy="2451100"/>
                    </a:xfrm>
                    <a:prstGeom prst="rect">
                      <a:avLst/>
                    </a:prstGeom>
                    <a:ln/>
                  </pic:spPr>
                </pic:pic>
              </a:graphicData>
            </a:graphic>
          </wp:anchor>
        </w:drawing>
      </w:r>
    </w:p>
    <w:p w14:paraId="53155BA9" w14:textId="77777777" w:rsidR="004F41D3" w:rsidRDefault="004F41D3" w:rsidP="004F41D3">
      <w:pPr>
        <w:spacing w:after="240" w:line="273" w:lineRule="auto"/>
        <w:jc w:val="both"/>
        <w:rPr>
          <w:rFonts w:ascii="Times New Roman" w:eastAsia="Times New Roman" w:hAnsi="Times New Roman" w:cs="Times New Roman"/>
          <w:color w:val="1B1C1D"/>
        </w:rPr>
      </w:pPr>
    </w:p>
    <w:p w14:paraId="756A4539" w14:textId="174ABCD9" w:rsidR="004F41D3" w:rsidRPr="004F41D3" w:rsidRDefault="004F41D3" w:rsidP="004F41D3">
      <w:pPr>
        <w:spacing w:after="240" w:line="273" w:lineRule="auto"/>
        <w:jc w:val="both"/>
        <w:rPr>
          <w:rFonts w:eastAsia="Times New Roman" w:cs="Times New Roman"/>
          <w:color w:val="1B1C1D"/>
          <w:sz w:val="20"/>
          <w:szCs w:val="20"/>
        </w:rPr>
      </w:pPr>
      <w:r w:rsidRPr="004F41D3">
        <w:rPr>
          <w:rFonts w:eastAsia="Times New Roman" w:cs="Times New Roman"/>
          <w:b/>
          <w:bCs/>
          <w:color w:val="1B1C1D"/>
          <w:sz w:val="20"/>
          <w:szCs w:val="20"/>
        </w:rPr>
        <w:t xml:space="preserve">Figure S2. </w:t>
      </w:r>
      <w:r w:rsidRPr="004F41D3">
        <w:rPr>
          <w:rFonts w:eastAsia="Times New Roman" w:cs="Times New Roman"/>
          <w:color w:val="1B1C1D"/>
          <w:sz w:val="20"/>
          <w:szCs w:val="20"/>
        </w:rPr>
        <w:t>Sensitivity of winter (DJF) blocking detection to the minimum anomaly thresholds (</w:t>
      </w:r>
      <m:oMath>
        <m:sSub>
          <m:sSubPr>
            <m:ctrlPr>
              <w:rPr>
                <w:rFonts w:ascii="Cambria Math" w:eastAsia="Cambria Math" w:hAnsi="Cambria Math" w:cs="Cambria Math"/>
                <w:sz w:val="20"/>
                <w:szCs w:val="20"/>
              </w:rPr>
            </m:ctrlPr>
          </m:sSub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Z</m:t>
                </m:r>
              </m:e>
              <m:sup>
                <m:r>
                  <w:rPr>
                    <w:rFonts w:ascii="Cambria Math" w:eastAsia="Cambria Math" w:hAnsi="Cambria Math" w:cs="Cambria Math"/>
                    <w:sz w:val="20"/>
                    <w:szCs w:val="20"/>
                  </w:rPr>
                  <m:t>'</m:t>
                </m:r>
              </m:sup>
            </m:sSup>
          </m:e>
          <m:sub>
            <m:r>
              <w:rPr>
                <w:rFonts w:ascii="Cambria Math" w:eastAsia="Cambria Math" w:hAnsi="Cambria Math" w:cs="Cambria Math"/>
                <w:sz w:val="20"/>
                <w:szCs w:val="20"/>
              </w:rPr>
              <m:t>min</m:t>
            </m:r>
          </m:sub>
        </m:sSub>
      </m:oMath>
      <w:r w:rsidRPr="004F41D3">
        <w:rPr>
          <w:rFonts w:eastAsia="Times New Roman" w:cs="Times New Roman"/>
          <w:color w:val="1B1C1D"/>
          <w:sz w:val="20"/>
          <w:szCs w:val="20"/>
        </w:rPr>
        <w:t xml:space="preserve">) under a fixed local 2σ condition. (a) Climatological blocking frequency detected by the standard HYB method. (b–g) Blocking frequencies detected by applying </w:t>
      </w:r>
      <m:oMath>
        <m:sSub>
          <m:sSubPr>
            <m:ctrlPr>
              <w:rPr>
                <w:rFonts w:ascii="Cambria Math" w:eastAsia="Cambria Math" w:hAnsi="Cambria Math" w:cs="Cambria Math"/>
                <w:sz w:val="20"/>
                <w:szCs w:val="20"/>
              </w:rPr>
            </m:ctrlPr>
          </m:sSub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Z</m:t>
                </m:r>
              </m:e>
              <m:sup>
                <m:r>
                  <w:rPr>
                    <w:rFonts w:ascii="Cambria Math" w:eastAsia="Cambria Math" w:hAnsi="Cambria Math" w:cs="Cambria Math"/>
                    <w:sz w:val="20"/>
                    <w:szCs w:val="20"/>
                  </w:rPr>
                  <m:t>'</m:t>
                </m:r>
              </m:sup>
            </m:sSup>
          </m:e>
          <m:sub>
            <m:r>
              <w:rPr>
                <w:rFonts w:ascii="Cambria Math" w:eastAsia="Cambria Math" w:hAnsi="Cambria Math" w:cs="Cambria Math"/>
                <w:sz w:val="20"/>
                <w:szCs w:val="20"/>
              </w:rPr>
              <m:t>min</m:t>
            </m:r>
          </m:sub>
        </m:sSub>
      </m:oMath>
      <w:r w:rsidRPr="004F41D3">
        <w:rPr>
          <w:rFonts w:eastAsia="Times New Roman" w:cs="Times New Roman"/>
          <w:color w:val="1B1C1D"/>
          <w:sz w:val="20"/>
          <w:szCs w:val="20"/>
        </w:rPr>
        <w:t xml:space="preserve"> values ranging from 140 gpm to 190 gpm (10 gpm increments) in addition to the 2σ criterion. (h–m) Differences in blocking frequency between each sensitivity experiment and the standard HYB method (Experiment minus HYB).</w:t>
      </w:r>
    </w:p>
    <w:sectPr w:rsidR="004F41D3" w:rsidRPr="004F41D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A357" w14:textId="77777777" w:rsidR="003442DB" w:rsidRDefault="003442DB" w:rsidP="00963A5C">
      <w:pPr>
        <w:spacing w:after="0" w:line="240" w:lineRule="auto"/>
      </w:pPr>
      <w:r>
        <w:separator/>
      </w:r>
    </w:p>
  </w:endnote>
  <w:endnote w:type="continuationSeparator" w:id="0">
    <w:p w14:paraId="552FDAA3" w14:textId="77777777" w:rsidR="003442DB" w:rsidRDefault="003442DB" w:rsidP="0096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B654" w14:textId="77777777" w:rsidR="003442DB" w:rsidRDefault="003442DB" w:rsidP="00963A5C">
      <w:pPr>
        <w:spacing w:after="0" w:line="240" w:lineRule="auto"/>
      </w:pPr>
      <w:r>
        <w:separator/>
      </w:r>
    </w:p>
  </w:footnote>
  <w:footnote w:type="continuationSeparator" w:id="0">
    <w:p w14:paraId="4142574B" w14:textId="77777777" w:rsidR="003442DB" w:rsidRDefault="003442DB" w:rsidP="00963A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D3"/>
    <w:rsid w:val="000B3093"/>
    <w:rsid w:val="003442DB"/>
    <w:rsid w:val="004F41D3"/>
    <w:rsid w:val="00963A5C"/>
    <w:rsid w:val="00D75F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9997"/>
  <w15:chartTrackingRefBased/>
  <w15:docId w15:val="{D807367E-809D-4FC9-B8E9-8622E12C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kern w:val="2"/>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1D3"/>
    <w:pPr>
      <w:widowControl w:val="0"/>
    </w:pPr>
    <w:rPr>
      <w:kern w:val="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A5C"/>
    <w:pPr>
      <w:tabs>
        <w:tab w:val="center" w:pos="4513"/>
        <w:tab w:val="right" w:pos="9026"/>
      </w:tabs>
      <w:snapToGrid w:val="0"/>
    </w:pPr>
  </w:style>
  <w:style w:type="character" w:customStyle="1" w:styleId="Char">
    <w:name w:val="머리글 Char"/>
    <w:basedOn w:val="a0"/>
    <w:link w:val="a3"/>
    <w:uiPriority w:val="99"/>
    <w:rsid w:val="00963A5C"/>
    <w:rPr>
      <w:kern w:val="0"/>
      <w:lang w:val="en"/>
    </w:rPr>
  </w:style>
  <w:style w:type="paragraph" w:styleId="a4">
    <w:name w:val="footer"/>
    <w:basedOn w:val="a"/>
    <w:link w:val="Char0"/>
    <w:uiPriority w:val="99"/>
    <w:unhideWhenUsed/>
    <w:rsid w:val="00963A5C"/>
    <w:pPr>
      <w:tabs>
        <w:tab w:val="center" w:pos="4513"/>
        <w:tab w:val="right" w:pos="9026"/>
      </w:tabs>
      <w:snapToGrid w:val="0"/>
    </w:pPr>
  </w:style>
  <w:style w:type="character" w:customStyle="1" w:styleId="Char0">
    <w:name w:val="바닥글 Char"/>
    <w:basedOn w:val="a0"/>
    <w:link w:val="a4"/>
    <w:uiPriority w:val="99"/>
    <w:rsid w:val="00963A5C"/>
    <w:rPr>
      <w:kern w:val="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하연 노</dc:creator>
  <cp:keywords/>
  <dc:description/>
  <cp:lastModifiedBy>하연 노</cp:lastModifiedBy>
  <cp:revision>2</cp:revision>
  <dcterms:created xsi:type="dcterms:W3CDTF">2026-01-14T12:31:00Z</dcterms:created>
  <dcterms:modified xsi:type="dcterms:W3CDTF">2026-01-14T13:23:00Z</dcterms:modified>
</cp:coreProperties>
</file>