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7DFE7">
      <w:pPr>
        <w:spacing w:line="360" w:lineRule="auto"/>
        <w:jc w:val="center"/>
        <w:rPr>
          <w:rFonts w:ascii="Times New Roman" w:hAnsi="Times New Roman" w:eastAsiaTheme="minorEastAsia"/>
          <w:b/>
          <w:bCs/>
          <w:sz w:val="32"/>
          <w:szCs w:val="32"/>
        </w:rPr>
      </w:pPr>
      <w:bookmarkStart w:id="0" w:name="OLE_LINK42"/>
      <w:r>
        <w:rPr>
          <w:rFonts w:hint="eastAsia" w:ascii="Times New Roman" w:hAnsi="Times New Roman" w:eastAsiaTheme="minorEastAsia"/>
          <w:b/>
          <w:bCs/>
          <w:sz w:val="32"/>
          <w:szCs w:val="32"/>
        </w:rPr>
        <w:t>Supplementary Material</w:t>
      </w:r>
    </w:p>
    <w:p w14:paraId="4115A9D0">
      <w:pPr>
        <w:spacing w:line="440" w:lineRule="atLeast"/>
        <w:rPr>
          <w:rFonts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</w:pPr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 xml:space="preserve">A </w:t>
      </w:r>
      <w:r>
        <w:rPr>
          <w:rFonts w:hint="eastAsia" w:ascii="Times New Roman" w:hAnsi="Times New Roman" w:eastAsia="等线" w:cs="Times New Roman"/>
          <w:b/>
          <w:bCs/>
          <w:color w:val="060607"/>
          <w:spacing w:val="4"/>
          <w:sz w:val="24"/>
          <w:shd w:val="clear" w:color="auto" w:fill="FFFFFF"/>
        </w:rPr>
        <w:t>UV-vis-fluorescence-smartphone-assisted hydrogel</w:t>
      </w:r>
      <w:r>
        <w:rPr>
          <w:rFonts w:hint="eastAsia" w:ascii="Times New Roman" w:hAnsi="Times New Roman" w:cs="Times New Roman"/>
          <w:b/>
          <w:bCs/>
          <w:color w:val="060607"/>
          <w:spacing w:val="4"/>
          <w:sz w:val="24"/>
          <w:shd w:val="clear" w:color="auto" w:fill="FFFFFF"/>
          <w:lang w:val="en-US" w:eastAsia="zh-CN"/>
        </w:rPr>
        <w:t xml:space="preserve"> </w:t>
      </w:r>
      <w:bookmarkStart w:id="12" w:name="_GoBack"/>
      <w:bookmarkEnd w:id="12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>“</w:t>
      </w:r>
      <w:bookmarkStart w:id="1" w:name="OLE_LINK35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>three-in-one” platform</w:t>
      </w:r>
      <w:bookmarkEnd w:id="1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 xml:space="preserve"> based on </w:t>
      </w:r>
      <w:bookmarkStart w:id="2" w:name="OLE_LINK9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>light-responsive carbon dot</w:t>
      </w:r>
      <w:bookmarkEnd w:id="2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 xml:space="preserve"> nanozyme for</w:t>
      </w:r>
      <w:bookmarkStart w:id="3" w:name="OLE_LINK2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 xml:space="preserve">  multimodal</w:t>
      </w:r>
      <w:bookmarkEnd w:id="3"/>
      <w:r>
        <w:rPr>
          <w:rFonts w:hint="eastAsia" w:ascii="Times New Roman" w:hAnsi="Times New Roman" w:eastAsiaTheme="minorEastAsia"/>
          <w:b/>
          <w:bCs/>
          <w:color w:val="060607"/>
          <w:spacing w:val="4"/>
          <w:sz w:val="24"/>
          <w:szCs w:val="24"/>
          <w:shd w:val="clear" w:color="auto" w:fill="FFFFFF"/>
        </w:rPr>
        <w:t xml:space="preserve"> glyphosate detection </w:t>
      </w:r>
      <w:bookmarkEnd w:id="0"/>
    </w:p>
    <w:p w14:paraId="77206501">
      <w:pPr>
        <w:spacing w:line="440" w:lineRule="atLeast"/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>Wanqi Yang</w:t>
      </w:r>
      <w:r>
        <w:rPr>
          <w:rFonts w:hint="eastAsia" w:ascii="Times New Roman" w:hAnsi="Times New Roman"/>
          <w:color w:val="060607"/>
          <w:spacing w:val="4"/>
          <w:sz w:val="24"/>
          <w:szCs w:val="24"/>
          <w:shd w:val="clear" w:color="auto" w:fill="FFFFFF"/>
          <w:vertAlign w:val="superscript"/>
        </w:rPr>
        <w:t>a</w:t>
      </w: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>, Haodong Yang</w:t>
      </w:r>
      <w:r>
        <w:rPr>
          <w:rFonts w:hint="eastAsia" w:ascii="Times New Roman" w:hAnsi="Times New Roman"/>
          <w:color w:val="060607"/>
          <w:spacing w:val="4"/>
          <w:sz w:val="24"/>
          <w:szCs w:val="24"/>
          <w:shd w:val="clear" w:color="auto" w:fill="FFFFFF"/>
          <w:vertAlign w:val="superscript"/>
        </w:rPr>
        <w:t>a</w:t>
      </w: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 xml:space="preserve">, </w:t>
      </w:r>
      <w:r>
        <w:rPr>
          <w:rFonts w:hint="eastAsia" w:ascii="Times New Roman" w:hAnsi="Times New Roman" w:eastAsia="宋体"/>
          <w:color w:val="060607"/>
          <w:spacing w:val="4"/>
          <w:sz w:val="24"/>
          <w:shd w:val="clear" w:color="auto" w:fill="FFFFFF"/>
        </w:rPr>
        <w:t>Yaxin Ma</w:t>
      </w:r>
      <w:r>
        <w:rPr>
          <w:rFonts w:hint="eastAsia" w:ascii="Times New Roman" w:hAnsi="Times New Roman"/>
          <w:color w:val="060607"/>
          <w:spacing w:val="4"/>
          <w:sz w:val="24"/>
          <w:shd w:val="clear" w:color="auto" w:fill="FFFFFF"/>
          <w:vertAlign w:val="superscript"/>
        </w:rPr>
        <w:t>a</w:t>
      </w:r>
      <w:r>
        <w:rPr>
          <w:rFonts w:hint="eastAsia" w:ascii="Times New Roman" w:hAnsi="Times New Roman"/>
          <w:color w:val="060607"/>
          <w:spacing w:val="4"/>
          <w:sz w:val="24"/>
          <w:shd w:val="clear" w:color="auto" w:fill="FFFFFF"/>
        </w:rPr>
        <w:t xml:space="preserve">, </w:t>
      </w:r>
      <w:r>
        <w:rPr>
          <w:rFonts w:hint="eastAsia" w:ascii="Times New Roman" w:hAnsi="Times New Roman" w:eastAsia="宋体"/>
          <w:color w:val="060607"/>
          <w:spacing w:val="4"/>
          <w:sz w:val="24"/>
          <w:shd w:val="clear" w:color="auto" w:fill="FFFFFF"/>
        </w:rPr>
        <w:t>Ao Hou</w:t>
      </w:r>
      <w:r>
        <w:rPr>
          <w:rFonts w:hint="eastAsia" w:ascii="Times New Roman" w:hAnsi="Times New Roman"/>
          <w:color w:val="060607"/>
          <w:spacing w:val="4"/>
          <w:sz w:val="24"/>
          <w:shd w:val="clear" w:color="auto" w:fill="FFFFFF"/>
          <w:vertAlign w:val="superscript"/>
        </w:rPr>
        <w:t>a</w:t>
      </w:r>
      <w:r>
        <w:rPr>
          <w:rFonts w:ascii="Times New Roman" w:hAnsi="Times New Roman"/>
          <w:color w:val="060607"/>
          <w:spacing w:val="4"/>
          <w:sz w:val="24"/>
          <w:shd w:val="clear" w:color="auto" w:fill="FFFFFF"/>
        </w:rPr>
        <w:t xml:space="preserve">, </w:t>
      </w:r>
      <w:r>
        <w:rPr>
          <w:rFonts w:hint="eastAsia" w:ascii="Times New Roman" w:hAnsi="Times New Roman" w:eastAsia="宋体"/>
          <w:color w:val="060607"/>
          <w:spacing w:val="4"/>
          <w:sz w:val="24"/>
          <w:shd w:val="clear" w:color="auto" w:fill="FFFFFF"/>
        </w:rPr>
        <w:t>Xiangyu Yang</w:t>
      </w:r>
      <w:r>
        <w:rPr>
          <w:rFonts w:hint="eastAsia" w:ascii="Times New Roman" w:hAnsi="Times New Roman" w:eastAsia="宋体"/>
          <w:color w:val="060607"/>
          <w:spacing w:val="4"/>
          <w:sz w:val="24"/>
          <w:shd w:val="clear" w:color="auto" w:fill="FFFFFF"/>
          <w:vertAlign w:val="superscript"/>
        </w:rPr>
        <w:t>a</w:t>
      </w:r>
      <w:r>
        <w:rPr>
          <w:rFonts w:hint="eastAsia" w:ascii="Times New Roman" w:hAnsi="Times New Roman"/>
          <w:color w:val="060607"/>
          <w:spacing w:val="4"/>
          <w:sz w:val="24"/>
          <w:shd w:val="clear" w:color="auto" w:fill="FFFFFF"/>
        </w:rPr>
        <w:t>,</w:t>
      </w:r>
      <w:r>
        <w:rPr>
          <w:rFonts w:hint="eastAsia" w:ascii="Times New Roman" w:hAnsi="Times New Roman"/>
          <w:color w:val="060607"/>
          <w:spacing w:val="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>Pengjuan Ni</w:t>
      </w:r>
      <w:r>
        <w:rPr>
          <w:rFonts w:hint="eastAsia" w:ascii="Times New Roman" w:hAnsi="Times New Roman"/>
          <w:color w:val="060607"/>
          <w:spacing w:val="4"/>
          <w:sz w:val="24"/>
          <w:szCs w:val="24"/>
          <w:shd w:val="clear" w:color="auto" w:fill="FFFFFF"/>
          <w:vertAlign w:val="superscript"/>
        </w:rPr>
        <w:t>a</w:t>
      </w: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>*, Yizhong Lu</w:t>
      </w:r>
      <w:r>
        <w:rPr>
          <w:rFonts w:hint="eastAsia" w:ascii="Times New Roman" w:hAnsi="Times New Roman"/>
          <w:color w:val="060607"/>
          <w:spacing w:val="4"/>
          <w:sz w:val="24"/>
          <w:szCs w:val="24"/>
          <w:shd w:val="clear" w:color="auto" w:fill="FFFFFF"/>
          <w:vertAlign w:val="superscript"/>
        </w:rPr>
        <w:t>a</w:t>
      </w:r>
      <w:r>
        <w:rPr>
          <w:rFonts w:ascii="Times New Roman" w:hAnsi="Times New Roman"/>
          <w:color w:val="060607"/>
          <w:spacing w:val="4"/>
          <w:sz w:val="24"/>
          <w:szCs w:val="24"/>
          <w:shd w:val="clear" w:color="auto" w:fill="FFFFFF"/>
        </w:rPr>
        <w:t>*</w:t>
      </w:r>
    </w:p>
    <w:p w14:paraId="30CFCC67">
      <w:pPr>
        <w:spacing w:line="440" w:lineRule="atLeast"/>
        <w:rPr>
          <w:rFonts w:ascii="Times New Roman" w:hAnsi="Times New Roman"/>
          <w:kern w:val="0"/>
          <w:sz w:val="24"/>
          <w:szCs w:val="24"/>
          <w:lang w:eastAsia="en-US"/>
        </w:rPr>
      </w:pPr>
      <w:r>
        <w:rPr>
          <w:rFonts w:hint="eastAsia" w:ascii="Times New Roman" w:hAnsi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hAnsi="Times New Roman"/>
          <w:kern w:val="0"/>
          <w:sz w:val="24"/>
          <w:szCs w:val="24"/>
          <w:lang w:eastAsia="en-US"/>
        </w:rPr>
        <w:t>School of Materials Science and Engineering, University of Jinan, Jinan 250022, P. R. China</w:t>
      </w:r>
    </w:p>
    <w:p w14:paraId="2EE15AC5">
      <w:pPr>
        <w:spacing w:line="440" w:lineRule="atLeast"/>
        <w:rPr>
          <w:rFonts w:ascii="Times New Roman" w:hAnsi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kern w:val="0"/>
          <w:sz w:val="24"/>
          <w:szCs w:val="24"/>
          <w:lang w:eastAsia="en-US"/>
        </w:rPr>
        <w:t>*Corresponding Author:</w:t>
      </w:r>
    </w:p>
    <w:p w14:paraId="1663F8C2">
      <w:pPr>
        <w:spacing w:line="440" w:lineRule="atLeast"/>
        <w:rPr>
          <w:rFonts w:ascii="Times New Roman" w:hAnsi="Times New Roman"/>
          <w:kern w:val="0"/>
          <w:sz w:val="24"/>
          <w:szCs w:val="24"/>
        </w:rPr>
      </w:pPr>
      <w:r>
        <w:rPr>
          <w:rFonts w:ascii="Times New Roman" w:hAnsi="Times New Roman"/>
          <w:kern w:val="0"/>
          <w:sz w:val="24"/>
          <w:szCs w:val="24"/>
          <w:lang w:eastAsia="en-US"/>
        </w:rPr>
        <w:t>E-mail address: mse_nipj@ujn.edu.cn</w:t>
      </w:r>
      <w:r>
        <w:rPr>
          <w:rFonts w:ascii="Times New Roman" w:hAnsi="Times New Roman"/>
          <w:sz w:val="24"/>
          <w:szCs w:val="24"/>
        </w:rPr>
        <w:t xml:space="preserve"> (Pengjuan Ni)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</w:p>
    <w:p w14:paraId="144ADF01">
      <w:pPr>
        <w:spacing w:line="440" w:lineRule="atLeast"/>
        <w:rPr>
          <w:rFonts w:ascii="Times New Roman" w:hAnsi="Times New Roman"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kern w:val="0"/>
          <w:sz w:val="24"/>
          <w:szCs w:val="24"/>
        </w:rPr>
        <w:t>E-mail address: mse_luyz@ujn.edu.cn (Yizhong Lu)</w:t>
      </w:r>
    </w:p>
    <w:p w14:paraId="1759E981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Chemicals and materials</w:t>
      </w:r>
    </w:p>
    <w:p w14:paraId="6F5FBFEB">
      <w:pPr>
        <w:spacing w:line="440" w:lineRule="exact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3,3′,5,5′-tetramethylbenzidine (TMB) was obtained from Sigma-Aldrich (USA). tartaric acid, 3-aminophenol, glyphosate were obtained from Aladdin Industrial Corporation (Shanghai, China). Urea, </w:t>
      </w:r>
      <w:r>
        <w:rPr>
          <w:rFonts w:hint="eastAsia" w:ascii="Times New Roman" w:hAnsi="Times New Roman"/>
          <w:sz w:val="24"/>
          <w:szCs w:val="24"/>
        </w:rPr>
        <w:t>CuNO</w:t>
      </w:r>
      <w:r>
        <w:rPr>
          <w:rFonts w:hint="eastAsia"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, sodium acetate (NaAc), acetic acid (HAc), acetonitrile, tryptophan (TRP), catalase (CAT), nitrotetrazolium blue chloride (NBT), </w:t>
      </w:r>
      <w:r>
        <w:rPr>
          <w:rFonts w:hint="eastAsia" w:ascii="Times New Roman" w:hAnsi="Times New Roman"/>
          <w:sz w:val="24"/>
          <w:szCs w:val="24"/>
        </w:rPr>
        <w:t>edetate disodium</w:t>
      </w:r>
      <w:r>
        <w:rPr>
          <w:rFonts w:ascii="Times New Roman" w:hAnsi="Times New Roman"/>
          <w:sz w:val="24"/>
          <w:szCs w:val="24"/>
        </w:rPr>
        <w:t xml:space="preserve"> (EDTA-2Na), </w:t>
      </w:r>
      <w:r>
        <w:rPr>
          <w:rFonts w:hint="eastAsia" w:ascii="Times New Roman" w:hAnsi="Times New Roman"/>
          <w:sz w:val="24"/>
          <w:szCs w:val="24"/>
        </w:rPr>
        <w:t>CuCl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, acetamiprid, thiamethoxam, clothianidin, dimethoate, imidacloprid, NaCl, KCl, MgCl</w:t>
      </w:r>
      <w:r>
        <w:rPr>
          <w:rFonts w:ascii="Times New Roman" w:hAnsi="Times New Roman"/>
          <w:sz w:val="24"/>
          <w:szCs w:val="24"/>
          <w:vertAlign w:val="subscript"/>
        </w:rPr>
        <w:t>2,</w:t>
      </w:r>
      <w:r>
        <w:rPr>
          <w:rFonts w:ascii="Times New Roman" w:hAnsi="Times New Roman"/>
          <w:sz w:val="24"/>
          <w:szCs w:val="24"/>
        </w:rPr>
        <w:t xml:space="preserve"> methylviologen were obtained from Macklin-Biochemical Technology (Shanghai, China). All chemical reagents were purchased and used directly without undergoing any further purification.</w:t>
      </w:r>
    </w:p>
    <w:p w14:paraId="47529434">
      <w:pPr>
        <w:spacing w:line="440" w:lineRule="exac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Apparatus</w:t>
      </w:r>
    </w:p>
    <w:p w14:paraId="460C7637">
      <w:pPr>
        <w:spacing w:line="440" w:lineRule="exact"/>
        <w:ind w:firstLine="480" w:firstLineChars="200"/>
        <w:rPr>
          <w:rFonts w:ascii="Times New Roman" w:hAnsi="Times New Roman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sz w:val="24"/>
          <w:szCs w:val="24"/>
        </w:rPr>
        <w:t>UV-vis absorption spectra were recorded on a UV-8000 spectrophotometer (Shanghai, Metash Instruments Co., Ltd., China). Transmission electron microscopy (TEM) images were obtained on JEM-2100Plus</w:t>
      </w:r>
      <w:r>
        <w:rPr>
          <w:rFonts w:hint="eastAsia"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The fluorescence spectra were collected using an RF-6000 fluorescence spectrometer (Shimadzu, Japan). The fluorescence emissions spectra were obtained at an excitation wavelength of 3</w:t>
      </w:r>
      <w:r>
        <w:rPr>
          <w:rFonts w:hint="eastAsia"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0 nm. The slit width of excitation and emission was both set as 5 nm. Fourier-transform infrared (FT</w:t>
      </w:r>
      <w:r>
        <w:rPr>
          <w:rFonts w:hint="eastAsia"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IR) spectra were obtained on a Nicolet 380 FTIR spectrophotometer (Thermo Fisher Scientific, USA) The light source is provided by a 300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 xenon lamp (PLS-SXE300D) (Beijing Perfectlight Technology Co., Ltd</w:t>
      </w:r>
      <w:r>
        <w:rPr>
          <w:rFonts w:hint="eastAsia" w:ascii="Times New Roman" w:hAnsi="Times New Roman"/>
          <w:sz w:val="24"/>
          <w:szCs w:val="24"/>
        </w:rPr>
        <w:t>., China</w:t>
      </w:r>
      <w:r>
        <w:rPr>
          <w:rFonts w:ascii="Times New Roman" w:hAnsi="Times New Roman"/>
          <w:sz w:val="24"/>
          <w:szCs w:val="24"/>
        </w:rPr>
        <w:t>).</w:t>
      </w:r>
    </w:p>
    <w:p w14:paraId="67200853">
      <w:pPr>
        <w:spacing w:line="440" w:lineRule="exac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宋体"/>
          <w:b/>
          <w:bCs/>
          <w:color w:val="000000"/>
          <w:kern w:val="0"/>
          <w:sz w:val="24"/>
          <w:szCs w:val="24"/>
          <w:lang w:bidi="ar"/>
        </w:rPr>
        <w:t>Experimental section</w:t>
      </w:r>
    </w:p>
    <w:p w14:paraId="52EC4B04">
      <w:pPr>
        <w:pStyle w:val="3"/>
        <w:spacing w:before="0" w:after="0"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</w:t>
      </w:r>
      <w:r>
        <w:rPr>
          <w:rFonts w:ascii="Times New Roman" w:hAnsi="Times New Roman" w:eastAsia="宋体" w:cs="Times New Roman"/>
          <w:szCs w:val="24"/>
        </w:rPr>
        <w:t xml:space="preserve">. </w:t>
      </w:r>
      <w:r>
        <w:rPr>
          <w:rFonts w:hint="eastAsia" w:ascii="Times New Roman" w:hAnsi="Times New Roman" w:eastAsia="宋体" w:cs="Times New Roman"/>
          <w:szCs w:val="24"/>
        </w:rPr>
        <w:t>The v</w:t>
      </w:r>
      <w:r>
        <w:rPr>
          <w:rFonts w:ascii="Times New Roman" w:hAnsi="Times New Roman" w:eastAsia="宋体" w:cs="Times New Roman"/>
          <w:szCs w:val="24"/>
        </w:rPr>
        <w:t>isible light-driven oxidase</w:t>
      </w:r>
      <w:r>
        <w:rPr>
          <w:rFonts w:hint="eastAsia" w:ascii="Times New Roman" w:hAnsi="Times New Roman" w:eastAsia="宋体" w:cs="Times New Roman"/>
          <w:szCs w:val="24"/>
        </w:rPr>
        <w:t>-like</w:t>
      </w:r>
      <w:r>
        <w:rPr>
          <w:rFonts w:ascii="Times New Roman" w:hAnsi="Times New Roman" w:eastAsia="宋体" w:cs="Times New Roman"/>
          <w:szCs w:val="24"/>
        </w:rPr>
        <w:t xml:space="preserve"> activity </w:t>
      </w:r>
      <w:r>
        <w:rPr>
          <w:rFonts w:hint="eastAsia" w:ascii="Times New Roman" w:hAnsi="Times New Roman" w:eastAsia="宋体" w:cs="Times New Roman"/>
          <w:szCs w:val="24"/>
        </w:rPr>
        <w:t>of C-dots</w:t>
      </w:r>
    </w:p>
    <w:p w14:paraId="4E06C3C0">
      <w:pPr>
        <w:pStyle w:val="36"/>
        <w:spacing w:line="360" w:lineRule="auto"/>
        <w:ind w:firstLine="48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>3,3',5,5'-tetramethylbenzidine (TMB) was chosen as the chromogenic</w:t>
      </w:r>
      <w:r>
        <w:rPr>
          <w:rFonts w:hint="eastAsia" w:ascii="Times New Roman" w:hAnsi="Times New Roman" w:eastAsia="宋体"/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t xml:space="preserve">substrate to evaluate the </w:t>
      </w:r>
      <w:r>
        <w:rPr>
          <w:rFonts w:hint="eastAsia" w:ascii="Times New Roman" w:hAnsi="Times New Roman" w:eastAsia="宋体"/>
          <w:sz w:val="24"/>
        </w:rPr>
        <w:t xml:space="preserve">light-responsive </w:t>
      </w:r>
      <w:r>
        <w:rPr>
          <w:rFonts w:ascii="Times New Roman" w:hAnsi="Times New Roman" w:eastAsia="宋体"/>
          <w:sz w:val="24"/>
        </w:rPr>
        <w:t xml:space="preserve">oxidase activity of C-dots. Typically, </w:t>
      </w:r>
      <w:bookmarkStart w:id="4" w:name="OLE_LINK17"/>
      <w:r>
        <w:rPr>
          <w:rFonts w:ascii="Times New Roman" w:hAnsi="Times New Roman" w:eastAsia="宋体"/>
          <w:sz w:val="24"/>
        </w:rPr>
        <w:t xml:space="preserve">800 </w:t>
      </w:r>
      <w:bookmarkStart w:id="5" w:name="OLE_LINK15"/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 xml:space="preserve">of </w:t>
      </w:r>
      <w:bookmarkEnd w:id="5"/>
      <w:r>
        <w:rPr>
          <w:rFonts w:hint="eastAsia" w:ascii="Times New Roman" w:hAnsi="Times New Roman" w:eastAsia="宋体"/>
          <w:sz w:val="24"/>
        </w:rPr>
        <w:t>a</w:t>
      </w:r>
      <w:r>
        <w:rPr>
          <w:rFonts w:ascii="Times New Roman" w:hAnsi="Times New Roman" w:eastAsia="宋体"/>
          <w:sz w:val="24"/>
        </w:rPr>
        <w:t>cetic acid-sodium acetate buffer solution</w:t>
      </w:r>
      <w:r>
        <w:rPr>
          <w:rFonts w:hint="eastAsia" w:ascii="Times New Roman" w:hAnsi="Times New Roman" w:eastAsia="宋体"/>
          <w:sz w:val="24"/>
        </w:rPr>
        <w:t xml:space="preserve"> (H</w:t>
      </w:r>
      <w:r>
        <w:rPr>
          <w:rFonts w:ascii="Times New Roman" w:hAnsi="Times New Roman" w:eastAsia="宋体"/>
          <w:sz w:val="24"/>
        </w:rPr>
        <w:t>Ac-</w:t>
      </w:r>
      <w:r>
        <w:rPr>
          <w:rFonts w:hint="eastAsia" w:ascii="Times New Roman" w:hAnsi="Times New Roman" w:eastAsia="宋体"/>
          <w:sz w:val="24"/>
        </w:rPr>
        <w:t>Na</w:t>
      </w:r>
      <w:r>
        <w:rPr>
          <w:rFonts w:ascii="Times New Roman" w:hAnsi="Times New Roman" w:eastAsia="宋体"/>
          <w:sz w:val="24"/>
        </w:rPr>
        <w:t>Ac</w:t>
      </w:r>
      <w:r>
        <w:rPr>
          <w:rFonts w:hint="eastAsia" w:ascii="Times New Roman" w:hAnsi="Times New Roman" w:eastAsia="宋体"/>
          <w:sz w:val="24"/>
        </w:rPr>
        <w:t xml:space="preserve">, </w:t>
      </w:r>
      <w:bookmarkStart w:id="6" w:name="OLE_LINK23"/>
      <w:r>
        <w:rPr>
          <w:rFonts w:hint="eastAsia" w:ascii="Times New Roman" w:hAnsi="Times New Roman" w:eastAsia="宋体"/>
          <w:sz w:val="24"/>
        </w:rPr>
        <w:t>0.1 M, pH 4.0</w:t>
      </w:r>
      <w:bookmarkEnd w:id="6"/>
      <w:r>
        <w:rPr>
          <w:rFonts w:hint="eastAsia" w:ascii="Times New Roman" w:hAnsi="Times New Roman" w:eastAsia="宋体"/>
          <w:sz w:val="24"/>
        </w:rPr>
        <w:t xml:space="preserve">), 100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 xml:space="preserve">of C-dots and 100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 xml:space="preserve">of TMB (5 mM) </w:t>
      </w:r>
      <w:bookmarkEnd w:id="4"/>
      <w:r>
        <w:rPr>
          <w:rFonts w:hint="eastAsia" w:ascii="Times New Roman" w:hAnsi="Times New Roman" w:eastAsia="宋体"/>
          <w:sz w:val="24"/>
        </w:rPr>
        <w:t xml:space="preserve">were </w:t>
      </w:r>
      <w:r>
        <w:rPr>
          <w:rFonts w:ascii="Times New Roman" w:hAnsi="Times New Roman" w:eastAsia="宋体"/>
          <w:sz w:val="24"/>
        </w:rPr>
        <w:t>successively</w:t>
      </w:r>
      <w:r>
        <w:rPr>
          <w:rFonts w:hint="eastAsia" w:ascii="Times New Roman" w:hAnsi="Times New Roman" w:eastAsia="宋体"/>
          <w:sz w:val="24"/>
        </w:rPr>
        <w:t xml:space="preserve"> introduced into a 1.5 mL </w:t>
      </w:r>
      <w:r>
        <w:rPr>
          <w:rFonts w:ascii="Times New Roman" w:hAnsi="Times New Roman" w:eastAsia="宋体"/>
          <w:sz w:val="24"/>
        </w:rPr>
        <w:t>centrifuge tube</w:t>
      </w:r>
      <w:r>
        <w:rPr>
          <w:rFonts w:hint="eastAsia" w:ascii="Times New Roman" w:hAnsi="Times New Roman" w:eastAsia="宋体"/>
          <w:sz w:val="24"/>
        </w:rPr>
        <w:t xml:space="preserve"> and mixed thoroughly. Subsequently, the mixture underwent irradiation from a 300 W xenon lamp (</w:t>
      </w:r>
      <w:r>
        <w:rPr>
          <w:rFonts w:ascii="Times New Roman" w:hAnsi="Times New Roman" w:eastAsia="宋体"/>
          <w:sz w:val="24"/>
        </w:rPr>
        <w:t>λ</w:t>
      </w:r>
      <w:r>
        <w:rPr>
          <w:rFonts w:hint="eastAsia" w:ascii="Times New Roman" w:hAnsi="Times New Roman" w:eastAsia="宋体"/>
          <w:sz w:val="24"/>
        </w:rPr>
        <w:t>≥420 nm)</w:t>
      </w:r>
      <w:r>
        <w:rPr>
          <w:rFonts w:ascii="Times New Roman" w:hAnsi="Times New Roman" w:eastAsia="宋体"/>
          <w:sz w:val="24"/>
        </w:rPr>
        <w:t xml:space="preserve"> for </w:t>
      </w:r>
      <w:r>
        <w:rPr>
          <w:rFonts w:hint="eastAsia" w:ascii="Times New Roman" w:hAnsi="Times New Roman" w:eastAsia="宋体"/>
          <w:sz w:val="24"/>
        </w:rPr>
        <w:t>1</w:t>
      </w:r>
      <w:r>
        <w:rPr>
          <w:rFonts w:ascii="Times New Roman" w:hAnsi="Times New Roman" w:eastAsia="宋体"/>
          <w:sz w:val="24"/>
        </w:rPr>
        <w:t xml:space="preserve"> min</w:t>
      </w:r>
      <w:r>
        <w:rPr>
          <w:rFonts w:hint="eastAsia" w:ascii="Times New Roman" w:hAnsi="Times New Roman" w:eastAsia="宋体"/>
          <w:sz w:val="24"/>
        </w:rPr>
        <w:t xml:space="preserve">. Finally, the UV-vis absorption spectrum of the obtained solution </w:t>
      </w:r>
      <w:r>
        <w:rPr>
          <w:rFonts w:ascii="Times New Roman" w:hAnsi="Times New Roman" w:eastAsia="宋体"/>
          <w:sz w:val="24"/>
        </w:rPr>
        <w:t>w</w:t>
      </w:r>
      <w:r>
        <w:rPr>
          <w:rFonts w:hint="eastAsia" w:ascii="Times New Roman" w:hAnsi="Times New Roman" w:eastAsia="宋体"/>
          <w:sz w:val="24"/>
        </w:rPr>
        <w:t>as</w:t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</w:rPr>
        <w:t xml:space="preserve">measured. As a control, the UV-vis absorption spectra of TMB solution under the irradiation of a Xe lamp, </w:t>
      </w:r>
      <w:bookmarkStart w:id="7" w:name="OLE_LINK16"/>
      <w:r>
        <w:rPr>
          <w:rFonts w:hint="eastAsia" w:ascii="Times New Roman" w:hAnsi="Times New Roman" w:eastAsia="宋体"/>
          <w:sz w:val="24"/>
        </w:rPr>
        <w:t>C-dots</w:t>
      </w:r>
      <w:bookmarkEnd w:id="7"/>
      <w:r>
        <w:rPr>
          <w:rFonts w:hint="eastAsia" w:ascii="Times New Roman" w:hAnsi="Times New Roman" w:eastAsia="宋体"/>
          <w:sz w:val="24"/>
        </w:rPr>
        <w:t xml:space="preserve">-TMB under dark were also recorded. </w:t>
      </w:r>
    </w:p>
    <w:p w14:paraId="74907AC8">
      <w:pPr>
        <w:pStyle w:val="3"/>
        <w:spacing w:before="0" w:after="0"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 xml:space="preserve">2. </w:t>
      </w:r>
      <w:bookmarkStart w:id="8" w:name="OLE_LINK45"/>
      <w:r>
        <w:rPr>
          <w:rFonts w:ascii="Times New Roman" w:hAnsi="Times New Roman" w:eastAsia="宋体" w:cs="Times New Roman"/>
          <w:szCs w:val="24"/>
        </w:rPr>
        <w:t>Steady-state kinetic</w:t>
      </w:r>
      <w:bookmarkEnd w:id="8"/>
      <w:r>
        <w:rPr>
          <w:rFonts w:ascii="Times New Roman" w:hAnsi="Times New Roman" w:eastAsia="宋体" w:cs="Times New Roman"/>
          <w:szCs w:val="24"/>
        </w:rPr>
        <w:t xml:space="preserve"> analysis</w:t>
      </w:r>
    </w:p>
    <w:p w14:paraId="65C34948"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/>
          <w:sz w:val="24"/>
        </w:rPr>
        <w:t xml:space="preserve">teady-state kinetic </w:t>
      </w:r>
      <w:r>
        <w:rPr>
          <w:rFonts w:hint="eastAsia" w:ascii="Times New Roman" w:hAnsi="Times New Roman" w:eastAsiaTheme="minorEastAsia"/>
          <w:sz w:val="24"/>
        </w:rPr>
        <w:t xml:space="preserve">analysis </w:t>
      </w:r>
      <w:r>
        <w:rPr>
          <w:rFonts w:ascii="Times New Roman" w:hAnsi="Times New Roman"/>
          <w:sz w:val="24"/>
        </w:rPr>
        <w:t xml:space="preserve">were </w:t>
      </w:r>
      <w:r>
        <w:rPr>
          <w:rFonts w:hint="eastAsia" w:ascii="Times New Roman" w:hAnsi="Times New Roman" w:eastAsia="宋体"/>
          <w:sz w:val="24"/>
        </w:rPr>
        <w:t>conduct</w:t>
      </w:r>
      <w:r>
        <w:rPr>
          <w:rFonts w:ascii="Times New Roman" w:hAnsi="Times New Roman"/>
          <w:sz w:val="24"/>
        </w:rPr>
        <w:t xml:space="preserve">ed by </w:t>
      </w:r>
      <w:r>
        <w:rPr>
          <w:rFonts w:hint="eastAsia" w:ascii="Times New Roman" w:hAnsi="Times New Roman"/>
          <w:sz w:val="24"/>
        </w:rPr>
        <w:t>modulating the TMB concentration and recording absorbance changes at 652 nm</w:t>
      </w:r>
      <w:r>
        <w:rPr>
          <w:rFonts w:ascii="Times New Roman" w:hAnsi="Times New Roman"/>
          <w:sz w:val="24"/>
        </w:rPr>
        <w:t xml:space="preserve">. </w:t>
      </w:r>
      <w:r>
        <w:rPr>
          <w:rFonts w:hint="eastAsia" w:ascii="Times New Roman" w:hAnsi="Times New Roman" w:eastAsiaTheme="minorEastAsia"/>
          <w:sz w:val="24"/>
        </w:rPr>
        <w:t>Typically, a</w:t>
      </w:r>
      <w:r>
        <w:rPr>
          <w:rFonts w:ascii="Times New Roman" w:hAnsi="Times New Roman"/>
          <w:sz w:val="24"/>
        </w:rPr>
        <w:t xml:space="preserve"> total volume of 1 mL </w:t>
      </w:r>
      <w:r>
        <w:rPr>
          <w:rFonts w:hint="eastAsia" w:ascii="Times New Roman" w:hAnsi="Times New Roman" w:eastAsiaTheme="minorEastAsia"/>
          <w:sz w:val="24"/>
        </w:rPr>
        <w:t xml:space="preserve">solution comprised of 800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>of H</w:t>
      </w:r>
      <w:r>
        <w:rPr>
          <w:rFonts w:ascii="Times New Roman" w:hAnsi="Times New Roman" w:eastAsia="宋体"/>
          <w:sz w:val="24"/>
        </w:rPr>
        <w:t>Ac-</w:t>
      </w:r>
      <w:r>
        <w:rPr>
          <w:rFonts w:hint="eastAsia" w:ascii="Times New Roman" w:hAnsi="Times New Roman" w:eastAsia="宋体"/>
          <w:sz w:val="24"/>
        </w:rPr>
        <w:t>Na</w:t>
      </w:r>
      <w:r>
        <w:rPr>
          <w:rFonts w:ascii="Times New Roman" w:hAnsi="Times New Roman" w:eastAsia="宋体"/>
          <w:sz w:val="24"/>
        </w:rPr>
        <w:t>Ac</w:t>
      </w:r>
      <w:r>
        <w:rPr>
          <w:rFonts w:hint="eastAsia" w:ascii="Times New Roman" w:hAnsi="Times New Roman" w:eastAsia="宋体"/>
          <w:sz w:val="24"/>
        </w:rPr>
        <w:t xml:space="preserve"> (0.1 M, pH 4.0),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 w:eastAsiaTheme="minorEastAsia"/>
          <w:sz w:val="24"/>
        </w:rPr>
        <w:t xml:space="preserve">100 </w:t>
      </w:r>
      <w:r>
        <w:rPr>
          <w:rFonts w:ascii="Times New Roman" w:hAnsi="Times New Roman" w:eastAsiaTheme="minorEastAsia"/>
          <w:sz w:val="24"/>
        </w:rPr>
        <w:t>μL of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/>
          <w:sz w:val="24"/>
        </w:rPr>
        <w:t>TMB</w:t>
      </w:r>
      <w:r>
        <w:rPr>
          <w:rFonts w:hint="eastAsia" w:ascii="Times New Roman" w:hAnsi="Times New Roman" w:eastAsiaTheme="minorEastAsia"/>
          <w:sz w:val="24"/>
        </w:rPr>
        <w:t xml:space="preserve"> with </w:t>
      </w:r>
      <w:r>
        <w:rPr>
          <w:rFonts w:ascii="Times New Roman" w:hAnsi="Times New Roman"/>
          <w:sz w:val="24"/>
        </w:rPr>
        <w:t xml:space="preserve">different concentrations (1-8 mM) </w:t>
      </w:r>
      <w:r>
        <w:rPr>
          <w:rFonts w:hint="eastAsia" w:ascii="Times New Roman" w:hAnsi="Times New Roman" w:eastAsiaTheme="minorEastAsia"/>
          <w:sz w:val="24"/>
        </w:rPr>
        <w:t xml:space="preserve">and </w:t>
      </w:r>
      <w:r>
        <w:rPr>
          <w:rFonts w:ascii="Times New Roman" w:hAnsi="Times New Roman"/>
          <w:sz w:val="24"/>
        </w:rPr>
        <w:t>100 μL</w:t>
      </w:r>
      <w:r>
        <w:rPr>
          <w:rFonts w:hint="eastAsia" w:ascii="Times New Roman" w:hAnsi="Times New Roman" w:eastAsiaTheme="minorEastAsia"/>
          <w:sz w:val="24"/>
        </w:rPr>
        <w:t xml:space="preserve"> of</w:t>
      </w:r>
      <w:r>
        <w:rPr>
          <w:rFonts w:ascii="Times New Roman" w:hAnsi="Times New Roman"/>
          <w:sz w:val="24"/>
        </w:rPr>
        <w:t xml:space="preserve"> C-dots </w:t>
      </w:r>
      <w:r>
        <w:rPr>
          <w:rFonts w:hint="eastAsia" w:ascii="Times New Roman" w:hAnsi="Times New Roman" w:eastAsiaTheme="minorEastAsia"/>
          <w:sz w:val="24"/>
        </w:rPr>
        <w:t xml:space="preserve">was under the illumination of </w:t>
      </w:r>
      <w:r>
        <w:rPr>
          <w:rFonts w:ascii="Times New Roman" w:hAnsi="Times New Roman" w:eastAsiaTheme="minorEastAsia"/>
          <w:sz w:val="24"/>
        </w:rPr>
        <w:t>a Xe lamp</w:t>
      </w:r>
      <w:r>
        <w:rPr>
          <w:rFonts w:hint="eastAsia" w:ascii="Times New Roman" w:hAnsi="Times New Roman" w:eastAsiaTheme="minorEastAsia"/>
          <w:sz w:val="24"/>
        </w:rPr>
        <w:t xml:space="preserve"> for various time </w:t>
      </w:r>
      <w:r>
        <w:rPr>
          <w:rFonts w:ascii="Times New Roman" w:hAnsi="Times New Roman" w:eastAsiaTheme="minorEastAsia"/>
          <w:sz w:val="24"/>
        </w:rPr>
        <w:t>to obtain the relationship between the concentration of TMB and the absorbance</w:t>
      </w:r>
      <w:r>
        <w:rPr>
          <w:rFonts w:hint="eastAsia" w:ascii="Times New Roman" w:hAnsi="Times New Roman" w:eastAsiaTheme="minorEastAsia"/>
          <w:sz w:val="24"/>
        </w:rPr>
        <w:t xml:space="preserve"> at 652 nm</w:t>
      </w:r>
      <w:r>
        <w:rPr>
          <w:rFonts w:ascii="Times New Roman" w:hAnsi="Times New Roman"/>
          <w:sz w:val="24"/>
        </w:rPr>
        <w:t xml:space="preserve">. </w:t>
      </w:r>
      <w:r>
        <w:rPr>
          <w:rFonts w:hint="eastAsia" w:ascii="Times New Roman" w:hAnsi="Times New Roman"/>
          <w:sz w:val="24"/>
        </w:rPr>
        <w:t>Using the Michaelis-Menten equation,</w:t>
      </w:r>
      <w:r>
        <w:rPr>
          <w:rFonts w:ascii="Times New Roman" w:hAnsi="Times New Roman"/>
          <w:sz w:val="24"/>
        </w:rPr>
        <w:t xml:space="preserve"> Michaelis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constant </w:t>
      </w:r>
      <w:r>
        <w:rPr>
          <w:rFonts w:hint="eastAsia" w:ascii="Times New Roman" w:hAnsi="Times New Roman" w:eastAsiaTheme="minorEastAsia"/>
          <w:sz w:val="24"/>
        </w:rPr>
        <w:t>(</w:t>
      </w:r>
      <w:r>
        <w:rPr>
          <w:rFonts w:ascii="Times New Roman" w:hAnsi="Times New Roman"/>
          <w:sz w:val="24"/>
        </w:rPr>
        <w:t>K</w:t>
      </w:r>
      <w:r>
        <w:rPr>
          <w:rFonts w:ascii="Times New Roman" w:hAnsi="Times New Roman"/>
          <w:sz w:val="24"/>
          <w:vertAlign w:val="subscript"/>
        </w:rPr>
        <w:t>m</w:t>
      </w:r>
      <w:r>
        <w:rPr>
          <w:rFonts w:hint="eastAsia" w:ascii="Times New Roman" w:hAnsi="Times New Roman" w:eastAsiaTheme="minorEastAsia"/>
          <w:sz w:val="24"/>
        </w:rPr>
        <w:t>)</w:t>
      </w:r>
      <w:r>
        <w:rPr>
          <w:rFonts w:ascii="Times New Roman" w:hAnsi="Times New Roman"/>
          <w:sz w:val="24"/>
        </w:rPr>
        <w:t xml:space="preserve"> and the maximal reaction rate </w:t>
      </w:r>
      <w:r>
        <w:rPr>
          <w:rFonts w:hint="eastAsia" w:ascii="Times New Roman" w:hAnsi="Times New Roman" w:eastAsiaTheme="minorEastAsia"/>
          <w:sz w:val="24"/>
        </w:rPr>
        <w:t>(</w:t>
      </w:r>
      <w:r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  <w:vertAlign w:val="subscript"/>
        </w:rPr>
        <w:t>max</w:t>
      </w:r>
      <w:r>
        <w:rPr>
          <w:rFonts w:hint="eastAsia" w:ascii="Times New Roman" w:hAnsi="Times New Roman" w:eastAsiaTheme="minorEastAsia"/>
          <w:sz w:val="24"/>
        </w:rPr>
        <w:t>)</w:t>
      </w:r>
      <w:r>
        <w:rPr>
          <w:rFonts w:ascii="Times New Roman" w:hAnsi="Times New Roman"/>
          <w:sz w:val="24"/>
        </w:rPr>
        <w:t xml:space="preserve"> were </w:t>
      </w:r>
      <w:r>
        <w:rPr>
          <w:rFonts w:hint="eastAsia" w:ascii="Times New Roman" w:hAnsi="Times New Roman"/>
          <w:sz w:val="24"/>
        </w:rPr>
        <w:t>computed</w:t>
      </w:r>
      <w:r>
        <w:rPr>
          <w:rFonts w:ascii="Times New Roman" w:hAnsi="Times New Roman"/>
          <w:sz w:val="24"/>
        </w:rPr>
        <w:t>.</w:t>
      </w:r>
    </w:p>
    <w:p w14:paraId="0FDF4E76">
      <w:pPr>
        <w:pStyle w:val="3"/>
        <w:spacing w:before="0" w:after="0"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3. Effects of diverse </w:t>
      </w:r>
      <w:r>
        <w:rPr>
          <w:rFonts w:ascii="Times New Roman" w:hAnsi="Times New Roman" w:eastAsia="宋体" w:cs="Times New Roman"/>
          <w:szCs w:val="24"/>
        </w:rPr>
        <w:t xml:space="preserve">scavengers on the </w:t>
      </w:r>
      <w:r>
        <w:rPr>
          <w:rFonts w:hint="eastAsia" w:ascii="Times New Roman" w:hAnsi="Times New Roman" w:eastAsia="宋体" w:cs="Times New Roman"/>
          <w:szCs w:val="24"/>
        </w:rPr>
        <w:t>catalytic behavior</w:t>
      </w:r>
      <w:r>
        <w:rPr>
          <w:rFonts w:ascii="Times New Roman" w:hAnsi="Times New Roman" w:eastAsia="宋体" w:cs="Times New Roman"/>
          <w:szCs w:val="24"/>
        </w:rPr>
        <w:t xml:space="preserve"> of </w:t>
      </w:r>
      <w:r>
        <w:rPr>
          <w:rFonts w:hint="eastAsia" w:ascii="Times New Roman" w:hAnsi="Times New Roman" w:eastAsia="宋体" w:cs="Times New Roman"/>
          <w:szCs w:val="24"/>
        </w:rPr>
        <w:t>C-dots</w:t>
      </w:r>
    </w:p>
    <w:p w14:paraId="04D1CFA6">
      <w:pPr>
        <w:spacing w:line="360" w:lineRule="auto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 xml:space="preserve">100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>of different scavengers were respectively introduce into the solution containing 7</w:t>
      </w:r>
      <w:r>
        <w:rPr>
          <w:rFonts w:ascii="Times New Roman" w:hAnsi="Times New Roman" w:eastAsia="宋体"/>
          <w:sz w:val="24"/>
        </w:rPr>
        <w:t xml:space="preserve">00 </w:t>
      </w:r>
      <w:bookmarkStart w:id="9" w:name="OLE_LINK46"/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>of H</w:t>
      </w:r>
      <w:r>
        <w:rPr>
          <w:rFonts w:ascii="Times New Roman" w:hAnsi="Times New Roman" w:eastAsia="宋体"/>
          <w:sz w:val="24"/>
        </w:rPr>
        <w:t>Ac-</w:t>
      </w:r>
      <w:r>
        <w:rPr>
          <w:rFonts w:hint="eastAsia" w:ascii="Times New Roman" w:hAnsi="Times New Roman" w:eastAsia="宋体"/>
          <w:sz w:val="24"/>
        </w:rPr>
        <w:t>Na</w:t>
      </w:r>
      <w:r>
        <w:rPr>
          <w:rFonts w:ascii="Times New Roman" w:hAnsi="Times New Roman" w:eastAsia="宋体"/>
          <w:sz w:val="24"/>
        </w:rPr>
        <w:t>Ac</w:t>
      </w:r>
      <w:r>
        <w:rPr>
          <w:rFonts w:hint="eastAsia" w:ascii="Times New Roman" w:hAnsi="Times New Roman" w:eastAsia="宋体"/>
          <w:sz w:val="24"/>
        </w:rPr>
        <w:t xml:space="preserve"> (0.1 M, pH 4.0),</w:t>
      </w:r>
      <w:bookmarkEnd w:id="9"/>
      <w:r>
        <w:rPr>
          <w:rFonts w:hint="eastAsia" w:ascii="Times New Roman" w:hAnsi="Times New Roman" w:eastAsia="宋体"/>
          <w:sz w:val="24"/>
        </w:rPr>
        <w:t xml:space="preserve"> 100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 xml:space="preserve">of C-dots and 100 </w:t>
      </w:r>
      <w:r>
        <w:rPr>
          <w:rFonts w:ascii="Times New Roman" w:hAnsi="Times New Roman" w:eastAsia="宋体"/>
          <w:sz w:val="24"/>
        </w:rPr>
        <w:t xml:space="preserve">μL </w:t>
      </w:r>
      <w:r>
        <w:rPr>
          <w:rFonts w:hint="eastAsia" w:ascii="Times New Roman" w:hAnsi="Times New Roman" w:eastAsia="宋体"/>
          <w:sz w:val="24"/>
        </w:rPr>
        <w:t xml:space="preserve">of </w:t>
      </w:r>
      <w:r>
        <w:rPr>
          <w:rFonts w:ascii="Times New Roman" w:hAnsi="Times New Roman" w:eastAsia="宋体"/>
          <w:sz w:val="24"/>
        </w:rPr>
        <w:t xml:space="preserve">TMB </w:t>
      </w:r>
      <w:r>
        <w:rPr>
          <w:rFonts w:hint="eastAsia" w:ascii="Times New Roman" w:hAnsi="Times New Roman" w:eastAsia="宋体"/>
          <w:sz w:val="24"/>
        </w:rPr>
        <w:t xml:space="preserve">(5 mM), and </w:t>
      </w:r>
      <w:r>
        <w:rPr>
          <w:rFonts w:ascii="Times New Roman" w:hAnsi="Times New Roman" w:eastAsia="宋体"/>
          <w:sz w:val="24"/>
        </w:rPr>
        <w:t xml:space="preserve">irradiated </w:t>
      </w:r>
      <w:r>
        <w:rPr>
          <w:rFonts w:hint="eastAsia" w:ascii="Times New Roman" w:hAnsi="Times New Roman" w:eastAsia="宋体"/>
          <w:sz w:val="24"/>
        </w:rPr>
        <w:t>by a 300 W Xe</w:t>
      </w:r>
      <w:r>
        <w:rPr>
          <w:rFonts w:ascii="Times New Roman" w:hAnsi="Times New Roman" w:eastAsia="宋体"/>
          <w:sz w:val="24"/>
        </w:rPr>
        <w:t xml:space="preserve"> lamp</w:t>
      </w:r>
      <w:r>
        <w:rPr>
          <w:rFonts w:hint="eastAsia" w:ascii="Times New Roman" w:hAnsi="Times New Roman" w:eastAsia="宋体"/>
          <w:sz w:val="24"/>
        </w:rPr>
        <w:t xml:space="preserve"> </w:t>
      </w:r>
      <w:bookmarkStart w:id="10" w:name="OLE_LINK20"/>
      <w:r>
        <w:rPr>
          <w:rFonts w:hint="eastAsia" w:ascii="Times New Roman" w:hAnsi="Times New Roman" w:eastAsia="宋体"/>
          <w:sz w:val="24"/>
        </w:rPr>
        <w:t>(</w:t>
      </w:r>
      <w:r>
        <w:rPr>
          <w:rFonts w:ascii="Times New Roman" w:hAnsi="Times New Roman" w:eastAsia="宋体"/>
          <w:sz w:val="24"/>
        </w:rPr>
        <w:t>λ</w:t>
      </w:r>
      <w:r>
        <w:rPr>
          <w:rFonts w:hint="eastAsia" w:ascii="Times New Roman" w:hAnsi="Times New Roman" w:eastAsia="宋体"/>
          <w:sz w:val="24"/>
        </w:rPr>
        <w:t xml:space="preserve">≥420 nm) </w:t>
      </w:r>
      <w:bookmarkEnd w:id="10"/>
      <w:r>
        <w:rPr>
          <w:rFonts w:hint="eastAsia" w:ascii="Times New Roman" w:hAnsi="Times New Roman" w:eastAsia="宋体"/>
          <w:sz w:val="24"/>
        </w:rPr>
        <w:t>for 1 min and 2 min.</w:t>
      </w:r>
      <w:r>
        <w:rPr>
          <w:sz w:val="24"/>
        </w:rPr>
        <w:t xml:space="preserve"> </w:t>
      </w:r>
      <w:r>
        <w:rPr>
          <w:rFonts w:ascii="Times New Roman" w:hAnsi="Times New Roman" w:eastAsia="宋体"/>
          <w:sz w:val="24"/>
        </w:rPr>
        <w:t>Final concentrations of the scavengers were set as follows: 1 mM nitrotetrazolium blue chloride (NBT), 0.2 mM tryptophan, 5 mM mannitol, 0.1 mM ethylenediaminetetraacetic acid disodium salt (EDTA-2Na), and 0.4 mM CuCl₂.</w:t>
      </w:r>
    </w:p>
    <w:p w14:paraId="0017D16D">
      <w:pPr>
        <w:spacing w:line="440" w:lineRule="exact"/>
        <w:ind w:firstLine="480" w:firstLineChars="200"/>
        <w:rPr>
          <w:rFonts w:ascii="Times New Roman" w:hAnsi="Times New Roman"/>
          <w:sz w:val="24"/>
          <w:szCs w:val="24"/>
        </w:rPr>
      </w:pPr>
    </w:p>
    <w:p w14:paraId="2CC9E5F7">
      <w:pPr>
        <w:spacing w:line="440" w:lineRule="exact"/>
        <w:ind w:firstLine="480" w:firstLineChars="200"/>
        <w:rPr>
          <w:rFonts w:ascii="Times New Roman" w:hAnsi="Times New Roman"/>
          <w:sz w:val="24"/>
          <w:szCs w:val="24"/>
        </w:rPr>
      </w:pPr>
    </w:p>
    <w:p w14:paraId="58880461">
      <w:pPr>
        <w:spacing w:line="440" w:lineRule="exact"/>
        <w:ind w:firstLine="480" w:firstLineChars="200"/>
        <w:rPr>
          <w:rFonts w:ascii="Times New Roman" w:hAnsi="Times New Roman"/>
          <w:sz w:val="24"/>
          <w:szCs w:val="24"/>
        </w:rPr>
      </w:pPr>
    </w:p>
    <w:p w14:paraId="751CE7EF">
      <w:pPr>
        <w:spacing w:line="440" w:lineRule="exact"/>
        <w:rPr>
          <w:rFonts w:ascii="Times New Roman" w:hAnsi="Times New Roman"/>
          <w:sz w:val="24"/>
          <w:szCs w:val="24"/>
        </w:rPr>
      </w:pPr>
    </w:p>
    <w:p w14:paraId="70FAAED6">
      <w:pPr>
        <w:keepNext/>
        <w:jc w:val="center"/>
        <w:rPr>
          <w:rFonts w:hint="eastAsia"/>
        </w:rPr>
      </w:pPr>
      <w:r>
        <w:rPr>
          <w:rFonts w:hint="eastAsia"/>
          <w14:ligatures w14:val="standardContextual"/>
        </w:rPr>
        <w:drawing>
          <wp:inline distT="0" distB="0" distL="0" distR="0">
            <wp:extent cx="3980815" cy="2567940"/>
            <wp:effectExtent l="0" t="0" r="0" b="0"/>
            <wp:docPr id="19401878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87831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17" cy="25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410D">
      <w:pPr>
        <w:pStyle w:val="11"/>
        <w:jc w:val="center"/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t>Fig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Figure_S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TEM images of C-dots.</w:t>
      </w:r>
    </w:p>
    <w:p w14:paraId="43566C8F">
      <w:pPr>
        <w:keepNext/>
        <w:jc w:val="center"/>
        <w:rPr>
          <w:rFonts w:hint="eastAsia"/>
        </w:rPr>
      </w:pPr>
      <w:r>
        <w:drawing>
          <wp:inline distT="0" distB="0" distL="0" distR="0">
            <wp:extent cx="3720465" cy="2967355"/>
            <wp:effectExtent l="0" t="0" r="3810" b="4445"/>
            <wp:docPr id="2047881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8132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85CF">
      <w:pPr>
        <w:pStyle w:val="11"/>
        <w:jc w:val="center"/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t>Fig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Figure_S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The O 1s spectrum of C-dots</w:t>
      </w:r>
      <w:r>
        <w:rPr>
          <w:rFonts w:ascii="Times New Roman" w:hAnsi="Times New Roman" w:cs="Times New Roman"/>
        </w:rPr>
        <w:t>.</w:t>
      </w:r>
    </w:p>
    <w:p w14:paraId="7B6C3BAD">
      <w:pPr>
        <w:pStyle w:val="1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340860" cy="3599815"/>
            <wp:effectExtent l="0" t="0" r="2540" b="635"/>
            <wp:docPr id="10458929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9298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1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4A90">
      <w:pPr>
        <w:pStyle w:val="11"/>
        <w:jc w:val="center"/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t>Fig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Figure_S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Effects of pH value of buffer solutions (A), the irradiation time (B), the volume of C-dots (C), the concentration of TMB (D) on the light-responsive oxidase-like activity of C-dots</w:t>
      </w:r>
      <w:r>
        <w:rPr>
          <w:rFonts w:ascii="Times New Roman" w:hAnsi="Times New Roman" w:cs="Times New Roman"/>
        </w:rPr>
        <w:t>.</w:t>
      </w:r>
    </w:p>
    <w:p w14:paraId="6EF25385">
      <w:pPr>
        <w:keepNext/>
        <w:spacing w:line="480" w:lineRule="auto"/>
        <w:jc w:val="center"/>
        <w:rPr>
          <w:rFonts w:hint="eastAsia" w:eastAsia="宋体"/>
        </w:rPr>
      </w:pPr>
      <w:r>
        <w:rPr>
          <w:rFonts w:hint="eastAsia" w:eastAsia="宋体"/>
        </w:rPr>
        <w:drawing>
          <wp:inline distT="0" distB="0" distL="114300" distR="114300">
            <wp:extent cx="3801110" cy="3239770"/>
            <wp:effectExtent l="0" t="0" r="8890" b="8255"/>
            <wp:docPr id="8" name="图片 8" descr="d1c4a8d3aa3739c87ff275dff2204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c4a8d3aa3739c87ff275dff22041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1405">
      <w:pPr>
        <w:pStyle w:val="11"/>
        <w:spacing w:line="480" w:lineRule="auto"/>
        <w:rPr>
          <w:rFonts w:ascii="Times New Roman" w:hAnsi="Times New Roman" w:cs="Times New Roman"/>
          <w:sz w:val="21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1"/>
          <w:szCs w:val="21"/>
        </w:rPr>
        <w:t xml:space="preserve">Fig. </w:t>
      </w:r>
      <w:r>
        <w:rPr>
          <w:rFonts w:hint="eastAsia" w:ascii="Times New Roman" w:hAnsi="Times New Roman" w:cs="Times New Roman"/>
          <w:sz w:val="21"/>
          <w:szCs w:val="21"/>
        </w:rPr>
        <w:t>S4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) UV-vis absorption spectra of reaction systems </w:t>
      </w:r>
      <w:r>
        <w:rPr>
          <w:rFonts w:hint="eastAsia" w:ascii="Times New Roman" w:hAnsi="Times New Roman" w:cs="Times New Roman"/>
          <w:sz w:val="21"/>
          <w:szCs w:val="21"/>
        </w:rPr>
        <w:t>under</w:t>
      </w:r>
      <w:r>
        <w:rPr>
          <w:rFonts w:ascii="Times New Roman" w:hAnsi="Times New Roman" w:cs="Times New Roman"/>
          <w:sz w:val="21"/>
          <w:szCs w:val="21"/>
        </w:rPr>
        <w:t xml:space="preserve"> air, </w:t>
      </w:r>
      <w:r>
        <w:rPr>
          <w:rFonts w:hint="eastAsia" w:ascii="Times New Roman" w:hAnsi="Times New Roman" w:cs="Times New Roman"/>
          <w:sz w:val="21"/>
          <w:szCs w:val="21"/>
        </w:rPr>
        <w:t>nitrogen</w:t>
      </w:r>
      <w:r>
        <w:rPr>
          <w:rFonts w:ascii="Times New Roman" w:hAnsi="Times New Roman" w:cs="Times New Roman"/>
          <w:sz w:val="21"/>
          <w:szCs w:val="21"/>
        </w:rPr>
        <w:t xml:space="preserve"> and </w:t>
      </w:r>
      <w:r>
        <w:rPr>
          <w:rFonts w:hint="eastAsia" w:ascii="Times New Roman" w:hAnsi="Times New Roman" w:cs="Times New Roman"/>
          <w:sz w:val="21"/>
          <w:szCs w:val="21"/>
        </w:rPr>
        <w:t xml:space="preserve">oxygen </w:t>
      </w:r>
      <w:r>
        <w:rPr>
          <w:rFonts w:ascii="Times New Roman" w:hAnsi="Times New Roman" w:cs="Times New Roman"/>
          <w:sz w:val="21"/>
          <w:szCs w:val="21"/>
        </w:rPr>
        <w:t>atmosphere</w:t>
      </w:r>
      <w:r>
        <w:rPr>
          <w:rFonts w:hint="eastAsia"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) </w:t>
      </w:r>
      <w:r>
        <w:rPr>
          <w:rFonts w:hint="eastAsia" w:ascii="Times New Roman" w:hAnsi="Times New Roman" w:cs="Times New Roman"/>
          <w:sz w:val="21"/>
          <w:szCs w:val="21"/>
        </w:rPr>
        <w:t xml:space="preserve">The absorbance of oxTMB at 652 nm after the introduction of </w:t>
      </w:r>
      <w:r>
        <w:rPr>
          <w:rFonts w:ascii="Times New Roman" w:hAnsi="Times New Roman" w:cs="Times New Roman"/>
          <w:sz w:val="21"/>
          <w:szCs w:val="21"/>
        </w:rPr>
        <w:t>various</w:t>
      </w:r>
      <w:r>
        <w:rPr>
          <w:rFonts w:hint="eastAsia"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scavengers</w:t>
      </w:r>
      <w:r>
        <w:rPr>
          <w:rFonts w:hint="eastAsia" w:ascii="Times New Roman" w:hAnsi="Times New Roman" w:cs="Times New Roman"/>
          <w:sz w:val="21"/>
          <w:szCs w:val="21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(</w:t>
      </w:r>
      <w:r>
        <w:rPr>
          <w:rFonts w:hint="eastAsia" w:ascii="Times New Roman" w:hAnsi="Times New Roman" w:cs="Times New Roman"/>
          <w:sz w:val="21"/>
          <w:szCs w:val="21"/>
        </w:rPr>
        <w:t>C</w:t>
      </w:r>
      <w:r>
        <w:rPr>
          <w:rFonts w:ascii="Times New Roman" w:hAnsi="Times New Roman" w:cs="Times New Roman"/>
          <w:sz w:val="21"/>
          <w:szCs w:val="21"/>
        </w:rPr>
        <w:t xml:space="preserve">) </w:t>
      </w:r>
      <w:r>
        <w:rPr>
          <w:rFonts w:hint="eastAsia" w:ascii="Times New Roman" w:hAnsi="Times New Roman" w:cs="Times New Roman"/>
          <w:sz w:val="21"/>
          <w:szCs w:val="21"/>
        </w:rPr>
        <w:t xml:space="preserve">EPR spectra of C-dots with DMPO spin trapping. </w:t>
      </w:r>
      <w:r>
        <w:rPr>
          <w:rFonts w:ascii="Times New Roman" w:hAnsi="Times New Roman" w:cs="Times New Roman"/>
          <w:sz w:val="21"/>
          <w:szCs w:val="21"/>
        </w:rPr>
        <w:t>(</w:t>
      </w:r>
      <w:r>
        <w:rPr>
          <w:rFonts w:hint="eastAsia" w:ascii="Times New Roman" w:hAnsi="Times New Roman" w:cs="Times New Roman"/>
          <w:sz w:val="21"/>
          <w:szCs w:val="21"/>
        </w:rPr>
        <w:t>D</w:t>
      </w:r>
      <w:r>
        <w:rPr>
          <w:rFonts w:ascii="Times New Roman" w:hAnsi="Times New Roman" w:cs="Times New Roman"/>
          <w:sz w:val="21"/>
          <w:szCs w:val="21"/>
        </w:rPr>
        <w:t>)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The c</w:t>
      </w:r>
      <w:r>
        <w:rPr>
          <w:rFonts w:ascii="Times New Roman" w:hAnsi="Times New Roman" w:cs="Times New Roman"/>
          <w:sz w:val="21"/>
          <w:szCs w:val="21"/>
        </w:rPr>
        <w:t>atalytic mechanism</w:t>
      </w:r>
      <w:r>
        <w:rPr>
          <w:rFonts w:hint="eastAsia" w:ascii="Times New Roman" w:hAnsi="Times New Roman" w:cs="Times New Roman"/>
          <w:sz w:val="21"/>
          <w:szCs w:val="21"/>
        </w:rPr>
        <w:t xml:space="preserve"> of C-dots as light-responsive nanozymes</w:t>
      </w:r>
      <w:r>
        <w:rPr>
          <w:rFonts w:ascii="Times New Roman" w:hAnsi="Times New Roman" w:cs="Times New Roman"/>
          <w:sz w:val="21"/>
          <w:szCs w:val="21"/>
        </w:rPr>
        <w:t>.</w:t>
      </w:r>
    </w:p>
    <w:p w14:paraId="48193D5B">
      <w:pPr>
        <w:pStyle w:val="1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588385" cy="2879725"/>
            <wp:effectExtent l="0" t="0" r="0" b="0"/>
            <wp:docPr id="545225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2526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85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B509">
      <w:pPr>
        <w:jc w:val="center"/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</w:rPr>
        <w:t>Fig</w:t>
      </w:r>
      <w:r>
        <w:rPr>
          <w:rFonts w:hint="eastAsia" w:ascii="Times New Roman" w:hAnsi="Times New Roman"/>
        </w:rPr>
        <w:t>.</w:t>
      </w:r>
      <w:r>
        <w:rPr>
          <w:rFonts w:ascii="Times New Roman" w:hAnsi="Times New Roman"/>
        </w:rPr>
        <w:t xml:space="preserve"> S</w:t>
      </w:r>
      <w:r>
        <w:rPr>
          <w:rFonts w:hint="eastAsia" w:ascii="Times New Roman" w:hAnsi="Times New Roman"/>
        </w:rPr>
        <w:t xml:space="preserve">5 The feasibility of smartphone-assisted hydrogel for glyphosate </w:t>
      </w:r>
      <w:r>
        <w:rPr>
          <w:rFonts w:ascii="Times New Roman" w:hAnsi="Times New Roman"/>
        </w:rPr>
        <w:t>detection</w:t>
      </w:r>
      <w:r>
        <w:rPr>
          <w:rFonts w:hint="eastAsia" w:ascii="Times New Roman" w:hAnsi="Times New Roman"/>
        </w:rPr>
        <w:t>.</w:t>
      </w:r>
    </w:p>
    <w:p w14:paraId="2554E01B">
      <w:pPr>
        <w:keepNext/>
        <w:jc w:val="center"/>
        <w:rPr>
          <w:rFonts w:hint="eastAsia"/>
        </w:rPr>
      </w:pPr>
      <w:r>
        <w:drawing>
          <wp:inline distT="0" distB="0" distL="0" distR="0">
            <wp:extent cx="5274310" cy="2982595"/>
            <wp:effectExtent l="0" t="0" r="2540" b="8255"/>
            <wp:docPr id="16910727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7275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2A60">
      <w:pPr>
        <w:pStyle w:val="11"/>
        <w:jc w:val="center"/>
        <w:rPr>
          <w:rFonts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</w:rPr>
        <w:t>Fig</w:t>
      </w:r>
      <w:r>
        <w:rPr>
          <w:rFonts w:hint="eastAsia"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</w:t>
      </w:r>
      <w:r>
        <w:rPr>
          <w:rFonts w:hint="eastAsia"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Effects of pH value of buffer solutions (A), the concentrations of Cu</w:t>
      </w:r>
      <w:r>
        <w:rPr>
          <w:rFonts w:hint="eastAsia" w:ascii="Times New Roman" w:hAnsi="Times New Roman" w:cs="Times New Roman"/>
          <w:vertAlign w:val="superscript"/>
        </w:rPr>
        <w:t>2+</w:t>
      </w:r>
      <w:r>
        <w:rPr>
          <w:rFonts w:hint="eastAsia" w:ascii="Times New Roman" w:hAnsi="Times New Roman" w:cs="Times New Roman"/>
        </w:rPr>
        <w:t xml:space="preserve"> (B) and TMB (C), the volume of C-dots (D) and the irradiation time (E) on the absorbance of the detection system before and after the introduction of glyphosate. (F) The effect of irradiation time on the </w:t>
      </w:r>
      <w:r>
        <w:rPr>
          <w:rFonts w:ascii="Times New Roman" w:hAnsi="Times New Roman"/>
        </w:rPr>
        <w:t>∆</w:t>
      </w:r>
      <w:r>
        <w:rPr>
          <w:rFonts w:hint="eastAsia" w:ascii="Times New Roman" w:hAnsi="Times New Roman"/>
        </w:rPr>
        <w:t xml:space="preserve">A </w:t>
      </w:r>
      <w:r>
        <w:rPr>
          <w:rFonts w:ascii="Times New Roman" w:hAnsi="Times New Roman" w:cs="Times New Roman"/>
        </w:rPr>
        <w:t>.</w:t>
      </w:r>
    </w:p>
    <w:p w14:paraId="0734720E">
      <w:pPr>
        <w:jc w:val="center"/>
        <w:rPr>
          <w:rFonts w:hint="eastAsia"/>
        </w:rPr>
      </w:pPr>
      <w:r>
        <w:drawing>
          <wp:inline distT="0" distB="0" distL="0" distR="0">
            <wp:extent cx="3187065" cy="1799590"/>
            <wp:effectExtent l="0" t="0" r="0" b="0"/>
            <wp:docPr id="354407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0777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1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3E0A">
      <w:pPr>
        <w:jc w:val="center"/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</w:rPr>
        <w:t xml:space="preserve">Fig. </w:t>
      </w:r>
      <w:r>
        <w:rPr>
          <w:rFonts w:hint="eastAsia" w:ascii="Times New Roman" w:hAnsi="Times New Roman"/>
        </w:rPr>
        <w:t>S7</w:t>
      </w:r>
      <w:r>
        <w:rPr>
          <w:rFonts w:ascii="Times New Roman" w:hAnsi="Times New Roman"/>
        </w:rPr>
        <w:t xml:space="preserve"> The color change of hydrogel after adding different contents of glyphosate.</w:t>
      </w:r>
    </w:p>
    <w:p w14:paraId="54A6BAE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Table S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 xml:space="preserve"> Comparison of </w:t>
      </w:r>
      <w:r>
        <w:rPr>
          <w:rFonts w:hint="eastAsia" w:ascii="Times New Roman" w:hAnsi="Times New Roman"/>
        </w:rPr>
        <w:t xml:space="preserve">analytical performance of </w:t>
      </w:r>
      <w:r>
        <w:rPr>
          <w:rFonts w:ascii="Times New Roman" w:hAnsi="Times New Roman"/>
        </w:rPr>
        <w:t>different methods for detecting glyphosate.</w:t>
      </w:r>
    </w:p>
    <w:tbl>
      <w:tblPr>
        <w:tblStyle w:val="19"/>
        <w:tblW w:w="88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1780"/>
        <w:gridCol w:w="1294"/>
        <w:gridCol w:w="1280"/>
        <w:gridCol w:w="1142"/>
        <w:gridCol w:w="2025"/>
      </w:tblGrid>
      <w:tr w14:paraId="6252B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auto" w:sz="4" w:space="0"/>
              <w:bottom w:val="single" w:color="auto" w:sz="4" w:space="0"/>
            </w:tcBorders>
          </w:tcPr>
          <w:p w14:paraId="1B5D4CB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Method</w:t>
            </w:r>
          </w:p>
        </w:tc>
        <w:tc>
          <w:tcPr>
            <w:tcW w:w="1780" w:type="dxa"/>
            <w:tcBorders>
              <w:top w:val="single" w:color="auto" w:sz="4" w:space="0"/>
              <w:bottom w:val="single" w:color="auto" w:sz="4" w:space="0"/>
            </w:tcBorders>
          </w:tcPr>
          <w:p w14:paraId="6555F587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Materials</w:t>
            </w:r>
          </w:p>
        </w:tc>
        <w:tc>
          <w:tcPr>
            <w:tcW w:w="1294" w:type="dxa"/>
            <w:tcBorders>
              <w:top w:val="single" w:color="auto" w:sz="4" w:space="0"/>
              <w:bottom w:val="single" w:color="auto" w:sz="4" w:space="0"/>
            </w:tcBorders>
          </w:tcPr>
          <w:p w14:paraId="2DB93A73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D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etection time (min)</w:t>
            </w:r>
          </w:p>
        </w:tc>
        <w:tc>
          <w:tcPr>
            <w:tcW w:w="1280" w:type="dxa"/>
            <w:tcBorders>
              <w:top w:val="single" w:color="auto" w:sz="4" w:space="0"/>
              <w:bottom w:val="single" w:color="auto" w:sz="4" w:space="0"/>
            </w:tcBorders>
          </w:tcPr>
          <w:p w14:paraId="360411AA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Linear range (μg/mL)</w:t>
            </w:r>
          </w:p>
        </w:tc>
        <w:tc>
          <w:tcPr>
            <w:tcW w:w="1142" w:type="dxa"/>
            <w:tcBorders>
              <w:top w:val="single" w:color="auto" w:sz="4" w:space="0"/>
              <w:bottom w:val="single" w:color="auto" w:sz="4" w:space="0"/>
            </w:tcBorders>
          </w:tcPr>
          <w:p w14:paraId="55266FF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LOD </w:t>
            </w:r>
          </w:p>
          <w:p w14:paraId="3EA21BF7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μg/mL)</w:t>
            </w:r>
          </w:p>
        </w:tc>
        <w:tc>
          <w:tcPr>
            <w:tcW w:w="2025" w:type="dxa"/>
            <w:tcBorders>
              <w:top w:val="single" w:color="auto" w:sz="4" w:space="0"/>
              <w:bottom w:val="single" w:color="auto" w:sz="4" w:space="0"/>
            </w:tcBorders>
          </w:tcPr>
          <w:p w14:paraId="6C17A64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Reference</w:t>
            </w:r>
          </w:p>
        </w:tc>
      </w:tr>
      <w:tr w14:paraId="0A45E5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top w:val="single" w:color="auto" w:sz="4" w:space="0"/>
            </w:tcBorders>
          </w:tcPr>
          <w:p w14:paraId="1AA616D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</w:tc>
        <w:tc>
          <w:tcPr>
            <w:tcW w:w="1780" w:type="dxa"/>
            <w:tcBorders>
              <w:top w:val="single" w:color="auto" w:sz="4" w:space="0"/>
            </w:tcBorders>
          </w:tcPr>
          <w:p w14:paraId="70C7192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AuNPs</w:t>
            </w:r>
          </w:p>
        </w:tc>
        <w:tc>
          <w:tcPr>
            <w:tcW w:w="1294" w:type="dxa"/>
            <w:tcBorders>
              <w:top w:val="single" w:color="auto" w:sz="4" w:space="0"/>
            </w:tcBorders>
          </w:tcPr>
          <w:p w14:paraId="211D18A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1280" w:type="dxa"/>
            <w:tcBorders>
              <w:top w:val="single" w:color="auto" w:sz="4" w:space="0"/>
            </w:tcBorders>
          </w:tcPr>
          <w:p w14:paraId="74489C81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1-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23</w:t>
            </w:r>
          </w:p>
        </w:tc>
        <w:tc>
          <w:tcPr>
            <w:tcW w:w="1142" w:type="dxa"/>
            <w:tcBorders>
              <w:top w:val="single" w:color="auto" w:sz="4" w:space="0"/>
            </w:tcBorders>
          </w:tcPr>
          <w:p w14:paraId="20A90424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.27</w:t>
            </w:r>
          </w:p>
        </w:tc>
        <w:tc>
          <w:tcPr>
            <w:tcW w:w="2025" w:type="dxa"/>
            <w:tcBorders>
              <w:top w:val="single" w:color="auto" w:sz="4" w:space="0"/>
            </w:tcBorders>
          </w:tcPr>
          <w:p w14:paraId="0F10958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[1]</w:t>
            </w:r>
          </w:p>
        </w:tc>
      </w:tr>
      <w:tr w14:paraId="58F791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368B613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</w:tc>
        <w:tc>
          <w:tcPr>
            <w:tcW w:w="1780" w:type="dxa"/>
          </w:tcPr>
          <w:p w14:paraId="1C1E82B5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P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4</w:t>
            </w: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R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Cu</w:t>
            </w:r>
            <w:r>
              <w:rPr>
                <w:rFonts w:hint="eastAsia" w:ascii="Times New Roman" w:hAnsi="Times New Roman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94" w:type="dxa"/>
          </w:tcPr>
          <w:p w14:paraId="598924E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1280" w:type="dxa"/>
          </w:tcPr>
          <w:p w14:paraId="7D59B93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0.17-15.22</w:t>
            </w:r>
          </w:p>
        </w:tc>
        <w:tc>
          <w:tcPr>
            <w:tcW w:w="1142" w:type="dxa"/>
          </w:tcPr>
          <w:p w14:paraId="762434A5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0.02367</w:t>
            </w:r>
          </w:p>
        </w:tc>
        <w:tc>
          <w:tcPr>
            <w:tcW w:w="2025" w:type="dxa"/>
          </w:tcPr>
          <w:p w14:paraId="660495E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[2]</w:t>
            </w:r>
          </w:p>
        </w:tc>
      </w:tr>
      <w:tr w14:paraId="45636C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2C9268D3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</w:tc>
        <w:tc>
          <w:tcPr>
            <w:tcW w:w="1780" w:type="dxa"/>
          </w:tcPr>
          <w:p w14:paraId="07CC2DEA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Georgia" w:hAnsi="Georgia"/>
                <w:color w:val="1F1F1F"/>
                <w:kern w:val="0"/>
                <w:sz w:val="18"/>
                <w:szCs w:val="18"/>
              </w:rPr>
              <w:t>Dithiocarbamate</w:t>
            </w:r>
          </w:p>
        </w:tc>
        <w:tc>
          <w:tcPr>
            <w:tcW w:w="1294" w:type="dxa"/>
          </w:tcPr>
          <w:p w14:paraId="3F0A1385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280" w:type="dxa"/>
          </w:tcPr>
          <w:p w14:paraId="009BA0E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1-70 </w:t>
            </w:r>
          </w:p>
        </w:tc>
        <w:tc>
          <w:tcPr>
            <w:tcW w:w="1142" w:type="dxa"/>
          </w:tcPr>
          <w:p w14:paraId="6D793BC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.1</w:t>
            </w:r>
          </w:p>
        </w:tc>
        <w:tc>
          <w:tcPr>
            <w:tcW w:w="2025" w:type="dxa"/>
          </w:tcPr>
          <w:p w14:paraId="5EF7040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[3]</w:t>
            </w:r>
          </w:p>
        </w:tc>
      </w:tr>
      <w:tr w14:paraId="3BF206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12451A34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</w:tc>
        <w:tc>
          <w:tcPr>
            <w:tcW w:w="1780" w:type="dxa"/>
          </w:tcPr>
          <w:p w14:paraId="000AF1D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CuCeTA</w:t>
            </w:r>
          </w:p>
        </w:tc>
        <w:tc>
          <w:tcPr>
            <w:tcW w:w="1294" w:type="dxa"/>
          </w:tcPr>
          <w:p w14:paraId="3EED953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1280" w:type="dxa"/>
          </w:tcPr>
          <w:p w14:paraId="3B82F27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-0.5</w:t>
            </w:r>
          </w:p>
        </w:tc>
        <w:tc>
          <w:tcPr>
            <w:tcW w:w="1142" w:type="dxa"/>
          </w:tcPr>
          <w:p w14:paraId="299DAF21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.025</w:t>
            </w:r>
          </w:p>
        </w:tc>
        <w:tc>
          <w:tcPr>
            <w:tcW w:w="2025" w:type="dxa"/>
          </w:tcPr>
          <w:p w14:paraId="2154594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[4]</w:t>
            </w:r>
          </w:p>
        </w:tc>
      </w:tr>
      <w:tr w14:paraId="3068F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4EE6E96B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</w:tc>
        <w:tc>
          <w:tcPr>
            <w:tcW w:w="1780" w:type="dxa"/>
          </w:tcPr>
          <w:p w14:paraId="0B9586BD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Fe-FcMOF</w:t>
            </w:r>
          </w:p>
        </w:tc>
        <w:tc>
          <w:tcPr>
            <w:tcW w:w="1294" w:type="dxa"/>
          </w:tcPr>
          <w:p w14:paraId="025EC47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1280" w:type="dxa"/>
          </w:tcPr>
          <w:p w14:paraId="08A41833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-7</w:t>
            </w:r>
          </w:p>
        </w:tc>
        <w:tc>
          <w:tcPr>
            <w:tcW w:w="1142" w:type="dxa"/>
          </w:tcPr>
          <w:p w14:paraId="1A40FF8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.0676</w:t>
            </w:r>
          </w:p>
        </w:tc>
        <w:tc>
          <w:tcPr>
            <w:tcW w:w="2025" w:type="dxa"/>
          </w:tcPr>
          <w:p w14:paraId="4A977B7B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[5]</w:t>
            </w:r>
          </w:p>
        </w:tc>
      </w:tr>
      <w:tr w14:paraId="73D9B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45D9F23B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Fluorescence</w:t>
            </w:r>
          </w:p>
        </w:tc>
        <w:tc>
          <w:tcPr>
            <w:tcW w:w="1780" w:type="dxa"/>
          </w:tcPr>
          <w:p w14:paraId="552E92BB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color w:val="1F1F1F"/>
                <w:kern w:val="0"/>
                <w:sz w:val="18"/>
                <w:szCs w:val="18"/>
              </w:rPr>
              <w:t>N, S-CQDs-NFP</w:t>
            </w:r>
          </w:p>
        </w:tc>
        <w:tc>
          <w:tcPr>
            <w:tcW w:w="1294" w:type="dxa"/>
          </w:tcPr>
          <w:p w14:paraId="76BFECD7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1280" w:type="dxa"/>
          </w:tcPr>
          <w:p w14:paraId="3BEDFD4D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0.005-10</w:t>
            </w:r>
          </w:p>
        </w:tc>
        <w:tc>
          <w:tcPr>
            <w:tcW w:w="1142" w:type="dxa"/>
          </w:tcPr>
          <w:p w14:paraId="341B3CE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2.88 </w:t>
            </w:r>
          </w:p>
        </w:tc>
        <w:tc>
          <w:tcPr>
            <w:tcW w:w="2025" w:type="dxa"/>
          </w:tcPr>
          <w:p w14:paraId="13FD34A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[6]</w:t>
            </w:r>
          </w:p>
        </w:tc>
      </w:tr>
      <w:tr w14:paraId="507D2F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02F5D0A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Fluorescence</w:t>
            </w:r>
          </w:p>
        </w:tc>
        <w:tc>
          <w:tcPr>
            <w:tcW w:w="1780" w:type="dxa"/>
          </w:tcPr>
          <w:p w14:paraId="2B535A4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G-CDs</w:t>
            </w:r>
          </w:p>
        </w:tc>
        <w:tc>
          <w:tcPr>
            <w:tcW w:w="1294" w:type="dxa"/>
          </w:tcPr>
          <w:p w14:paraId="37BB696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1280" w:type="dxa"/>
          </w:tcPr>
          <w:p w14:paraId="2BC77ED1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0.56-8.45</w:t>
            </w:r>
          </w:p>
        </w:tc>
        <w:tc>
          <w:tcPr>
            <w:tcW w:w="1142" w:type="dxa"/>
          </w:tcPr>
          <w:p w14:paraId="1F58EF12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7.439 </w:t>
            </w:r>
          </w:p>
        </w:tc>
        <w:tc>
          <w:tcPr>
            <w:tcW w:w="2025" w:type="dxa"/>
          </w:tcPr>
          <w:p w14:paraId="31D84288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[7]</w:t>
            </w:r>
          </w:p>
        </w:tc>
      </w:tr>
      <w:tr w14:paraId="223FB7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6D9BCD20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Fluorescence</w:t>
            </w:r>
          </w:p>
        </w:tc>
        <w:tc>
          <w:tcPr>
            <w:tcW w:w="1780" w:type="dxa"/>
          </w:tcPr>
          <w:p w14:paraId="0D19426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Georgia" w:hAnsi="Georgia"/>
                <w:color w:val="1F1F1F"/>
                <w:kern w:val="0"/>
                <w:sz w:val="18"/>
                <w:szCs w:val="18"/>
              </w:rPr>
              <w:t>Carbon dots</w:t>
            </w:r>
          </w:p>
        </w:tc>
        <w:tc>
          <w:tcPr>
            <w:tcW w:w="1294" w:type="dxa"/>
          </w:tcPr>
          <w:p w14:paraId="1D164EE7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3</w:t>
            </w:r>
          </w:p>
        </w:tc>
        <w:tc>
          <w:tcPr>
            <w:tcW w:w="1280" w:type="dxa"/>
          </w:tcPr>
          <w:p w14:paraId="7BDDBEB1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.03-10</w:t>
            </w:r>
          </w:p>
        </w:tc>
        <w:tc>
          <w:tcPr>
            <w:tcW w:w="1142" w:type="dxa"/>
          </w:tcPr>
          <w:p w14:paraId="04E99726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.016</w:t>
            </w:r>
          </w:p>
        </w:tc>
        <w:tc>
          <w:tcPr>
            <w:tcW w:w="2025" w:type="dxa"/>
          </w:tcPr>
          <w:p w14:paraId="10583040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[8]</w:t>
            </w:r>
          </w:p>
        </w:tc>
      </w:tr>
      <w:tr w14:paraId="6246B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</w:tcPr>
          <w:p w14:paraId="016FA8C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Fluorescence</w:t>
            </w:r>
          </w:p>
        </w:tc>
        <w:tc>
          <w:tcPr>
            <w:tcW w:w="1780" w:type="dxa"/>
          </w:tcPr>
          <w:p w14:paraId="33ABB19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NPA</w:t>
            </w:r>
            <w:r>
              <w:rPr>
                <w:rFonts w:ascii="Times New Roman" w:hAnsi="Times New Roman"/>
                <w:kern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294" w:type="dxa"/>
          </w:tcPr>
          <w:p w14:paraId="5CC9B884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5</w:t>
            </w:r>
          </w:p>
        </w:tc>
        <w:tc>
          <w:tcPr>
            <w:tcW w:w="1280" w:type="dxa"/>
          </w:tcPr>
          <w:p w14:paraId="41B8752F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.7-18.6</w:t>
            </w:r>
          </w:p>
        </w:tc>
        <w:tc>
          <w:tcPr>
            <w:tcW w:w="1142" w:type="dxa"/>
          </w:tcPr>
          <w:p w14:paraId="5C746A55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.32</w:t>
            </w:r>
          </w:p>
        </w:tc>
        <w:tc>
          <w:tcPr>
            <w:tcW w:w="2025" w:type="dxa"/>
          </w:tcPr>
          <w:p w14:paraId="79202C0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[9]</w:t>
            </w:r>
          </w:p>
        </w:tc>
      </w:tr>
      <w:tr w14:paraId="16E3B9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0" w:type="dxa"/>
            <w:tcBorders>
              <w:bottom w:val="single" w:color="auto" w:sz="4" w:space="0"/>
            </w:tcBorders>
          </w:tcPr>
          <w:p w14:paraId="4E868522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Colorimetry</w:t>
            </w:r>
          </w:p>
          <w:p w14:paraId="19AE4B83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</w:rPr>
              <w:t>Fluorescence</w:t>
            </w:r>
          </w:p>
        </w:tc>
        <w:tc>
          <w:tcPr>
            <w:tcW w:w="1780" w:type="dxa"/>
            <w:tcBorders>
              <w:bottom w:val="single" w:color="auto" w:sz="4" w:space="0"/>
            </w:tcBorders>
            <w:vAlign w:val="center"/>
          </w:tcPr>
          <w:p w14:paraId="4E93921E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-dots</w:t>
            </w:r>
          </w:p>
        </w:tc>
        <w:tc>
          <w:tcPr>
            <w:tcW w:w="1294" w:type="dxa"/>
            <w:tcBorders>
              <w:bottom w:val="single" w:color="auto" w:sz="4" w:space="0"/>
            </w:tcBorders>
            <w:vAlign w:val="center"/>
          </w:tcPr>
          <w:p w14:paraId="0E596537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1280" w:type="dxa"/>
            <w:tcBorders>
              <w:bottom w:val="single" w:color="auto" w:sz="4" w:space="0"/>
            </w:tcBorders>
          </w:tcPr>
          <w:p w14:paraId="168C9A11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 xml:space="preserve">-100        1-50   </w:t>
            </w:r>
          </w:p>
        </w:tc>
        <w:tc>
          <w:tcPr>
            <w:tcW w:w="1142" w:type="dxa"/>
            <w:tcBorders>
              <w:bottom w:val="single" w:color="auto" w:sz="4" w:space="0"/>
            </w:tcBorders>
          </w:tcPr>
          <w:p w14:paraId="2AFF42A9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.31       0.12</w:t>
            </w:r>
          </w:p>
        </w:tc>
        <w:tc>
          <w:tcPr>
            <w:tcW w:w="2025" w:type="dxa"/>
            <w:tcBorders>
              <w:bottom w:val="single" w:color="auto" w:sz="4" w:space="0"/>
            </w:tcBorders>
            <w:vAlign w:val="center"/>
          </w:tcPr>
          <w:p w14:paraId="1DAD27FC">
            <w:pPr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kern w:val="0"/>
                <w:sz w:val="18"/>
                <w:szCs w:val="18"/>
              </w:rPr>
              <w:t>T</w:t>
            </w:r>
            <w:r>
              <w:rPr>
                <w:rFonts w:ascii="Times New Roman" w:hAnsi="Times New Roman"/>
                <w:kern w:val="0"/>
                <w:sz w:val="18"/>
                <w:szCs w:val="18"/>
              </w:rPr>
              <w:t>his work</w:t>
            </w:r>
          </w:p>
        </w:tc>
      </w:tr>
    </w:tbl>
    <w:p w14:paraId="3943C9E4">
      <w:pPr>
        <w:jc w:val="center"/>
        <w:rPr>
          <w:rFonts w:ascii="Times New Roman" w:hAnsi="Times New Roman"/>
        </w:rPr>
      </w:pPr>
    </w:p>
    <w:p w14:paraId="78A501CC">
      <w:pPr>
        <w:rPr>
          <w:rFonts w:ascii="Times New Roman" w:hAnsi="Times New Roman"/>
          <w:lang w:val="fr-FR"/>
        </w:rPr>
      </w:pPr>
      <w:r>
        <w:rPr>
          <w:rFonts w:ascii="Times New Roman" w:hAnsi="Times New Roman"/>
          <w:vertAlign w:val="superscript"/>
          <w:lang w:val="fr-FR"/>
        </w:rPr>
        <w:t>a</w:t>
      </w:r>
      <w:r>
        <w:rPr>
          <w:rFonts w:ascii="Times New Roman" w:hAnsi="Times New Roman"/>
          <w:color w:val="1F1F1F"/>
          <w:lang w:val="fr-FR"/>
        </w:rPr>
        <w:t>Ponceau 4R-copper</w:t>
      </w:r>
    </w:p>
    <w:p w14:paraId="6D42E45F">
      <w:pPr>
        <w:rPr>
          <w:rFonts w:ascii="Times New Roman" w:hAnsi="Times New Roman"/>
          <w:color w:val="1F1F1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/>
          <w:vertAlign w:val="superscript"/>
          <w:lang w:val="fr-FR"/>
        </w:rPr>
        <w:t>b</w:t>
      </w:r>
      <w:r>
        <w:rPr>
          <w:rFonts w:ascii="Times New Roman" w:hAnsi="Times New Roman"/>
          <w:color w:val="1F1F1F"/>
        </w:rPr>
        <w:t>N-n-butyl-4-(3-pyridin)yl methylidene hydrazine-1,8-naphthalimide.</w:t>
      </w:r>
    </w:p>
    <w:p w14:paraId="3A3FF4B1">
      <w:pPr>
        <w:rPr>
          <w:rFonts w:ascii="Times New Roman" w:hAnsi="Times New Roman"/>
          <w:b/>
          <w:bCs/>
          <w:color w:val="1F1F1F"/>
          <w:sz w:val="24"/>
          <w:szCs w:val="24"/>
        </w:rPr>
      </w:pPr>
      <w:r>
        <w:rPr>
          <w:rFonts w:hint="eastAsia" w:ascii="Times New Roman" w:hAnsi="Times New Roman"/>
          <w:b/>
          <w:bCs/>
          <w:color w:val="1F1F1F"/>
          <w:sz w:val="24"/>
          <w:szCs w:val="24"/>
        </w:rPr>
        <w:t>References</w:t>
      </w:r>
    </w:p>
    <w:p w14:paraId="429AFE98">
      <w:pPr>
        <w:pStyle w:val="46"/>
        <w:numPr>
          <w:ilvl w:val="0"/>
          <w:numId w:val="1"/>
        </w:numPr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G.-B. Hong, J.-P. Hsu, K.-J. Chuang, C.-M. Ma,</w:t>
      </w:r>
      <w:r>
        <w:rPr>
          <w:rFonts w:ascii="Times New Roman" w:hAnsi="Times New Roman"/>
          <w:sz w:val="24"/>
          <w:szCs w:val="24"/>
        </w:rPr>
        <w:t xml:space="preserve"> Colorimetric detection of 1-naphthol and glyphosate using modified gold nanoparticles. Sustainability </w:t>
      </w:r>
      <w:r>
        <w:rPr>
          <w:rFonts w:hint="eastAsia" w:ascii="Times New Roman" w:hAnsi="Times New Roman"/>
          <w:sz w:val="24"/>
          <w:szCs w:val="24"/>
        </w:rPr>
        <w:t xml:space="preserve">14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hint="eastAsia" w:ascii="Times New Roman" w:hAnsi="Times New Roman"/>
          <w:sz w:val="24"/>
          <w:szCs w:val="24"/>
        </w:rPr>
        <w:t>2022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hint="eastAsia" w:ascii="Times New Roman" w:hAnsi="Times New Roman"/>
          <w:sz w:val="24"/>
          <w:szCs w:val="24"/>
        </w:rPr>
        <w:t xml:space="preserve"> 10793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hint="eastAsia" w:ascii="Times New Roman" w:hAnsi="Times New Roman"/>
          <w:sz w:val="24"/>
          <w:szCs w:val="24"/>
        </w:rPr>
        <w:t xml:space="preserve"> </w:t>
      </w:r>
    </w:p>
    <w:p w14:paraId="4F25F452">
      <w:pPr>
        <w:pStyle w:val="46"/>
        <w:numPr>
          <w:ilvl w:val="0"/>
          <w:numId w:val="1"/>
        </w:numPr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B.-C. Hsieh, Y.-T. Li, Colorimetric detection of glyphosate by its competitive reaction against Ponceau 4R for copper ion, Sens. Actuators B: Chem. 401 (2024) 135052.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E1AC53A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[3] M.R. Jan, J. Shah, M. Muhammad, B. Ara, Glyphosate herbicide residue determination in samples of environmental importance using spectrophotometric method, J. Hazard. Mater. 169 (2009) 742-745.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40D414C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[4] C. Jiang, H. Zhong, J. Zou, G. Zhu, Y. Huang, CuCeTA nanoflowers as an efficient peroxidase candidate for direct colorimetric detection of glyphosate, J. Mater. Chem. B 11 (2023) 9630-9638.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6B8EEAEE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[5] F. Zhang, Y. Wang, X. Luo, Y. Zhang, M. Li, X. Yang, H. Zhao, W. Tang, J. Huang, Z. Li, Iron-ferrocenedicarboxylic nanozyme based colorimetric and photothermal dual-modal signal catalytic inhibition for detection of glyphosate, Microchim. Acta 192 (2025) 343.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64D7A2FF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[6] L. Zhang, R. Zhang, J. Wang, J. Chen, R. Yu, A ratiometric fluorescence sensing system for rapid detection of glyphosate in miscellaneous beans, J. Food Compos.  Anal. 133 (2024) 106457.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3F94F843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[7] T. Sasikumar, J.S. Packialakshmi, S.J. Hong, S.Y. Ha, G.H. Shin, J.T. Kim, Multifunctional green-emitting fluorescent carbon dots: A versatile fluorometric probe for glyphosate detection and applications in food, J. Environ. Chem. Eng. 12 (2024) 113356.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1050432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[8] L. Wang, Y. Bi, J. Gao, Y. Li, H. Ding, L. Ding, Carbon dots based turn-on fluorescent probes for the sensitive determination of glyphosate in environmental water samples, RSC Adv. 6 (2016) 85820-85828.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487ED48B">
      <w:pPr>
        <w:pStyle w:val="46"/>
        <w:spacing w:line="4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[9] F. Sun, X.-L. Ye, Y.-B. Wang, M.-L. Yue, P. Li, L. Yang, Y.-L. Liu, Y. Fu, NPA-Cu</w:t>
      </w:r>
      <w:r>
        <w:rPr>
          <w:rFonts w:hint="eastAsia" w:ascii="Times New Roman" w:hAnsi="Times New Roman"/>
          <w:sz w:val="24"/>
          <w:szCs w:val="24"/>
          <w:vertAlign w:val="superscript"/>
        </w:rPr>
        <w:t>2+</w:t>
      </w:r>
      <w:r>
        <w:rPr>
          <w:rFonts w:hint="eastAsia" w:ascii="Times New Roman" w:hAnsi="Times New Roman"/>
          <w:sz w:val="24"/>
          <w:szCs w:val="24"/>
        </w:rPr>
        <w:t xml:space="preserve"> complex as a fluorescent sensing platform for the selective and sensitive detection of glyphosate, Int. J. Mol. Sci. 22 (2021) 9816. </w:t>
      </w:r>
      <w:bookmarkStart w:id="11" w:name="OLE_LINK8"/>
      <w:r>
        <w:rPr>
          <w:rFonts w:hint="eastAsia" w:ascii="Times New Roman" w:hAnsi="Times New Roman"/>
          <w:sz w:val="24"/>
          <w:szCs w:val="24"/>
        </w:rPr>
        <w:t xml:space="preserve"> </w:t>
      </w:r>
      <w:bookmarkEnd w:id="1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D20AFB"/>
    <w:multiLevelType w:val="singleLevel"/>
    <w:tmpl w:val="ADD20AFB"/>
    <w:lvl w:ilvl="0" w:tentative="0">
      <w:start w:val="1"/>
      <w:numFmt w:val="decimal"/>
      <w:suff w:val="space"/>
      <w:lvlText w:val="[%1]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2432F"/>
    <w:rsid w:val="00141225"/>
    <w:rsid w:val="00280B94"/>
    <w:rsid w:val="002D7ED3"/>
    <w:rsid w:val="003044D3"/>
    <w:rsid w:val="00591989"/>
    <w:rsid w:val="00607FE2"/>
    <w:rsid w:val="006A0690"/>
    <w:rsid w:val="006C50C8"/>
    <w:rsid w:val="00706565"/>
    <w:rsid w:val="00796A19"/>
    <w:rsid w:val="007C3DBF"/>
    <w:rsid w:val="00853B44"/>
    <w:rsid w:val="00980A0D"/>
    <w:rsid w:val="00A2432F"/>
    <w:rsid w:val="00CA6DAC"/>
    <w:rsid w:val="00F701BF"/>
    <w:rsid w:val="00F904C5"/>
    <w:rsid w:val="00FE3383"/>
    <w:rsid w:val="012E79FC"/>
    <w:rsid w:val="18F113EB"/>
    <w:rsid w:val="206B7D84"/>
    <w:rsid w:val="33551F0E"/>
    <w:rsid w:val="34573BD0"/>
    <w:rsid w:val="3A931F4D"/>
    <w:rsid w:val="61A669F7"/>
    <w:rsid w:val="7D0A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2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3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17">
    <w:name w:val="Title"/>
    <w:basedOn w:val="1"/>
    <w:next w:val="1"/>
    <w:link w:val="3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4">
    <w:name w:val="标题 2 字符"/>
    <w:basedOn w:val="20"/>
    <w:link w:val="3"/>
    <w:qFormat/>
    <w:uiPriority w:val="9"/>
    <w:rPr>
      <w:rFonts w:eastAsia="等线" w:asciiTheme="majorHAnsi" w:hAnsiTheme="majorHAnsi" w:cstheme="majorBidi"/>
      <w:b/>
      <w:bCs/>
      <w:sz w:val="24"/>
      <w:szCs w:val="32"/>
      <w14:ligatures w14:val="none"/>
    </w:rPr>
  </w:style>
  <w:style w:type="character" w:customStyle="1" w:styleId="25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4 字符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7">
    <w:name w:val="标题 5 字符"/>
    <w:basedOn w:val="20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8">
    <w:name w:val="标题 6 字符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9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20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明显强调1"/>
    <w:basedOn w:val="20"/>
    <w:qFormat/>
    <w:uiPriority w:val="21"/>
    <w:rPr>
      <w:i/>
      <w:iCs/>
      <w:color w:val="2F5597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9">
    <w:name w:val="明显引用 字符"/>
    <w:basedOn w:val="20"/>
    <w:link w:val="38"/>
    <w:qFormat/>
    <w:uiPriority w:val="30"/>
    <w:rPr>
      <w:i/>
      <w:iCs/>
      <w:color w:val="2F5597" w:themeColor="accent1" w:themeShade="BF"/>
    </w:rPr>
  </w:style>
  <w:style w:type="character" w:customStyle="1" w:styleId="40">
    <w:name w:val="明显参考1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41">
    <w:name w:val="批注文字 字符"/>
    <w:basedOn w:val="20"/>
    <w:link w:val="12"/>
    <w:semiHidden/>
    <w:qFormat/>
    <w:uiPriority w:val="99"/>
    <w:rPr>
      <w:rFonts w:ascii="等线" w:hAnsi="等线" w:eastAsia="等线" w:cs="Times New Roman"/>
      <w:sz w:val="21"/>
      <w:szCs w:val="21"/>
      <w14:ligatures w14:val="none"/>
    </w:rPr>
  </w:style>
  <w:style w:type="character" w:customStyle="1" w:styleId="42">
    <w:name w:val="页脚 字符"/>
    <w:basedOn w:val="20"/>
    <w:link w:val="13"/>
    <w:qFormat/>
    <w:uiPriority w:val="99"/>
    <w:rPr>
      <w:rFonts w:ascii="等线" w:hAnsi="等线" w:eastAsia="等线" w:cs="Times New Roman"/>
      <w:sz w:val="18"/>
      <w:szCs w:val="18"/>
      <w14:ligatures w14:val="none"/>
    </w:rPr>
  </w:style>
  <w:style w:type="character" w:customStyle="1" w:styleId="43">
    <w:name w:val="页眉 字符"/>
    <w:basedOn w:val="20"/>
    <w:link w:val="14"/>
    <w:qFormat/>
    <w:uiPriority w:val="99"/>
    <w:rPr>
      <w:rFonts w:ascii="等线" w:hAnsi="等线" w:eastAsia="等线" w:cs="Times New Roman"/>
      <w:sz w:val="18"/>
      <w:szCs w:val="18"/>
      <w14:ligatures w14:val="none"/>
    </w:rPr>
  </w:style>
  <w:style w:type="paragraph" w:customStyle="1" w:styleId="44">
    <w:name w:val="EndNote Bibliography Title"/>
    <w:basedOn w:val="1"/>
    <w:link w:val="45"/>
    <w:qFormat/>
    <w:uiPriority w:val="0"/>
    <w:pPr>
      <w:jc w:val="center"/>
    </w:pPr>
    <w:rPr>
      <w:sz w:val="20"/>
    </w:rPr>
  </w:style>
  <w:style w:type="character" w:customStyle="1" w:styleId="45">
    <w:name w:val="EndNote Bibliography Title 字符"/>
    <w:basedOn w:val="20"/>
    <w:link w:val="44"/>
    <w:qFormat/>
    <w:uiPriority w:val="0"/>
    <w:rPr>
      <w:rFonts w:ascii="等线" w:hAnsi="等线" w:eastAsia="等线" w:cs="Times New Roman"/>
      <w:sz w:val="20"/>
      <w:szCs w:val="21"/>
      <w14:ligatures w14:val="none"/>
    </w:rPr>
  </w:style>
  <w:style w:type="paragraph" w:customStyle="1" w:styleId="46">
    <w:name w:val="EndNote Bibliography"/>
    <w:basedOn w:val="1"/>
    <w:link w:val="47"/>
    <w:qFormat/>
    <w:uiPriority w:val="0"/>
    <w:pPr>
      <w:jc w:val="center"/>
    </w:pPr>
    <w:rPr>
      <w:sz w:val="20"/>
    </w:rPr>
  </w:style>
  <w:style w:type="character" w:customStyle="1" w:styleId="47">
    <w:name w:val="EndNote Bibliography 字符"/>
    <w:basedOn w:val="20"/>
    <w:link w:val="46"/>
    <w:qFormat/>
    <w:uiPriority w:val="0"/>
    <w:rPr>
      <w:rFonts w:ascii="等线" w:hAnsi="等线" w:eastAsia="等线" w:cs="Times New Roman"/>
      <w:sz w:val="20"/>
      <w:szCs w:val="21"/>
      <w14:ligatures w14:val="none"/>
    </w:rPr>
  </w:style>
  <w:style w:type="character" w:customStyle="1" w:styleId="48">
    <w:name w:val="apple-converted-space"/>
    <w:basedOn w:val="20"/>
    <w:qFormat/>
    <w:uiPriority w:val="0"/>
  </w:style>
  <w:style w:type="character" w:customStyle="1" w:styleId="49">
    <w:name w:val="未处理的提及1"/>
    <w:basedOn w:val="2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1070</Words>
  <Characters>6176</Characters>
  <Lines>52</Lines>
  <Paragraphs>14</Paragraphs>
  <TotalTime>0</TotalTime>
  <ScaleCrop>false</ScaleCrop>
  <LinksUpToDate>false</LinksUpToDate>
  <CharactersWithSpaces>7174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2025-08-06T02:50:00Z</dcterms:created>
  <dc:creator>pengjuan ni</dc:creator>
  <cp:lastModifiedBy>小倪</cp:lastModifiedBy>
  <dcterms:modified xsi:type="dcterms:W3CDTF">2026-01-13T00:31:53Z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eyJoZGlkIjoiZGQxNDY1ZWYwOWJiM2NhNjZmYjBmOWUyYTU4YzJiNGYiLCJ1c2VySWQiOiI0MjEyNDcyMzcifQ==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A48516855B1F40C8ADBFDE306F701E49_12</vt:lpwstr>
  </property>
</Properties>
</file>