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476F9" w14:textId="77777777" w:rsidR="004216A8" w:rsidRPr="00487150" w:rsidRDefault="004216A8" w:rsidP="004216A8">
      <w:pPr>
        <w:pStyle w:val="Heading1"/>
        <w:numPr>
          <w:ilvl w:val="0"/>
          <w:numId w:val="1"/>
        </w:numPr>
        <w:spacing w:line="360" w:lineRule="auto"/>
      </w:pPr>
      <w:r w:rsidRPr="00487150">
        <w:t>Supporting Information</w:t>
      </w:r>
    </w:p>
    <w:p w14:paraId="4484F6C3" w14:textId="77777777" w:rsidR="004216A8" w:rsidRDefault="004216A8" w:rsidP="004216A8">
      <w:pPr>
        <w:spacing w:line="360" w:lineRule="auto"/>
      </w:pPr>
      <w:r w:rsidRPr="00487150">
        <w:rPr>
          <w:b/>
        </w:rPr>
        <w:t>S1 Fig</w:t>
      </w:r>
      <w:r>
        <w:rPr>
          <w:b/>
        </w:rPr>
        <w:t>.</w:t>
      </w:r>
      <w:r w:rsidRPr="00487150">
        <w:rPr>
          <w:b/>
        </w:rPr>
        <w:t xml:space="preserve"> Impact of CCR and ICR on the enriched pathways of the target genes of circulating miRNA profile</w:t>
      </w:r>
      <w:r w:rsidRPr="00487150">
        <w:t xml:space="preserve">. </w:t>
      </w:r>
      <w:r w:rsidRPr="00487150">
        <w:rPr>
          <w:b/>
        </w:rPr>
        <w:t>A)</w:t>
      </w:r>
      <w:r w:rsidRPr="00487150">
        <w:t xml:space="preserve"> Dotplots display the top enriched Gene Ontology (GO) biological processes (left) and KEGG pathways (right) associated with the validated target genes of significant miRNAs in the CCR</w:t>
      </w:r>
      <w:r w:rsidRPr="00487150">
        <w:rPr>
          <w:b/>
        </w:rPr>
        <w:t xml:space="preserve"> B)</w:t>
      </w:r>
      <w:r w:rsidRPr="00487150">
        <w:t xml:space="preserve"> and ICRR group of mice compared to AL at old age.</w:t>
      </w:r>
    </w:p>
    <w:p w14:paraId="3BFB7B8B" w14:textId="77777777" w:rsidR="004216A8" w:rsidRDefault="004216A8" w:rsidP="004216A8">
      <w:pPr>
        <w:spacing w:line="360" w:lineRule="auto"/>
      </w:pPr>
      <w:r w:rsidRPr="00140944">
        <w:rPr>
          <w:b/>
          <w:bCs/>
        </w:rPr>
        <w:t>S2 Fig</w:t>
      </w:r>
      <w:r>
        <w:rPr>
          <w:b/>
          <w:bCs/>
        </w:rPr>
        <w:t>.</w:t>
      </w:r>
      <w:r w:rsidRPr="00140944">
        <w:rPr>
          <w:b/>
          <w:bCs/>
        </w:rPr>
        <w:t xml:space="preserve"> Enrichment analysis of the target genes of core miRNAs that commonly regulated by aging and CR</w:t>
      </w:r>
      <w:r w:rsidRPr="00017536">
        <w:rPr>
          <w:b/>
          <w:bCs/>
        </w:rPr>
        <w:t>.</w:t>
      </w:r>
      <w:r>
        <w:t xml:space="preserve"> GO and KEGG enrichment results for core miRNA targets in </w:t>
      </w:r>
      <w:r w:rsidRPr="00140944">
        <w:rPr>
          <w:b/>
          <w:bCs/>
        </w:rPr>
        <w:t>A)</w:t>
      </w:r>
      <w:r>
        <w:t xml:space="preserve"> aging, </w:t>
      </w:r>
      <w:r w:rsidRPr="00140944">
        <w:rPr>
          <w:b/>
          <w:bCs/>
        </w:rPr>
        <w:t>B)</w:t>
      </w:r>
      <w:r>
        <w:t xml:space="preserve"> CCR vs. AL, </w:t>
      </w:r>
      <w:r w:rsidRPr="00140944">
        <w:rPr>
          <w:b/>
          <w:bCs/>
        </w:rPr>
        <w:t>C)</w:t>
      </w:r>
      <w:r>
        <w:t xml:space="preserve"> ICRR vs. AL, </w:t>
      </w:r>
      <w:r w:rsidRPr="00140944">
        <w:rPr>
          <w:b/>
          <w:bCs/>
        </w:rPr>
        <w:t>D)</w:t>
      </w:r>
      <w:r>
        <w:t xml:space="preserve"> ICRRF vs. AL at adult age.</w:t>
      </w:r>
    </w:p>
    <w:p w14:paraId="39BF6222" w14:textId="77777777" w:rsidR="004216A8" w:rsidRPr="00F45EA2" w:rsidRDefault="004216A8" w:rsidP="004216A8">
      <w:pPr>
        <w:spacing w:line="360" w:lineRule="auto"/>
        <w:rPr>
          <w:b/>
          <w:bCs/>
        </w:rPr>
      </w:pPr>
      <w:r w:rsidRPr="00F45EA2">
        <w:rPr>
          <w:b/>
          <w:bCs/>
        </w:rPr>
        <w:t>S1 File</w:t>
      </w:r>
      <w:r>
        <w:rPr>
          <w:b/>
          <w:bCs/>
        </w:rPr>
        <w:t>.</w:t>
      </w:r>
      <w:r w:rsidRPr="00F45EA2">
        <w:rPr>
          <w:b/>
          <w:bCs/>
        </w:rPr>
        <w:t xml:space="preserve"> Applied Biosystems GeneChip 4.1 microarray annotation file including the probe IDs. </w:t>
      </w:r>
    </w:p>
    <w:p w14:paraId="7E2475A2" w14:textId="77777777" w:rsidR="004216A8" w:rsidRDefault="004216A8" w:rsidP="004216A8">
      <w:pPr>
        <w:spacing w:line="360" w:lineRule="auto"/>
      </w:pPr>
      <w:r w:rsidRPr="006F1506">
        <w:rPr>
          <w:b/>
          <w:bCs/>
        </w:rPr>
        <w:t>S</w:t>
      </w:r>
      <w:r>
        <w:rPr>
          <w:b/>
          <w:bCs/>
        </w:rPr>
        <w:t>2</w:t>
      </w:r>
      <w:r w:rsidRPr="006F1506">
        <w:rPr>
          <w:b/>
          <w:bCs/>
        </w:rPr>
        <w:t xml:space="preserve"> File</w:t>
      </w:r>
      <w:r>
        <w:rPr>
          <w:b/>
          <w:bCs/>
        </w:rPr>
        <w:t>.</w:t>
      </w:r>
      <w:r w:rsidRPr="006F1506">
        <w:rPr>
          <w:b/>
          <w:bCs/>
        </w:rPr>
        <w:t xml:space="preserve"> Differential expression analysis results of the miRNAs across the all specific age- and diet-related group comparisons.</w:t>
      </w:r>
      <w:r>
        <w:rPr>
          <w:b/>
          <w:bCs/>
        </w:rPr>
        <w:t xml:space="preserve"> </w:t>
      </w:r>
      <w:r>
        <w:t>Columns indicate the log fold-change (logFC), average expression (AveExpr), p-value, and multiple test corrected adjusted p-values of each miRNA.</w:t>
      </w:r>
    </w:p>
    <w:p w14:paraId="575BF6CF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B56BF"/>
    <w:multiLevelType w:val="multilevel"/>
    <w:tmpl w:val="38381B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507601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6A8"/>
    <w:rsid w:val="000C4033"/>
    <w:rsid w:val="00174DE8"/>
    <w:rsid w:val="004216A8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7F84C"/>
  <w15:chartTrackingRefBased/>
  <w15:docId w15:val="{2FD211AC-8A5A-4EFD-9DDC-C6BBCCB49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6A8"/>
    <w:pPr>
      <w:spacing w:after="0" w:line="276" w:lineRule="auto"/>
      <w:jc w:val="both"/>
    </w:pPr>
    <w:rPr>
      <w:rFonts w:ascii="Arial" w:eastAsia="Arial" w:hAnsi="Arial" w:cs="Arial"/>
      <w:kern w:val="0"/>
      <w:sz w:val="20"/>
      <w:szCs w:val="20"/>
      <w:lang w:val="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16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16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6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6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6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6A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6A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6A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6A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6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16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6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6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6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6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6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6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6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6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16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6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16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6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16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6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16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6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6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6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831</Characters>
  <Application>Microsoft Office Word</Application>
  <DocSecurity>0</DocSecurity>
  <Lines>13</Lines>
  <Paragraphs>3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2026-02-16T15:22:00Z</dcterms:created>
  <dcterms:modified xsi:type="dcterms:W3CDTF">2026-02-16T15:22:00Z</dcterms:modified>
</cp:coreProperties>
</file>