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FC7F22">
      <w:pPr>
        <w:pStyle w:val="17"/>
      </w:pPr>
      <w:r>
        <w:t>Supporting Information</w:t>
      </w:r>
    </w:p>
    <w:p w14:paraId="3166ACA7">
      <w:pPr>
        <w:widowControl/>
      </w:pPr>
      <w:r>
        <w:rPr>
          <w:b/>
        </w:rPr>
        <w:t xml:space="preserve">For: </w:t>
      </w:r>
      <w:r>
        <w:rPr>
          <w:rFonts w:hint="default" w:ascii="Times New Roman" w:hAnsi="Times New Roman" w:cs="Times New Roman"/>
          <w:b/>
          <w:color w:val="auto"/>
          <w:sz w:val="24"/>
          <w:szCs w:val="28"/>
        </w:rPr>
        <w:t>Electron-Donating Capability: A Unified Descriptor Expanding the Concept of Basicity in Catalysis</w:t>
      </w:r>
    </w:p>
    <w:p w14:paraId="0BABB0E6">
      <w:pPr>
        <w:rPr>
          <w:rFonts w:hint="default" w:ascii="Times New Roman" w:hAnsi="Times New Roman" w:cs="Times New Roman"/>
          <w:i w:val="0"/>
          <w:iCs w:val="0"/>
          <w:color w:val="auto"/>
          <w:kern w:val="0"/>
        </w:rPr>
      </w:pPr>
      <w:bookmarkStart w:id="0" w:name="_GoBack"/>
      <w:bookmarkEnd w:id="0"/>
    </w:p>
    <w:p w14:paraId="2F50C155">
      <w:pPr>
        <w:numPr>
          <w:ilvl w:val="0"/>
          <w:numId w:val="0"/>
        </w:numPr>
        <w:rPr>
          <w:rFonts w:hint="eastAsia" w:ascii="Times New Roman" w:hAnsi="Times New Roman" w:cs="Times New Roman"/>
          <w:b/>
          <w:color w:val="auto"/>
          <w:lang w:val="en-US" w:eastAsia="zh-CN"/>
        </w:rPr>
      </w:pPr>
      <w:r>
        <w:rPr>
          <w:rFonts w:hint="eastAsia" w:ascii="Times New Roman" w:hAnsi="Times New Roman" w:cs="Times New Roman"/>
          <w:b/>
          <w:color w:val="auto"/>
          <w:lang w:val="en-US" w:eastAsia="zh-CN"/>
        </w:rPr>
        <w:t>S1. Introduction to Supporting Information</w:t>
      </w:r>
    </w:p>
    <w:p w14:paraId="04FACEE4">
      <w:pPr>
        <w:ind w:firstLine="440" w:firstLineChars="200"/>
        <w:rPr>
          <w:rFonts w:hint="eastAsia" w:ascii="Times New Roman" w:hAnsi="Times New Roman" w:eastAsia="微软雅黑" w:cs="Times New Roman"/>
          <w:lang w:val="en-US" w:eastAsia="zh-CN"/>
        </w:rPr>
      </w:pPr>
      <w:r>
        <w:rPr>
          <w:rFonts w:hint="eastAsia" w:ascii="Times New Roman" w:hAnsi="Times New Roman" w:eastAsia="微软雅黑" w:cs="Times New Roman"/>
          <w:lang w:val="en-US" w:eastAsia="zh-CN"/>
        </w:rPr>
        <w:t>This Supporting Information file provides additional experimental data, characterization results, and methodological details that support the findings reported in the main manuscript, “Electron-Donating Capability: A Unified Descriptor for Solid Base Catalysis.” The data herein, including catalytic performance screening, stability tests, and CO₂-TPD profiles, further validate the proposed unifying principle that the electron-donating capability of the active center serves as a fundamental descriptor transcending traditional material classifications. This document is organized to correspond with the discussion in the main text for ease of reference.</w:t>
      </w:r>
    </w:p>
    <w:p w14:paraId="6C0E413F">
      <w:pPr>
        <w:numPr>
          <w:ilvl w:val="0"/>
          <w:numId w:val="0"/>
        </w:numPr>
        <w:ind w:leftChars="0"/>
        <w:rPr>
          <w:rFonts w:hint="default" w:ascii="Times New Roman" w:hAnsi="Times New Roman" w:cs="Times New Roman"/>
          <w:b/>
          <w:color w:val="auto"/>
        </w:rPr>
      </w:pPr>
      <w:r>
        <w:rPr>
          <w:rFonts w:hint="eastAsia" w:ascii="Times New Roman" w:hAnsi="Times New Roman" w:cs="Times New Roman"/>
          <w:b/>
          <w:color w:val="auto"/>
          <w:lang w:val="en-US" w:eastAsia="zh-CN"/>
        </w:rPr>
        <w:t xml:space="preserve">S2. </w:t>
      </w:r>
      <w:r>
        <w:rPr>
          <w:rFonts w:hint="default" w:ascii="Times New Roman" w:hAnsi="Times New Roman" w:cs="Times New Roman"/>
          <w:b/>
          <w:color w:val="auto"/>
        </w:rPr>
        <w:t>Experimental Details</w:t>
      </w:r>
    </w:p>
    <w:p w14:paraId="0A91AD77">
      <w:pPr>
        <w:numPr>
          <w:ilvl w:val="0"/>
          <w:numId w:val="0"/>
        </w:numPr>
        <w:rPr>
          <w:rFonts w:hint="default" w:ascii="Times New Roman" w:hAnsi="Times New Roman" w:cs="Times New Roman"/>
          <w:b/>
          <w:color w:val="auto"/>
        </w:rPr>
      </w:pPr>
      <w:r>
        <w:rPr>
          <w:rFonts w:hint="default" w:ascii="Times New Roman" w:hAnsi="Times New Roman" w:cs="Times New Roman"/>
          <w:b/>
          <w:color w:val="auto"/>
        </w:rPr>
        <w:t>S</w:t>
      </w:r>
      <w:r>
        <w:rPr>
          <w:rFonts w:hint="eastAsia" w:ascii="Times New Roman" w:hAnsi="Times New Roman" w:cs="Times New Roman"/>
          <w:b/>
          <w:color w:val="auto"/>
          <w:lang w:val="en-US" w:eastAsia="zh-CN"/>
        </w:rPr>
        <w:t>2</w:t>
      </w:r>
      <w:r>
        <w:rPr>
          <w:rFonts w:hint="default" w:ascii="Times New Roman" w:hAnsi="Times New Roman" w:cs="Times New Roman"/>
          <w:b/>
          <w:color w:val="auto"/>
        </w:rPr>
        <w:t>.1. Catalyst Preparation</w:t>
      </w:r>
    </w:p>
    <w:p w14:paraId="05307241">
      <w:pPr>
        <w:numPr>
          <w:ilvl w:val="0"/>
          <w:numId w:val="0"/>
        </w:numPr>
        <w:ind w:firstLine="440" w:firstLineChars="200"/>
        <w:rPr>
          <w:rFonts w:hint="default" w:ascii="Times New Roman" w:hAnsi="Times New Roman" w:cs="Times New Roman"/>
          <w:b w:val="0"/>
          <w:bCs/>
          <w:color w:val="auto"/>
        </w:rPr>
      </w:pPr>
      <w:r>
        <w:rPr>
          <w:rFonts w:hint="default" w:ascii="Times New Roman" w:hAnsi="Times New Roman" w:cs="Times New Roman"/>
          <w:b w:val="0"/>
          <w:bCs/>
          <w:color w:val="auto"/>
        </w:rPr>
        <w:t>All catalysts were prepared via incipient wetness impregnation. Specifically, a calculated amount of metal precursor (e.g., Mg(NO₃)₂·6H₂O for MgO/AC, Cu(NO₃)₂·3H₂O for Cu/AC) was dissolved in deionized water. The solution was added dropwise to 5.0 g of coconut shell-derived activated carbon (AC, Fujian Xinsen Carbon Co., Ltd., SBET ≈ 1</w:t>
      </w:r>
      <w:r>
        <w:rPr>
          <w:rFonts w:hint="eastAsia" w:ascii="Times New Roman" w:hAnsi="Times New Roman" w:cs="Times New Roman"/>
          <w:b w:val="0"/>
          <w:bCs/>
          <w:color w:val="auto"/>
          <w:lang w:val="en-US" w:eastAsia="zh-CN"/>
        </w:rPr>
        <w:t>1</w:t>
      </w:r>
      <w:r>
        <w:rPr>
          <w:rFonts w:hint="default" w:ascii="Times New Roman" w:hAnsi="Times New Roman" w:cs="Times New Roman"/>
          <w:b w:val="0"/>
          <w:bCs/>
          <w:color w:val="auto"/>
        </w:rPr>
        <w:t xml:space="preserve">00 m²/g) to achieve a nominal metal loading of </w:t>
      </w:r>
      <w:r>
        <w:rPr>
          <w:rFonts w:hint="eastAsia" w:ascii="Times New Roman" w:hAnsi="Times New Roman" w:cs="Times New Roman"/>
          <w:b w:val="0"/>
          <w:bCs/>
          <w:color w:val="auto"/>
          <w:lang w:val="en-US" w:eastAsia="zh-CN"/>
        </w:rPr>
        <w:t>1~5</w:t>
      </w:r>
      <w:r>
        <w:rPr>
          <w:rFonts w:hint="default" w:ascii="Times New Roman" w:hAnsi="Times New Roman" w:cs="Times New Roman"/>
          <w:b w:val="0"/>
          <w:bCs/>
          <w:color w:val="auto"/>
        </w:rPr>
        <w:t xml:space="preserve"> wt%. The mixture was aged at room temperature for 24 h, dried at 120 °C for 12 h, and subsequently calcined in a tube furnace under a N₂ flow (50 mL/min) at 500 °C</w:t>
      </w:r>
      <w:r>
        <w:rPr>
          <w:rFonts w:hint="eastAsia" w:ascii="Times New Roman" w:hAnsi="Times New Roman" w:cs="Times New Roman"/>
          <w:b w:val="0"/>
          <w:bCs/>
          <w:color w:val="auto"/>
          <w:lang w:val="en-US" w:eastAsia="zh-CN"/>
        </w:rPr>
        <w:t>~800</w:t>
      </w:r>
      <w:r>
        <w:rPr>
          <w:rFonts w:hint="default" w:ascii="Times New Roman" w:hAnsi="Times New Roman" w:cs="Times New Roman"/>
          <w:b w:val="0"/>
          <w:bCs/>
          <w:color w:val="auto"/>
        </w:rPr>
        <w:t xml:space="preserve"> °C</w:t>
      </w:r>
      <w:r>
        <w:rPr>
          <w:rFonts w:hint="eastAsia" w:ascii="Times New Roman" w:hAnsi="Times New Roman" w:cs="Times New Roman"/>
          <w:b w:val="0"/>
          <w:bCs/>
          <w:color w:val="auto"/>
          <w:lang w:val="en-US" w:eastAsia="zh-CN"/>
        </w:rPr>
        <w:t xml:space="preserve"> </w:t>
      </w:r>
      <w:r>
        <w:rPr>
          <w:rFonts w:hint="default" w:ascii="Times New Roman" w:hAnsi="Times New Roman" w:cs="Times New Roman"/>
          <w:b w:val="0"/>
          <w:bCs/>
          <w:color w:val="auto"/>
        </w:rPr>
        <w:t>for 5 h (ramp rate: 5 °C/min).</w:t>
      </w:r>
    </w:p>
    <w:p w14:paraId="1B8ECFEA">
      <w:pPr>
        <w:numPr>
          <w:ilvl w:val="0"/>
          <w:numId w:val="0"/>
        </w:numPr>
        <w:rPr>
          <w:rFonts w:hint="default" w:ascii="Times New Roman" w:hAnsi="Times New Roman" w:cs="Times New Roman"/>
          <w:b/>
          <w:color w:val="auto"/>
        </w:rPr>
      </w:pPr>
      <w:r>
        <w:rPr>
          <w:rFonts w:hint="default" w:ascii="Times New Roman" w:hAnsi="Times New Roman" w:cs="Times New Roman"/>
          <w:b/>
          <w:color w:val="auto"/>
        </w:rPr>
        <w:t>S</w:t>
      </w:r>
      <w:r>
        <w:rPr>
          <w:rFonts w:hint="eastAsia" w:ascii="Times New Roman" w:hAnsi="Times New Roman" w:cs="Times New Roman"/>
          <w:b/>
          <w:color w:val="auto"/>
          <w:lang w:val="en-US" w:eastAsia="zh-CN"/>
        </w:rPr>
        <w:t>2</w:t>
      </w:r>
      <w:r>
        <w:rPr>
          <w:rFonts w:hint="default" w:ascii="Times New Roman" w:hAnsi="Times New Roman" w:cs="Times New Roman"/>
          <w:b/>
          <w:color w:val="auto"/>
        </w:rPr>
        <w:t>.2. Catalytic Activity Tests</w:t>
      </w:r>
    </w:p>
    <w:p w14:paraId="3D6A217F">
      <w:pPr>
        <w:numPr>
          <w:ilvl w:val="0"/>
          <w:numId w:val="0"/>
        </w:numPr>
        <w:ind w:firstLine="440" w:firstLineChars="200"/>
        <w:rPr>
          <w:rFonts w:hint="default" w:ascii="Times New Roman" w:hAnsi="Times New Roman" w:cs="Times New Roman"/>
          <w:b w:val="0"/>
          <w:bCs/>
          <w:color w:val="auto"/>
        </w:rPr>
      </w:pPr>
      <w:r>
        <w:rPr>
          <w:rFonts w:hint="default" w:ascii="Times New Roman" w:hAnsi="Times New Roman" w:cs="Times New Roman"/>
          <w:b/>
          <w:bCs w:val="0"/>
          <w:color w:val="auto"/>
        </w:rPr>
        <w:t>Transesterification Reaction:</w:t>
      </w:r>
      <w:r>
        <w:rPr>
          <w:rFonts w:hint="default" w:ascii="Times New Roman" w:hAnsi="Times New Roman" w:cs="Times New Roman"/>
          <w:b w:val="0"/>
          <w:bCs/>
          <w:color w:val="auto"/>
        </w:rPr>
        <w:t>​ The reaction was performed in a batch reactor. Typically, 50 g of a mixture of dimethyl carbonate (DMC) and ethylene glycol (EG) (molar ratio 2:1) and 1.0 g of catalyst were charged into the reactor. The reaction proceeded at 120 °C for 4 h with stirring. Products were analyzed by gas chromatography (GC-2014, Shimadzu) equipped with a FID and a DB-WAX capillary column.</w:t>
      </w:r>
    </w:p>
    <w:p w14:paraId="53ED3FFC">
      <w:pPr>
        <w:numPr>
          <w:ilvl w:val="0"/>
          <w:numId w:val="0"/>
        </w:numPr>
        <w:ind w:firstLine="440" w:firstLineChars="200"/>
        <w:rPr>
          <w:rFonts w:hint="default" w:ascii="Times New Roman" w:hAnsi="Times New Roman" w:cs="Times New Roman"/>
          <w:b w:val="0"/>
          <w:bCs/>
          <w:color w:val="auto"/>
        </w:rPr>
      </w:pPr>
      <w:r>
        <w:rPr>
          <w:rFonts w:hint="default" w:ascii="Times New Roman" w:hAnsi="Times New Roman" w:cs="Times New Roman"/>
          <w:b/>
          <w:color w:val="auto"/>
        </w:rPr>
        <w:t>Methyl Formate (MF) Decomposition:​</w:t>
      </w:r>
      <w:r>
        <w:rPr>
          <w:rFonts w:hint="default" w:ascii="Times New Roman" w:hAnsi="Times New Roman" w:cs="Times New Roman"/>
          <w:b w:val="0"/>
          <w:bCs/>
          <w:color w:val="auto"/>
        </w:rPr>
        <w:t xml:space="preserve"> The reaction was carried out in a continuous-flow fixed-bed reactor. 1.0 g of catalyst was loaded and activated in situ. MF was fed by a syringe pump and vaporized into a N₂ carrier gas stream. The reaction temperature was maintained at 240 °C. Effluents were analyzed online by a gas chromatograph (GC-7900, Tianmei) equipped with TCD and FID detectors.</w:t>
      </w:r>
    </w:p>
    <w:p w14:paraId="155B4F09">
      <w:pPr>
        <w:numPr>
          <w:ilvl w:val="0"/>
          <w:numId w:val="0"/>
        </w:numPr>
        <w:rPr>
          <w:rFonts w:hint="default" w:ascii="Times New Roman" w:hAnsi="Times New Roman" w:cs="Times New Roman"/>
          <w:b/>
          <w:color w:val="auto"/>
        </w:rPr>
      </w:pPr>
      <w:r>
        <w:rPr>
          <w:rFonts w:hint="default" w:ascii="Times New Roman" w:hAnsi="Times New Roman" w:cs="Times New Roman"/>
          <w:b/>
          <w:color w:val="auto"/>
        </w:rPr>
        <w:t>S</w:t>
      </w:r>
      <w:r>
        <w:rPr>
          <w:rFonts w:hint="eastAsia" w:ascii="Times New Roman" w:hAnsi="Times New Roman" w:cs="Times New Roman"/>
          <w:b/>
          <w:color w:val="auto"/>
          <w:lang w:val="en-US" w:eastAsia="zh-CN"/>
        </w:rPr>
        <w:t>2</w:t>
      </w:r>
      <w:r>
        <w:rPr>
          <w:rFonts w:hint="default" w:ascii="Times New Roman" w:hAnsi="Times New Roman" w:cs="Times New Roman"/>
          <w:b/>
          <w:color w:val="auto"/>
        </w:rPr>
        <w:t>.3. Catalyst Characterization</w:t>
      </w:r>
    </w:p>
    <w:p w14:paraId="6E59435F">
      <w:pPr>
        <w:numPr>
          <w:ilvl w:val="0"/>
          <w:numId w:val="0"/>
        </w:numPr>
        <w:ind w:firstLine="440" w:firstLineChars="200"/>
        <w:rPr>
          <w:rFonts w:hint="default" w:ascii="Times New Roman" w:hAnsi="Times New Roman" w:cs="Times New Roman"/>
          <w:b w:val="0"/>
          <w:bCs/>
          <w:color w:val="auto"/>
        </w:rPr>
      </w:pPr>
      <w:r>
        <w:rPr>
          <w:rFonts w:hint="default" w:ascii="Times New Roman" w:hAnsi="Times New Roman" w:cs="Times New Roman"/>
          <w:b w:val="0"/>
          <w:bCs/>
          <w:color w:val="auto"/>
        </w:rPr>
        <w:t>CO₂-TPD:​ Measurements were performed on a Micromeritics AutoChem II 2920. About 100 mg of catalyst was pretreated at 300 °C in He flow, then saturated with 10% CO₂/He at 50 °C. After puring with He, the desorption was carried out by heating to 800 °C at a rate of 10 °C/min.</w:t>
      </w:r>
    </w:p>
    <w:p w14:paraId="753E8812">
      <w:pPr>
        <w:numPr>
          <w:ilvl w:val="0"/>
          <w:numId w:val="0"/>
        </w:numPr>
        <w:ind w:firstLine="440" w:firstLineChars="200"/>
        <w:rPr>
          <w:rFonts w:hint="default" w:ascii="Times New Roman" w:hAnsi="Times New Roman" w:cs="Times New Roman"/>
          <w:b w:val="0"/>
          <w:bCs/>
          <w:color w:val="auto"/>
        </w:rPr>
      </w:pPr>
      <w:r>
        <w:rPr>
          <w:rFonts w:hint="default" w:ascii="Times New Roman" w:hAnsi="Times New Roman" w:cs="Times New Roman"/>
          <w:b w:val="0"/>
          <w:bCs/>
          <w:color w:val="auto"/>
        </w:rPr>
        <w:t>X-ray Diffraction (XRD):​ Patterns were recorded on a Rigaku MiniFlex600 diffractometer with Cu Kα radiation (λ = 1.5406 Å) over a 2θ range of 5° to 80°.</w:t>
      </w:r>
    </w:p>
    <w:p w14:paraId="75F3BEB6">
      <w:pPr>
        <w:numPr>
          <w:ilvl w:val="0"/>
          <w:numId w:val="0"/>
        </w:numPr>
        <w:ind w:firstLine="440" w:firstLineChars="200"/>
        <w:rPr>
          <w:rFonts w:hint="default" w:ascii="Times New Roman" w:hAnsi="Times New Roman" w:cs="Times New Roman"/>
          <w:b w:val="0"/>
          <w:bCs/>
          <w:color w:val="auto"/>
        </w:rPr>
      </w:pPr>
      <w:r>
        <w:rPr>
          <w:rFonts w:hint="default" w:ascii="Times New Roman" w:hAnsi="Times New Roman" w:cs="Times New Roman"/>
          <w:b w:val="0"/>
          <w:bCs/>
          <w:color w:val="auto"/>
        </w:rPr>
        <w:t>Additional characterization, including N₂ physisorption for textural properties, XPS for surface composition, and TEM for morphology, was also performed on selected samples. The primary focus of the main text, however, remains on the correlation between activity and the alkaline properties determined by CO₂-TPD, supported by XRD for phase identification.</w:t>
      </w:r>
    </w:p>
    <w:p w14:paraId="4EFAEF9A">
      <w:pPr>
        <w:numPr>
          <w:ilvl w:val="0"/>
          <w:numId w:val="0"/>
        </w:numPr>
        <w:ind w:firstLine="440" w:firstLineChars="200"/>
        <w:rPr>
          <w:rFonts w:hint="default" w:ascii="Times New Roman" w:hAnsi="Times New Roman" w:cs="Times New Roman"/>
          <w:b w:val="0"/>
          <w:bCs/>
          <w:color w:val="auto"/>
        </w:rPr>
      </w:pPr>
    </w:p>
    <w:p w14:paraId="11152EE8">
      <w:pPr>
        <w:numPr>
          <w:ilvl w:val="0"/>
          <w:numId w:val="0"/>
        </w:numPr>
        <w:rPr>
          <w:rFonts w:hint="default" w:ascii="Times New Roman" w:hAnsi="Times New Roman" w:cs="Times New Roman"/>
          <w:b/>
          <w:color w:val="auto"/>
        </w:rPr>
      </w:pPr>
      <w:r>
        <w:rPr>
          <w:rFonts w:hint="eastAsia" w:ascii="Times New Roman" w:hAnsi="Times New Roman" w:cs="Times New Roman"/>
          <w:b/>
          <w:color w:val="auto"/>
          <w:lang w:val="en-US" w:eastAsia="zh-CN"/>
        </w:rPr>
        <w:t xml:space="preserve">S3. </w:t>
      </w:r>
      <w:r>
        <w:rPr>
          <w:rFonts w:hint="default" w:ascii="Times New Roman" w:hAnsi="Times New Roman" w:cs="Times New Roman"/>
          <w:b/>
          <w:color w:val="auto"/>
        </w:rPr>
        <w:t>Performance Screening of Catalysts for Methyl Formate (MF) Decomposition</w:t>
      </w:r>
    </w:p>
    <w:p w14:paraId="58996E98">
      <w:pPr>
        <w:numPr>
          <w:ilvl w:val="0"/>
          <w:numId w:val="0"/>
        </w:numPr>
        <w:rPr>
          <w:rFonts w:hint="default" w:ascii="Times New Roman" w:hAnsi="Times New Roman" w:cs="Times New Roman"/>
          <w:b/>
          <w:color w:val="auto"/>
        </w:rPr>
      </w:pPr>
      <w:r>
        <w:rPr>
          <w:rFonts w:hint="eastAsia" w:ascii="Times New Roman" w:hAnsi="Times New Roman" w:cs="Times New Roman"/>
          <w:b/>
          <w:color w:val="auto"/>
          <w:lang w:val="en-US" w:eastAsia="zh-CN"/>
        </w:rPr>
        <w:t xml:space="preserve">S3.1 </w:t>
      </w:r>
      <w:r>
        <w:rPr>
          <w:rFonts w:hint="default" w:ascii="Times New Roman" w:hAnsi="Times New Roman" w:cs="Times New Roman"/>
          <w:b/>
          <w:color w:val="auto"/>
        </w:rPr>
        <w:t>Metal Oxide Catalysts</w:t>
      </w:r>
    </w:p>
    <w:p w14:paraId="34A124F1">
      <w:pPr>
        <w:pStyle w:val="11"/>
      </w:pPr>
      <w:r>
        <w:t>The catalytic performance of metal oxides supported on activated carbon (AC) was evaluated under standard conditions (2 wt% loading, 240°C, 1 bar, LHSV=0.7 h⁻¹).</w:t>
      </w:r>
    </w:p>
    <w:p w14:paraId="4FB475AD">
      <w:pPr>
        <w:pStyle w:val="27"/>
      </w:pPr>
      <w:r>
        <w:rPr>
          <w:b/>
          <w:bCs/>
        </w:rPr>
        <w:t xml:space="preserve">Table </w:t>
      </w:r>
      <w:r>
        <w:rPr>
          <w:rFonts w:hint="eastAsia"/>
          <w:b/>
          <w:bCs/>
          <w:lang w:val="en-US" w:eastAsia="zh-CN"/>
        </w:rPr>
        <w:t>S</w:t>
      </w:r>
      <w:r>
        <w:rPr>
          <w:b/>
          <w:bCs/>
        </w:rPr>
        <w:t xml:space="preserve">1. </w:t>
      </w:r>
      <w:r>
        <w:t>Catalytic Performance of Metal Oxide/AC Catalysts</w:t>
      </w:r>
    </w:p>
    <w:tbl>
      <w:tblPr>
        <w:tblStyle w:val="19"/>
        <w:tblW w:w="5000" w:type="pct"/>
        <w:tblInd w:w="0" w:type="dxa"/>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autofit"/>
        <w:tblCellMar>
          <w:top w:w="0" w:type="dxa"/>
          <w:left w:w="108" w:type="dxa"/>
          <w:bottom w:w="0" w:type="dxa"/>
          <w:right w:w="108" w:type="dxa"/>
        </w:tblCellMar>
      </w:tblPr>
      <w:tblGrid>
        <w:gridCol w:w="2132"/>
        <w:gridCol w:w="2132"/>
        <w:gridCol w:w="2132"/>
        <w:gridCol w:w="2132"/>
      </w:tblGrid>
      <w:tr w14:paraId="0578F945">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49" w:hRule="atLeast"/>
        </w:trPr>
        <w:tc>
          <w:tcPr>
            <w:tcW w:w="1250" w:type="pct"/>
            <w:vAlign w:val="center"/>
          </w:tcPr>
          <w:p w14:paraId="093A5606">
            <w:pPr>
              <w:rPr>
                <w:rFonts w:hint="default" w:ascii="Times New Roman" w:hAnsi="Times New Roman" w:cs="Times New Roman"/>
                <w:b/>
                <w:bCs/>
              </w:rPr>
            </w:pPr>
            <w:r>
              <w:rPr>
                <w:rFonts w:hint="default" w:ascii="Times New Roman" w:hAnsi="Times New Roman" w:cs="Times New Roman"/>
                <w:b/>
                <w:bCs/>
              </w:rPr>
              <w:t>Catalyst</w:t>
            </w:r>
          </w:p>
        </w:tc>
        <w:tc>
          <w:tcPr>
            <w:tcW w:w="1250" w:type="pct"/>
            <w:vAlign w:val="center"/>
          </w:tcPr>
          <w:p w14:paraId="5D7DE217">
            <w:pPr>
              <w:rPr>
                <w:rFonts w:hint="default" w:ascii="Times New Roman" w:hAnsi="Times New Roman" w:cs="Times New Roman"/>
                <w:b/>
                <w:bCs/>
              </w:rPr>
            </w:pPr>
            <w:r>
              <w:rPr>
                <w:rFonts w:hint="default" w:ascii="Times New Roman" w:hAnsi="Times New Roman" w:cs="Times New Roman"/>
                <w:b/>
                <w:bCs/>
              </w:rPr>
              <w:t>MF Conv. (%)</w:t>
            </w:r>
          </w:p>
        </w:tc>
        <w:tc>
          <w:tcPr>
            <w:tcW w:w="1250" w:type="pct"/>
            <w:vAlign w:val="center"/>
          </w:tcPr>
          <w:p w14:paraId="43CC0FEF">
            <w:pPr>
              <w:rPr>
                <w:rFonts w:hint="default" w:ascii="Times New Roman" w:hAnsi="Times New Roman" w:cs="Times New Roman"/>
                <w:b/>
                <w:bCs/>
              </w:rPr>
            </w:pPr>
            <w:r>
              <w:rPr>
                <w:rFonts w:hint="default" w:ascii="Times New Roman" w:hAnsi="Times New Roman" w:cs="Times New Roman"/>
                <w:b/>
                <w:bCs/>
              </w:rPr>
              <w:t>CO Select. (%)</w:t>
            </w:r>
          </w:p>
        </w:tc>
        <w:tc>
          <w:tcPr>
            <w:tcW w:w="1250" w:type="pct"/>
            <w:vAlign w:val="center"/>
          </w:tcPr>
          <w:p w14:paraId="760F9AA1">
            <w:pPr>
              <w:rPr>
                <w:rFonts w:hint="default" w:ascii="Times New Roman" w:hAnsi="Times New Roman" w:cs="Times New Roman"/>
                <w:b/>
                <w:bCs/>
              </w:rPr>
            </w:pPr>
            <w:r>
              <w:rPr>
                <w:rFonts w:hint="default" w:ascii="Times New Roman" w:hAnsi="Times New Roman" w:cs="Times New Roman"/>
                <w:b/>
                <w:bCs/>
              </w:rPr>
              <w:t>MeOH Select.(%)</w:t>
            </w:r>
          </w:p>
        </w:tc>
      </w:tr>
      <w:tr w14:paraId="29293467">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49" w:hRule="atLeast"/>
        </w:trPr>
        <w:tc>
          <w:tcPr>
            <w:tcW w:w="1250" w:type="pct"/>
            <w:vAlign w:val="center"/>
          </w:tcPr>
          <w:p w14:paraId="3493D1E7">
            <w:pPr>
              <w:rPr>
                <w:rFonts w:hint="default" w:ascii="Times New Roman" w:hAnsi="Times New Roman" w:cs="Times New Roman"/>
              </w:rPr>
            </w:pPr>
            <w:r>
              <w:rPr>
                <w:rFonts w:hint="default" w:ascii="Times New Roman" w:hAnsi="Times New Roman" w:cs="Times New Roman"/>
              </w:rPr>
              <w:t>ZnO/AC</w:t>
            </w:r>
          </w:p>
        </w:tc>
        <w:tc>
          <w:tcPr>
            <w:tcW w:w="1250" w:type="pct"/>
            <w:vAlign w:val="center"/>
          </w:tcPr>
          <w:p w14:paraId="193D4530">
            <w:pPr>
              <w:rPr>
                <w:rFonts w:hint="default" w:ascii="Times New Roman" w:hAnsi="Times New Roman" w:cs="Times New Roman"/>
              </w:rPr>
            </w:pPr>
            <w:r>
              <w:rPr>
                <w:rFonts w:hint="default" w:ascii="Times New Roman" w:hAnsi="Times New Roman" w:cs="Times New Roman"/>
              </w:rPr>
              <w:t>99.7</w:t>
            </w:r>
          </w:p>
        </w:tc>
        <w:tc>
          <w:tcPr>
            <w:tcW w:w="1250" w:type="pct"/>
            <w:vAlign w:val="center"/>
          </w:tcPr>
          <w:p w14:paraId="2E2CE26E">
            <w:pPr>
              <w:rPr>
                <w:rFonts w:hint="default" w:ascii="Times New Roman" w:hAnsi="Times New Roman" w:cs="Times New Roman"/>
              </w:rPr>
            </w:pPr>
            <w:r>
              <w:rPr>
                <w:rFonts w:hint="default" w:ascii="Times New Roman" w:hAnsi="Times New Roman" w:cs="Times New Roman"/>
              </w:rPr>
              <w:t>94.2</w:t>
            </w:r>
          </w:p>
        </w:tc>
        <w:tc>
          <w:tcPr>
            <w:tcW w:w="1250" w:type="pct"/>
            <w:vAlign w:val="center"/>
          </w:tcPr>
          <w:p w14:paraId="46B3D13F">
            <w:pPr>
              <w:rPr>
                <w:rFonts w:hint="default" w:ascii="Times New Roman" w:hAnsi="Times New Roman" w:cs="Times New Roman"/>
              </w:rPr>
            </w:pPr>
            <w:r>
              <w:rPr>
                <w:rFonts w:hint="default" w:ascii="Times New Roman" w:hAnsi="Times New Roman" w:cs="Times New Roman"/>
              </w:rPr>
              <w:t>91.5</w:t>
            </w:r>
          </w:p>
        </w:tc>
      </w:tr>
      <w:tr w14:paraId="46BCFFA4">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49" w:hRule="atLeast"/>
        </w:trPr>
        <w:tc>
          <w:tcPr>
            <w:tcW w:w="1250" w:type="pct"/>
            <w:shd w:val="clear" w:color="auto" w:fill="auto"/>
            <w:vAlign w:val="center"/>
          </w:tcPr>
          <w:p w14:paraId="53D4EC7B">
            <w:pPr>
              <w:rPr>
                <w:rFonts w:hint="default" w:ascii="Times New Roman" w:hAnsi="Times New Roman" w:eastAsia="微软雅黑" w:cs="Times New Roman"/>
                <w:color w:val="333333"/>
                <w:kern w:val="2"/>
                <w:sz w:val="22"/>
                <w:szCs w:val="24"/>
                <w:lang w:val="en-US" w:eastAsia="zh-CN" w:bidi="ar-SA"/>
              </w:rPr>
            </w:pPr>
            <w:r>
              <w:rPr>
                <w:rFonts w:hint="default" w:ascii="Times New Roman" w:hAnsi="Times New Roman" w:cs="Times New Roman"/>
              </w:rPr>
              <w:t>Al</w:t>
            </w:r>
            <w:r>
              <w:rPr>
                <w:rFonts w:hint="eastAsia" w:ascii="Times New Roman" w:hAnsi="Times New Roman" w:cs="Times New Roman"/>
                <w:lang w:val="en-US" w:eastAsia="zh-CN"/>
              </w:rPr>
              <w:t>2</w:t>
            </w:r>
            <w:r>
              <w:rPr>
                <w:rFonts w:hint="default" w:ascii="Times New Roman" w:hAnsi="Times New Roman" w:cs="Times New Roman"/>
              </w:rPr>
              <w:t>O</w:t>
            </w:r>
            <w:r>
              <w:rPr>
                <w:rFonts w:hint="eastAsia" w:ascii="Times New Roman" w:hAnsi="Times New Roman" w:cs="Times New Roman"/>
                <w:lang w:val="en-US" w:eastAsia="zh-CN"/>
              </w:rPr>
              <w:t>3</w:t>
            </w:r>
            <w:r>
              <w:rPr>
                <w:rFonts w:hint="default" w:ascii="Times New Roman" w:hAnsi="Times New Roman" w:cs="Times New Roman"/>
              </w:rPr>
              <w:t>/AC</w:t>
            </w:r>
          </w:p>
        </w:tc>
        <w:tc>
          <w:tcPr>
            <w:tcW w:w="1250" w:type="pct"/>
            <w:shd w:val="clear" w:color="auto" w:fill="auto"/>
            <w:vAlign w:val="center"/>
          </w:tcPr>
          <w:p w14:paraId="70692F45">
            <w:pPr>
              <w:rPr>
                <w:rFonts w:hint="default" w:ascii="Times New Roman" w:hAnsi="Times New Roman" w:eastAsia="微软雅黑" w:cs="Times New Roman"/>
                <w:color w:val="333333"/>
                <w:kern w:val="2"/>
                <w:sz w:val="22"/>
                <w:szCs w:val="24"/>
                <w:lang w:val="en-US" w:eastAsia="zh-CN" w:bidi="ar-SA"/>
              </w:rPr>
            </w:pPr>
            <w:r>
              <w:rPr>
                <w:rFonts w:hint="default" w:ascii="Times New Roman" w:hAnsi="Times New Roman" w:cs="Times New Roman"/>
              </w:rPr>
              <w:t>34.6</w:t>
            </w:r>
          </w:p>
        </w:tc>
        <w:tc>
          <w:tcPr>
            <w:tcW w:w="1250" w:type="pct"/>
            <w:shd w:val="clear" w:color="auto" w:fill="auto"/>
            <w:vAlign w:val="center"/>
          </w:tcPr>
          <w:p w14:paraId="391AD0E8">
            <w:pPr>
              <w:rPr>
                <w:rFonts w:hint="default" w:ascii="Times New Roman" w:hAnsi="Times New Roman" w:eastAsia="微软雅黑" w:cs="Times New Roman"/>
                <w:color w:val="333333"/>
                <w:kern w:val="2"/>
                <w:sz w:val="22"/>
                <w:szCs w:val="24"/>
                <w:lang w:val="en-US" w:eastAsia="zh-CN" w:bidi="ar-SA"/>
              </w:rPr>
            </w:pPr>
            <w:r>
              <w:rPr>
                <w:rFonts w:hint="default" w:ascii="Times New Roman" w:hAnsi="Times New Roman" w:cs="Times New Roman"/>
              </w:rPr>
              <w:t>94.8</w:t>
            </w:r>
          </w:p>
        </w:tc>
        <w:tc>
          <w:tcPr>
            <w:tcW w:w="1250" w:type="pct"/>
            <w:shd w:val="clear" w:color="auto" w:fill="auto"/>
            <w:vAlign w:val="center"/>
          </w:tcPr>
          <w:p w14:paraId="085657B1">
            <w:pPr>
              <w:rPr>
                <w:rFonts w:hint="default" w:ascii="Times New Roman" w:hAnsi="Times New Roman" w:eastAsia="微软雅黑" w:cs="Times New Roman"/>
                <w:color w:val="333333"/>
                <w:kern w:val="2"/>
                <w:sz w:val="22"/>
                <w:szCs w:val="24"/>
                <w:lang w:val="en-US" w:eastAsia="zh-CN" w:bidi="ar-SA"/>
              </w:rPr>
            </w:pPr>
            <w:r>
              <w:rPr>
                <w:rFonts w:hint="default" w:ascii="Times New Roman" w:hAnsi="Times New Roman" w:cs="Times New Roman"/>
              </w:rPr>
              <w:t>92.3</w:t>
            </w:r>
          </w:p>
        </w:tc>
      </w:tr>
      <w:tr w14:paraId="70CED526">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49" w:hRule="atLeast"/>
        </w:trPr>
        <w:tc>
          <w:tcPr>
            <w:tcW w:w="1250" w:type="pct"/>
            <w:vAlign w:val="center"/>
          </w:tcPr>
          <w:p w14:paraId="1874D272">
            <w:pPr>
              <w:rPr>
                <w:rFonts w:hint="default" w:ascii="Times New Roman" w:hAnsi="Times New Roman" w:cs="Times New Roman"/>
              </w:rPr>
            </w:pPr>
            <w:r>
              <w:rPr>
                <w:rFonts w:hint="default" w:ascii="Times New Roman" w:hAnsi="Times New Roman" w:cs="Times New Roman"/>
              </w:rPr>
              <w:t>CaO/AC</w:t>
            </w:r>
          </w:p>
        </w:tc>
        <w:tc>
          <w:tcPr>
            <w:tcW w:w="1250" w:type="pct"/>
            <w:vAlign w:val="center"/>
          </w:tcPr>
          <w:p w14:paraId="44A34115">
            <w:pPr>
              <w:rPr>
                <w:rFonts w:hint="default" w:ascii="Times New Roman" w:hAnsi="Times New Roman" w:cs="Times New Roman"/>
              </w:rPr>
            </w:pPr>
            <w:r>
              <w:rPr>
                <w:rFonts w:hint="default" w:ascii="Times New Roman" w:hAnsi="Times New Roman" w:cs="Times New Roman"/>
              </w:rPr>
              <w:t>2.8</w:t>
            </w:r>
          </w:p>
        </w:tc>
        <w:tc>
          <w:tcPr>
            <w:tcW w:w="1250" w:type="pct"/>
            <w:vAlign w:val="center"/>
          </w:tcPr>
          <w:p w14:paraId="0296A6F4">
            <w:pPr>
              <w:rPr>
                <w:rFonts w:hint="default" w:ascii="Times New Roman" w:hAnsi="Times New Roman" w:cs="Times New Roman"/>
              </w:rPr>
            </w:pPr>
            <w:r>
              <w:rPr>
                <w:rFonts w:hint="default" w:ascii="Times New Roman" w:hAnsi="Times New Roman" w:cs="Times New Roman"/>
              </w:rPr>
              <w:t>98.8</w:t>
            </w:r>
          </w:p>
        </w:tc>
        <w:tc>
          <w:tcPr>
            <w:tcW w:w="1250" w:type="pct"/>
            <w:vAlign w:val="center"/>
          </w:tcPr>
          <w:p w14:paraId="156AA0D9">
            <w:pPr>
              <w:rPr>
                <w:rFonts w:hint="default" w:ascii="Times New Roman" w:hAnsi="Times New Roman" w:cs="Times New Roman"/>
              </w:rPr>
            </w:pPr>
            <w:r>
              <w:rPr>
                <w:rFonts w:hint="default" w:ascii="Times New Roman" w:hAnsi="Times New Roman" w:cs="Times New Roman"/>
              </w:rPr>
              <w:t>98.0</w:t>
            </w:r>
          </w:p>
        </w:tc>
      </w:tr>
      <w:tr w14:paraId="6CDF309A">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49" w:hRule="atLeast"/>
        </w:trPr>
        <w:tc>
          <w:tcPr>
            <w:tcW w:w="1250" w:type="pct"/>
            <w:vAlign w:val="center"/>
          </w:tcPr>
          <w:p w14:paraId="42B3A22C">
            <w:pPr>
              <w:rPr>
                <w:rFonts w:hint="default" w:ascii="Times New Roman" w:hAnsi="Times New Roman" w:cs="Times New Roman"/>
              </w:rPr>
            </w:pPr>
            <w:r>
              <w:rPr>
                <w:rFonts w:hint="default" w:ascii="Times New Roman" w:hAnsi="Times New Roman" w:cs="Times New Roman"/>
              </w:rPr>
              <w:t>MgO/AC</w:t>
            </w:r>
          </w:p>
        </w:tc>
        <w:tc>
          <w:tcPr>
            <w:tcW w:w="1250" w:type="pct"/>
            <w:vAlign w:val="center"/>
          </w:tcPr>
          <w:p w14:paraId="5D4285CF">
            <w:pPr>
              <w:rPr>
                <w:rFonts w:hint="default" w:ascii="Times New Roman" w:hAnsi="Times New Roman" w:cs="Times New Roman"/>
              </w:rPr>
            </w:pPr>
            <w:r>
              <w:rPr>
                <w:rFonts w:hint="default" w:ascii="Times New Roman" w:hAnsi="Times New Roman" w:cs="Times New Roman"/>
              </w:rPr>
              <w:t>5.7</w:t>
            </w:r>
          </w:p>
        </w:tc>
        <w:tc>
          <w:tcPr>
            <w:tcW w:w="1250" w:type="pct"/>
            <w:vAlign w:val="center"/>
          </w:tcPr>
          <w:p w14:paraId="30EF3A71">
            <w:pPr>
              <w:rPr>
                <w:rFonts w:hint="default" w:ascii="Times New Roman" w:hAnsi="Times New Roman" w:cs="Times New Roman"/>
              </w:rPr>
            </w:pPr>
            <w:r>
              <w:rPr>
                <w:rFonts w:hint="default" w:ascii="Times New Roman" w:hAnsi="Times New Roman" w:cs="Times New Roman"/>
              </w:rPr>
              <w:t>97.0</w:t>
            </w:r>
          </w:p>
        </w:tc>
        <w:tc>
          <w:tcPr>
            <w:tcW w:w="1250" w:type="pct"/>
            <w:vAlign w:val="center"/>
          </w:tcPr>
          <w:p w14:paraId="7FBA15AE">
            <w:pPr>
              <w:rPr>
                <w:rFonts w:hint="default" w:ascii="Times New Roman" w:hAnsi="Times New Roman" w:cs="Times New Roman"/>
              </w:rPr>
            </w:pPr>
            <w:r>
              <w:rPr>
                <w:rFonts w:hint="default" w:ascii="Times New Roman" w:hAnsi="Times New Roman" w:cs="Times New Roman"/>
              </w:rPr>
              <w:t>97.7</w:t>
            </w:r>
          </w:p>
        </w:tc>
      </w:tr>
    </w:tbl>
    <w:p w14:paraId="23BFD277"/>
    <w:p w14:paraId="3917389F">
      <w:pPr>
        <w:spacing w:line="240" w:lineRule="auto"/>
        <w:jc w:val="center"/>
      </w:pPr>
      <w:r>
        <w:drawing>
          <wp:inline distT="0" distB="0" distL="114300" distR="114300">
            <wp:extent cx="3970655" cy="2766060"/>
            <wp:effectExtent l="0" t="0" r="10795"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rcRect b="9241"/>
                    <a:stretch>
                      <a:fillRect/>
                    </a:stretch>
                  </pic:blipFill>
                  <pic:spPr>
                    <a:xfrm>
                      <a:off x="0" y="0"/>
                      <a:ext cx="3970655" cy="2766060"/>
                    </a:xfrm>
                    <a:prstGeom prst="rect">
                      <a:avLst/>
                    </a:prstGeom>
                    <a:noFill/>
                    <a:ln>
                      <a:noFill/>
                    </a:ln>
                  </pic:spPr>
                </pic:pic>
              </a:graphicData>
            </a:graphic>
          </wp:inline>
        </w:drawing>
      </w:r>
    </w:p>
    <w:p w14:paraId="5B5B9EA9">
      <w:pPr>
        <w:pStyle w:val="27"/>
      </w:pPr>
      <w:r>
        <w:rPr>
          <w:b/>
          <w:bCs/>
        </w:rPr>
        <w:t>Fig</w:t>
      </w:r>
      <w:r>
        <w:rPr>
          <w:rFonts w:hint="eastAsia"/>
          <w:b/>
          <w:bCs/>
          <w:lang w:val="en-US" w:eastAsia="zh-CN"/>
        </w:rPr>
        <w:t xml:space="preserve"> S</w:t>
      </w:r>
      <w:r>
        <w:rPr>
          <w:b/>
          <w:bCs/>
        </w:rPr>
        <w:t>1</w:t>
      </w:r>
      <w:r>
        <w:t>.</w:t>
      </w:r>
      <w:r>
        <w:rPr>
          <w:rFonts w:hint="eastAsia"/>
          <w:lang w:val="en-US" w:eastAsia="zh-CN"/>
        </w:rPr>
        <w:t xml:space="preserve"> </w:t>
      </w:r>
      <w:r>
        <w:t>Comparative MF Conversion Performance of Metal Oxide Catalysts</w:t>
      </w:r>
    </w:p>
    <w:p w14:paraId="165421A8">
      <w:pPr>
        <w:rPr>
          <w:rFonts w:hint="default"/>
        </w:rPr>
      </w:pPr>
    </w:p>
    <w:p w14:paraId="3EF31BB4">
      <w:pPr>
        <w:pStyle w:val="27"/>
      </w:pPr>
      <w:r>
        <w:rPr>
          <w:b/>
          <w:bCs/>
        </w:rPr>
        <w:t xml:space="preserve">Table </w:t>
      </w:r>
      <w:r>
        <w:rPr>
          <w:rFonts w:hint="eastAsia"/>
          <w:b/>
          <w:bCs/>
          <w:lang w:val="en-US" w:eastAsia="zh-CN"/>
        </w:rPr>
        <w:t>S</w:t>
      </w:r>
      <w:r>
        <w:rPr>
          <w:b/>
          <w:bCs/>
        </w:rPr>
        <w:t>2.</w:t>
      </w:r>
      <w:r>
        <w:t xml:space="preserve"> Support Effects on ZnO Performance</w:t>
      </w:r>
    </w:p>
    <w:tbl>
      <w:tblPr>
        <w:tblStyle w:val="19"/>
        <w:tblW w:w="4998" w:type="pct"/>
        <w:jc w:val="cente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autofit"/>
        <w:tblCellMar>
          <w:top w:w="0" w:type="dxa"/>
          <w:left w:w="108" w:type="dxa"/>
          <w:bottom w:w="0" w:type="dxa"/>
          <w:right w:w="108" w:type="dxa"/>
        </w:tblCellMar>
      </w:tblPr>
      <w:tblGrid>
        <w:gridCol w:w="1757"/>
        <w:gridCol w:w="2116"/>
        <w:gridCol w:w="2193"/>
        <w:gridCol w:w="2459"/>
      </w:tblGrid>
      <w:tr w14:paraId="72C42B0C">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0" w:hRule="atLeast"/>
          <w:tblHeader/>
          <w:jc w:val="center"/>
        </w:trPr>
        <w:tc>
          <w:tcPr>
            <w:tcW w:w="1030" w:type="pct"/>
            <w:vAlign w:val="center"/>
          </w:tcPr>
          <w:p w14:paraId="73FF7016">
            <w:pPr>
              <w:snapToGrid w:val="0"/>
              <w:ind w:left="0" w:leftChars="0" w:right="0" w:rightChars="0" w:firstLine="0" w:firstLineChars="0"/>
              <w:jc w:val="center"/>
              <w:rPr>
                <w:rFonts w:hint="default" w:ascii="Times New Roman" w:hAnsi="Times New Roman" w:cs="Times New Roman"/>
                <w:b/>
              </w:rPr>
            </w:pPr>
            <w:r>
              <w:rPr>
                <w:rFonts w:hint="default" w:ascii="Times New Roman" w:hAnsi="Times New Roman" w:cs="Times New Roman"/>
                <w:b/>
              </w:rPr>
              <w:t>Catalyst</w:t>
            </w:r>
          </w:p>
        </w:tc>
        <w:tc>
          <w:tcPr>
            <w:tcW w:w="1241" w:type="pct"/>
            <w:vAlign w:val="center"/>
          </w:tcPr>
          <w:p w14:paraId="096F10B8">
            <w:pPr>
              <w:snapToGrid w:val="0"/>
              <w:ind w:left="0" w:leftChars="0" w:right="0" w:rightChars="0" w:firstLine="0" w:firstLineChars="0"/>
              <w:jc w:val="center"/>
              <w:rPr>
                <w:rFonts w:hint="default" w:ascii="Times New Roman" w:hAnsi="Times New Roman" w:cs="Times New Roman"/>
                <w:b/>
              </w:rPr>
            </w:pPr>
            <w:r>
              <w:rPr>
                <w:rFonts w:hint="default" w:ascii="Times New Roman" w:hAnsi="Times New Roman" w:cs="Times New Roman"/>
                <w:b/>
              </w:rPr>
              <w:t>MF Conv. (%)</w:t>
            </w:r>
          </w:p>
        </w:tc>
        <w:tc>
          <w:tcPr>
            <w:tcW w:w="1286" w:type="pct"/>
            <w:vAlign w:val="center"/>
          </w:tcPr>
          <w:p w14:paraId="56A61F3D">
            <w:pPr>
              <w:snapToGrid w:val="0"/>
              <w:ind w:left="0" w:leftChars="0" w:right="0" w:rightChars="0" w:firstLine="0" w:firstLineChars="0"/>
              <w:jc w:val="center"/>
              <w:rPr>
                <w:rFonts w:hint="default" w:ascii="Times New Roman" w:hAnsi="Times New Roman" w:cs="Times New Roman"/>
                <w:b/>
              </w:rPr>
            </w:pPr>
            <w:r>
              <w:rPr>
                <w:rFonts w:hint="default" w:ascii="Times New Roman" w:hAnsi="Times New Roman" w:cs="Times New Roman"/>
                <w:b/>
              </w:rPr>
              <w:t>CO Select. (%)</w:t>
            </w:r>
          </w:p>
        </w:tc>
        <w:tc>
          <w:tcPr>
            <w:tcW w:w="1442" w:type="pct"/>
            <w:vAlign w:val="center"/>
          </w:tcPr>
          <w:p w14:paraId="64325962">
            <w:pPr>
              <w:snapToGrid w:val="0"/>
              <w:ind w:left="0" w:leftChars="0" w:right="0" w:rightChars="0" w:firstLine="0" w:firstLineChars="0"/>
              <w:jc w:val="center"/>
              <w:rPr>
                <w:rFonts w:hint="default" w:ascii="Times New Roman" w:hAnsi="Times New Roman" w:cs="Times New Roman"/>
                <w:b/>
              </w:rPr>
            </w:pPr>
            <w:r>
              <w:rPr>
                <w:rFonts w:hint="default" w:ascii="Times New Roman" w:hAnsi="Times New Roman" w:cs="Times New Roman"/>
                <w:b/>
              </w:rPr>
              <w:t>MeOHSelect. (%)</w:t>
            </w:r>
          </w:p>
        </w:tc>
      </w:tr>
      <w:tr w14:paraId="212C3342">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0" w:hRule="atLeast"/>
          <w:jc w:val="center"/>
        </w:trPr>
        <w:tc>
          <w:tcPr>
            <w:tcW w:w="1030" w:type="pct"/>
            <w:vAlign w:val="center"/>
          </w:tcPr>
          <w:p w14:paraId="3DE7230A">
            <w:pPr>
              <w:snapToGrid w:val="0"/>
              <w:ind w:left="0" w:leftChars="0" w:right="0" w:rightChars="0" w:firstLine="0" w:firstLineChars="0"/>
              <w:jc w:val="left"/>
              <w:rPr>
                <w:rFonts w:hint="default" w:ascii="Times New Roman" w:hAnsi="Times New Roman" w:cs="Times New Roman"/>
              </w:rPr>
            </w:pPr>
            <w:r>
              <w:rPr>
                <w:rFonts w:hint="default" w:ascii="Times New Roman" w:hAnsi="Times New Roman" w:cs="Times New Roman"/>
              </w:rPr>
              <w:t>ZnO/AC</w:t>
            </w:r>
          </w:p>
        </w:tc>
        <w:tc>
          <w:tcPr>
            <w:tcW w:w="1241" w:type="pct"/>
            <w:vAlign w:val="center"/>
          </w:tcPr>
          <w:p w14:paraId="369C3E9D">
            <w:pPr>
              <w:snapToGrid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99.7</w:t>
            </w:r>
          </w:p>
        </w:tc>
        <w:tc>
          <w:tcPr>
            <w:tcW w:w="1286" w:type="pct"/>
            <w:vAlign w:val="center"/>
          </w:tcPr>
          <w:p w14:paraId="564ADFC3">
            <w:pPr>
              <w:snapToGrid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94.2</w:t>
            </w:r>
          </w:p>
        </w:tc>
        <w:tc>
          <w:tcPr>
            <w:tcW w:w="1442" w:type="pct"/>
            <w:vAlign w:val="center"/>
          </w:tcPr>
          <w:p w14:paraId="571F88DE">
            <w:pPr>
              <w:snapToGrid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91.5</w:t>
            </w:r>
          </w:p>
        </w:tc>
      </w:tr>
      <w:tr w14:paraId="6AE62A3F">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0" w:hRule="atLeast"/>
          <w:jc w:val="center"/>
        </w:trPr>
        <w:tc>
          <w:tcPr>
            <w:tcW w:w="1030" w:type="pct"/>
            <w:vAlign w:val="center"/>
          </w:tcPr>
          <w:p w14:paraId="2AC1A97B">
            <w:pPr>
              <w:snapToGrid w:val="0"/>
              <w:ind w:left="0" w:leftChars="0" w:right="0" w:rightChars="0" w:firstLine="0" w:firstLineChars="0"/>
              <w:jc w:val="left"/>
              <w:rPr>
                <w:rFonts w:hint="default" w:ascii="Times New Roman" w:hAnsi="Times New Roman" w:cs="Times New Roman"/>
              </w:rPr>
            </w:pPr>
            <w:r>
              <w:rPr>
                <w:rFonts w:hint="default" w:ascii="Times New Roman" w:hAnsi="Times New Roman" w:cs="Times New Roman"/>
              </w:rPr>
              <w:t>ZnO/Zeolite</w:t>
            </w:r>
          </w:p>
        </w:tc>
        <w:tc>
          <w:tcPr>
            <w:tcW w:w="1241" w:type="pct"/>
            <w:vAlign w:val="center"/>
          </w:tcPr>
          <w:p w14:paraId="7D745688">
            <w:pPr>
              <w:snapToGrid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66.4</w:t>
            </w:r>
          </w:p>
        </w:tc>
        <w:tc>
          <w:tcPr>
            <w:tcW w:w="1286" w:type="pct"/>
            <w:vAlign w:val="center"/>
          </w:tcPr>
          <w:p w14:paraId="6C6B21C5">
            <w:pPr>
              <w:snapToGrid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98.4</w:t>
            </w:r>
          </w:p>
        </w:tc>
        <w:tc>
          <w:tcPr>
            <w:tcW w:w="1442" w:type="pct"/>
            <w:vAlign w:val="center"/>
          </w:tcPr>
          <w:p w14:paraId="5CE35E94">
            <w:pPr>
              <w:snapToGrid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10.4</w:t>
            </w:r>
          </w:p>
        </w:tc>
      </w:tr>
      <w:tr w14:paraId="026D9893">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0" w:hRule="atLeast"/>
          <w:jc w:val="center"/>
        </w:trPr>
        <w:tc>
          <w:tcPr>
            <w:tcW w:w="1030" w:type="pct"/>
            <w:vAlign w:val="center"/>
          </w:tcPr>
          <w:p w14:paraId="6F276B9F">
            <w:pPr>
              <w:snapToGrid w:val="0"/>
              <w:ind w:left="0" w:leftChars="0" w:right="0" w:rightChars="0" w:firstLine="0" w:firstLineChars="0"/>
              <w:jc w:val="left"/>
              <w:rPr>
                <w:rFonts w:hint="default" w:ascii="Times New Roman" w:hAnsi="Times New Roman" w:cs="Times New Roman"/>
              </w:rPr>
            </w:pPr>
            <w:r>
              <w:rPr>
                <w:rFonts w:hint="default" w:ascii="Times New Roman" w:hAnsi="Times New Roman" w:cs="Times New Roman"/>
              </w:rPr>
              <w:t>ZnO/Al₂O₃</w:t>
            </w:r>
          </w:p>
        </w:tc>
        <w:tc>
          <w:tcPr>
            <w:tcW w:w="1241" w:type="pct"/>
            <w:vAlign w:val="center"/>
          </w:tcPr>
          <w:p w14:paraId="4E0AA50C">
            <w:pPr>
              <w:snapToGrid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20.9</w:t>
            </w:r>
          </w:p>
        </w:tc>
        <w:tc>
          <w:tcPr>
            <w:tcW w:w="1286" w:type="pct"/>
            <w:vAlign w:val="center"/>
          </w:tcPr>
          <w:p w14:paraId="77E81835">
            <w:pPr>
              <w:snapToGrid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99.1</w:t>
            </w:r>
          </w:p>
        </w:tc>
        <w:tc>
          <w:tcPr>
            <w:tcW w:w="1442" w:type="pct"/>
            <w:vAlign w:val="center"/>
          </w:tcPr>
          <w:p w14:paraId="44428CBD">
            <w:pPr>
              <w:snapToGrid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57.7*</w:t>
            </w:r>
          </w:p>
        </w:tc>
      </w:tr>
      <w:tr w14:paraId="7878346C">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0" w:hRule="atLeast"/>
          <w:jc w:val="center"/>
        </w:trPr>
        <w:tc>
          <w:tcPr>
            <w:tcW w:w="1030" w:type="pct"/>
            <w:vAlign w:val="center"/>
          </w:tcPr>
          <w:p w14:paraId="287A635B">
            <w:pPr>
              <w:snapToGrid w:val="0"/>
              <w:ind w:left="0" w:leftChars="0" w:right="0" w:rightChars="0" w:firstLine="0" w:firstLineChars="0"/>
              <w:jc w:val="left"/>
              <w:rPr>
                <w:rFonts w:hint="default" w:ascii="Times New Roman" w:hAnsi="Times New Roman" w:cs="Times New Roman"/>
              </w:rPr>
            </w:pPr>
            <w:r>
              <w:rPr>
                <w:rFonts w:hint="default" w:ascii="Times New Roman" w:hAnsi="Times New Roman" w:cs="Times New Roman"/>
              </w:rPr>
              <w:t>ZnO/SiO₂</w:t>
            </w:r>
          </w:p>
        </w:tc>
        <w:tc>
          <w:tcPr>
            <w:tcW w:w="1241" w:type="pct"/>
            <w:vAlign w:val="center"/>
          </w:tcPr>
          <w:p w14:paraId="78F77275">
            <w:pPr>
              <w:snapToGrid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2.1</w:t>
            </w:r>
          </w:p>
        </w:tc>
        <w:tc>
          <w:tcPr>
            <w:tcW w:w="1286" w:type="pct"/>
            <w:vAlign w:val="center"/>
          </w:tcPr>
          <w:p w14:paraId="67FCC905">
            <w:pPr>
              <w:snapToGrid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95.4</w:t>
            </w:r>
          </w:p>
        </w:tc>
        <w:tc>
          <w:tcPr>
            <w:tcW w:w="1442" w:type="pct"/>
            <w:vAlign w:val="center"/>
          </w:tcPr>
          <w:p w14:paraId="51BC6EB8">
            <w:pPr>
              <w:snapToGrid w:val="0"/>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97.5</w:t>
            </w:r>
          </w:p>
        </w:tc>
      </w:tr>
    </w:tbl>
    <w:p w14:paraId="286E45A4">
      <w:pPr>
        <w:pStyle w:val="11"/>
      </w:pPr>
      <w:r>
        <w:t>*Methanol dehydration due to support acidity</w:t>
      </w:r>
    </w:p>
    <w:p w14:paraId="7803BDD7">
      <w:pPr>
        <w:rPr>
          <w:rFonts w:hint="default" w:ascii="Times New Roman" w:hAnsi="Times New Roman" w:cs="Times New Roman"/>
        </w:rPr>
      </w:pPr>
    </w:p>
    <w:p w14:paraId="221D0A3A">
      <w:pPr>
        <w:numPr>
          <w:ilvl w:val="0"/>
          <w:numId w:val="0"/>
        </w:numPr>
        <w:rPr>
          <w:rFonts w:hint="eastAsia" w:ascii="Times New Roman" w:hAnsi="Times New Roman" w:cs="Times New Roman"/>
          <w:b/>
          <w:color w:val="auto"/>
          <w:lang w:val="en-US" w:eastAsia="zh-CN"/>
        </w:rPr>
      </w:pPr>
      <w:r>
        <w:rPr>
          <w:rFonts w:hint="eastAsia" w:ascii="Times New Roman" w:hAnsi="Times New Roman" w:cs="Times New Roman"/>
          <w:b/>
          <w:color w:val="auto"/>
          <w:lang w:val="en-US" w:eastAsia="zh-CN"/>
        </w:rPr>
        <w:t>S3.2 Potassium Modification Effects</w:t>
      </w:r>
    </w:p>
    <w:p w14:paraId="57DCC0E4">
      <w:pPr>
        <w:pStyle w:val="11"/>
      </w:pPr>
      <w:r>
        <w:t>Potassium modification significantly enhanced catalyst performance and stability:</w:t>
      </w:r>
    </w:p>
    <w:p w14:paraId="3E238AE7">
      <w:pPr>
        <w:spacing w:line="240" w:lineRule="auto"/>
        <w:jc w:val="center"/>
        <w:rPr>
          <w:rFonts w:hint="default" w:ascii="Times New Roman" w:hAnsi="Times New Roman" w:cs="Times New Roman"/>
        </w:rPr>
      </w:pPr>
    </w:p>
    <w:p w14:paraId="34A8522A">
      <w:p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0" distR="0">
            <wp:extent cx="3886200" cy="2833370"/>
            <wp:effectExtent l="0" t="0" r="0" b="508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6"/>
                    <a:stretch>
                      <a:fillRect/>
                    </a:stretch>
                  </pic:blipFill>
                  <pic:spPr>
                    <a:xfrm>
                      <a:off x="0" y="0"/>
                      <a:ext cx="3886200" cy="2833370"/>
                    </a:xfrm>
                    <a:prstGeom prst="rect">
                      <a:avLst/>
                    </a:prstGeom>
                  </pic:spPr>
                </pic:pic>
              </a:graphicData>
            </a:graphic>
          </wp:inline>
        </w:drawing>
      </w:r>
    </w:p>
    <w:p w14:paraId="26B1ECCE">
      <w:pPr>
        <w:pStyle w:val="27"/>
      </w:pPr>
      <w:r>
        <w:rPr>
          <w:b/>
          <w:bCs/>
        </w:rPr>
        <w:t xml:space="preserve">Figure </w:t>
      </w:r>
      <w:r>
        <w:rPr>
          <w:rFonts w:hint="eastAsia"/>
          <w:b/>
          <w:bCs/>
          <w:lang w:val="en-US" w:eastAsia="zh-CN"/>
        </w:rPr>
        <w:t>S2</w:t>
      </w:r>
      <w:r>
        <w:rPr>
          <w:b/>
          <w:bCs/>
        </w:rPr>
        <w:t xml:space="preserve">. </w:t>
      </w:r>
      <w:r>
        <w:t>Time-on-stream stability of the K-ZnO/AC catalyst for MF decomposition.</w:t>
      </w:r>
    </w:p>
    <w:p w14:paraId="4EBAE2A5">
      <w:pPr>
        <w:spacing w:line="240" w:lineRule="auto"/>
        <w:jc w:val="center"/>
        <w:rPr>
          <w:rFonts w:hint="default" w:ascii="Times New Roman" w:hAnsi="Times New Roman" w:cs="Times New Roman"/>
        </w:rPr>
      </w:pPr>
      <w:r>
        <w:drawing>
          <wp:inline distT="0" distB="0" distL="114300" distR="114300">
            <wp:extent cx="3753485" cy="2889250"/>
            <wp:effectExtent l="0" t="0" r="18415" b="635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7"/>
                    <a:stretch>
                      <a:fillRect/>
                    </a:stretch>
                  </pic:blipFill>
                  <pic:spPr>
                    <a:xfrm>
                      <a:off x="0" y="0"/>
                      <a:ext cx="3753485" cy="2889250"/>
                    </a:xfrm>
                    <a:prstGeom prst="rect">
                      <a:avLst/>
                    </a:prstGeom>
                  </pic:spPr>
                </pic:pic>
              </a:graphicData>
            </a:graphic>
          </wp:inline>
        </w:drawing>
      </w:r>
    </w:p>
    <w:p w14:paraId="33F6A682">
      <w:pPr>
        <w:pStyle w:val="27"/>
      </w:pPr>
      <w:r>
        <w:rPr>
          <w:b/>
          <w:bCs/>
        </w:rPr>
        <w:t>Figure</w:t>
      </w:r>
      <w:r>
        <w:rPr>
          <w:rFonts w:hint="eastAsia"/>
          <w:b/>
          <w:bCs/>
          <w:lang w:val="en-US" w:eastAsia="zh-CN"/>
        </w:rPr>
        <w:t xml:space="preserve"> S3. </w:t>
      </w:r>
      <w:r>
        <w:t>Rapid deactivation profile of the KOH/AC catalyst during MF decomposition.</w:t>
      </w:r>
    </w:p>
    <w:p w14:paraId="406488E7">
      <w:pPr>
        <w:jc w:val="center"/>
        <w:rPr>
          <w:rFonts w:hint="default" w:ascii="Times New Roman" w:hAnsi="Times New Roman" w:cs="Times New Roman"/>
        </w:rPr>
      </w:pPr>
    </w:p>
    <w:p w14:paraId="3F437761">
      <w:pPr>
        <w:numPr>
          <w:ilvl w:val="0"/>
          <w:numId w:val="0"/>
        </w:numPr>
        <w:rPr>
          <w:rFonts w:hint="eastAsia" w:ascii="Times New Roman" w:hAnsi="Times New Roman" w:cs="Times New Roman"/>
          <w:b/>
          <w:color w:val="auto"/>
          <w:lang w:val="en-US" w:eastAsia="zh-CN"/>
        </w:rPr>
      </w:pPr>
      <w:r>
        <w:rPr>
          <w:rFonts w:hint="eastAsia" w:ascii="Times New Roman" w:hAnsi="Times New Roman" w:cs="Times New Roman"/>
          <w:b/>
          <w:color w:val="auto"/>
          <w:lang w:val="en-US" w:eastAsia="zh-CN"/>
        </w:rPr>
        <w:t>S3.3 Metallic Catalysts</w:t>
      </w:r>
    </w:p>
    <w:p w14:paraId="6AD8CF64">
      <w:pPr>
        <w:pStyle w:val="11"/>
      </w:pPr>
      <w:r>
        <w:t>Various metal/AC catalysts were evaluated for MF decomposition:</w:t>
      </w:r>
    </w:p>
    <w:p w14:paraId="7DC63C6F">
      <w:pPr>
        <w:pStyle w:val="27"/>
      </w:pPr>
      <w:r>
        <w:t xml:space="preserve">Table </w:t>
      </w:r>
      <w:r>
        <w:rPr>
          <w:rFonts w:hint="eastAsia"/>
          <w:lang w:val="en-US" w:eastAsia="zh-CN"/>
        </w:rPr>
        <w:t>S</w:t>
      </w:r>
      <w:r>
        <w:t>3. Comparison of Catalytic Performance for MF Decomposition at 250°C</w:t>
      </w:r>
    </w:p>
    <w:tbl>
      <w:tblPr>
        <w:tblStyle w:val="19"/>
        <w:tblW w:w="500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6"/>
        <w:gridCol w:w="3463"/>
        <w:gridCol w:w="3298"/>
      </w:tblGrid>
      <w:tr w14:paraId="19E3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040" w:type="pct"/>
            <w:shd w:val="clear" w:color="auto" w:fill="auto"/>
            <w:vAlign w:val="center"/>
          </w:tcPr>
          <w:p w14:paraId="03E2FD8B">
            <w:pPr>
              <w:keepNext w:val="0"/>
              <w:keepLines w:val="0"/>
              <w:widowControl/>
              <w:suppressLineNumbers w:val="0"/>
              <w:snapToGrid w:val="0"/>
              <w:spacing w:before="0" w:beforeAutospacing="1" w:after="0" w:afterAutospacing="1"/>
              <w:ind w:left="0" w:leftChars="0" w:right="0" w:rightChars="0" w:firstLine="0" w:firstLineChars="0"/>
              <w:jc w:val="center"/>
              <w:rPr>
                <w:rFonts w:hint="default" w:ascii="Times New Roman" w:hAnsi="Times New Roman" w:eastAsia="宋体" w:cs="Times New Roman"/>
                <w:b/>
                <w:kern w:val="0"/>
                <w:sz w:val="24"/>
                <w:szCs w:val="24"/>
                <w:lang w:val="en-US" w:eastAsia="zh-CN" w:bidi="ar"/>
              </w:rPr>
            </w:pPr>
            <w:r>
              <w:rPr>
                <w:rFonts w:hint="default" w:ascii="Times New Roman" w:hAnsi="Times New Roman" w:eastAsia="宋体" w:cs="Times New Roman"/>
                <w:b/>
                <w:kern w:val="2"/>
                <w:sz w:val="21"/>
                <w:szCs w:val="24"/>
                <w:lang w:val="en-US" w:eastAsia="zh-CN" w:bidi="ar-SA"/>
              </w:rPr>
              <w:t>Catalyst</w:t>
            </w:r>
            <w:r>
              <w:rPr>
                <w:rFonts w:hint="default" w:ascii="Times New Roman" w:hAnsi="Times New Roman" w:eastAsia="宋体" w:cs="Times New Roman"/>
                <w:b/>
                <w:bCs/>
                <w:kern w:val="0"/>
                <w:sz w:val="24"/>
                <w:szCs w:val="24"/>
                <w:lang w:val="en-US" w:eastAsia="zh-CN" w:bidi="ar"/>
              </w:rPr>
              <w:t>​</w:t>
            </w:r>
          </w:p>
        </w:tc>
        <w:tc>
          <w:tcPr>
            <w:tcW w:w="2028" w:type="pct"/>
            <w:shd w:val="clear" w:color="auto" w:fill="auto"/>
            <w:vAlign w:val="center"/>
          </w:tcPr>
          <w:p w14:paraId="1A404542">
            <w:pPr>
              <w:keepNext w:val="0"/>
              <w:keepLines w:val="0"/>
              <w:widowControl/>
              <w:suppressLineNumbers w:val="0"/>
              <w:snapToGrid w:val="0"/>
              <w:spacing w:before="0" w:beforeAutospacing="1" w:after="0" w:afterAutospacing="1"/>
              <w:ind w:left="0" w:leftChars="0" w:right="0" w:rightChars="0" w:firstLine="0" w:firstLineChars="0"/>
              <w:jc w:val="center"/>
              <w:rPr>
                <w:rFonts w:hint="default" w:ascii="Times New Roman" w:hAnsi="Times New Roman" w:eastAsia="宋体" w:cs="Times New Roman"/>
                <w:b/>
                <w:kern w:val="0"/>
                <w:sz w:val="24"/>
                <w:szCs w:val="24"/>
                <w:lang w:val="en-US" w:eastAsia="zh-CN" w:bidi="ar"/>
              </w:rPr>
            </w:pPr>
            <w:r>
              <w:rPr>
                <w:rFonts w:hint="default" w:ascii="Times New Roman" w:hAnsi="Times New Roman" w:eastAsia="宋体" w:cs="Times New Roman"/>
                <w:b/>
                <w:kern w:val="2"/>
                <w:sz w:val="21"/>
                <w:szCs w:val="24"/>
                <w:lang w:val="en-US" w:eastAsia="zh-CN" w:bidi="ar-SA"/>
              </w:rPr>
              <w:t>MF Conversion (%)</w:t>
            </w:r>
            <w:r>
              <w:rPr>
                <w:rFonts w:hint="default" w:ascii="Times New Roman" w:hAnsi="Times New Roman" w:eastAsia="宋体" w:cs="Times New Roman"/>
                <w:b/>
                <w:bCs/>
                <w:kern w:val="0"/>
                <w:sz w:val="24"/>
                <w:szCs w:val="24"/>
                <w:lang w:val="en-US" w:eastAsia="zh-CN" w:bidi="ar"/>
              </w:rPr>
              <w:t>​</w:t>
            </w:r>
          </w:p>
        </w:tc>
        <w:tc>
          <w:tcPr>
            <w:tcW w:w="1931" w:type="pct"/>
            <w:shd w:val="clear" w:color="auto" w:fill="auto"/>
            <w:vAlign w:val="center"/>
          </w:tcPr>
          <w:p w14:paraId="64EDCDE9">
            <w:pPr>
              <w:keepNext w:val="0"/>
              <w:keepLines w:val="0"/>
              <w:widowControl/>
              <w:suppressLineNumbers w:val="0"/>
              <w:snapToGrid w:val="0"/>
              <w:spacing w:before="0" w:beforeAutospacing="1" w:after="0" w:afterAutospacing="1"/>
              <w:ind w:left="0" w:leftChars="0" w:right="0" w:rightChars="0" w:firstLine="0" w:firstLineChars="0"/>
              <w:jc w:val="center"/>
              <w:rPr>
                <w:rFonts w:hint="default" w:ascii="Times New Roman" w:hAnsi="Times New Roman" w:eastAsia="宋体" w:cs="Times New Roman"/>
                <w:b/>
                <w:kern w:val="0"/>
                <w:sz w:val="24"/>
                <w:szCs w:val="24"/>
                <w:lang w:val="en-US" w:eastAsia="zh-CN" w:bidi="ar"/>
              </w:rPr>
            </w:pPr>
            <w:r>
              <w:rPr>
                <w:rFonts w:hint="default" w:ascii="Times New Roman" w:hAnsi="Times New Roman" w:eastAsia="宋体" w:cs="Times New Roman"/>
                <w:b/>
                <w:kern w:val="2"/>
                <w:sz w:val="21"/>
                <w:szCs w:val="24"/>
                <w:lang w:val="en-US" w:eastAsia="zh-CN" w:bidi="ar-SA"/>
              </w:rPr>
              <w:t>CO Selectivity (%)</w:t>
            </w:r>
            <w:r>
              <w:rPr>
                <w:rFonts w:hint="default" w:ascii="Times New Roman" w:hAnsi="Times New Roman" w:eastAsia="宋体" w:cs="Times New Roman"/>
                <w:b/>
                <w:bCs/>
                <w:kern w:val="0"/>
                <w:sz w:val="24"/>
                <w:szCs w:val="24"/>
                <w:lang w:val="en-US" w:eastAsia="zh-CN" w:bidi="ar"/>
              </w:rPr>
              <w:t>​</w:t>
            </w:r>
          </w:p>
        </w:tc>
      </w:tr>
      <w:tr w14:paraId="4B5F1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040" w:type="pct"/>
            <w:shd w:val="clear" w:color="auto" w:fill="auto"/>
            <w:vAlign w:val="center"/>
          </w:tcPr>
          <w:p w14:paraId="63CF3CF8">
            <w:pPr>
              <w:keepNext w:val="0"/>
              <w:keepLines w:val="0"/>
              <w:widowControl/>
              <w:suppressLineNumbers w:val="0"/>
              <w:snapToGrid w:val="0"/>
              <w:spacing w:before="0" w:beforeAutospacing="1" w:after="0" w:afterAutospacing="1"/>
              <w:ind w:left="0" w:leftChars="0" w:right="0" w:rightChars="0" w:firstLine="0" w:firstLineChars="0"/>
              <w:jc w:val="center"/>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b/>
                <w:kern w:val="2"/>
                <w:sz w:val="21"/>
                <w:szCs w:val="24"/>
                <w:lang w:val="en-US" w:eastAsia="zh-CN" w:bidi="ar-SA"/>
              </w:rPr>
              <w:t>Co-AC</w:t>
            </w:r>
            <w:r>
              <w:rPr>
                <w:rFonts w:hint="default" w:ascii="Times New Roman" w:hAnsi="Times New Roman" w:eastAsia="宋体" w:cs="Times New Roman"/>
                <w:kern w:val="0"/>
                <w:sz w:val="24"/>
                <w:szCs w:val="24"/>
                <w:lang w:val="en-US" w:eastAsia="zh-CN" w:bidi="ar"/>
              </w:rPr>
              <w:t>​</w:t>
            </w:r>
          </w:p>
        </w:tc>
        <w:tc>
          <w:tcPr>
            <w:tcW w:w="2028" w:type="pct"/>
            <w:shd w:val="clear" w:color="auto" w:fill="auto"/>
            <w:vAlign w:val="center"/>
          </w:tcPr>
          <w:p w14:paraId="6BFF626A">
            <w:pPr>
              <w:keepNext w:val="0"/>
              <w:keepLines w:val="0"/>
              <w:widowControl/>
              <w:suppressLineNumbers w:val="0"/>
              <w:snapToGrid w:val="0"/>
              <w:spacing w:before="0" w:beforeAutospacing="1" w:after="0" w:afterAutospacing="1"/>
              <w:ind w:left="0" w:leftChars="0" w:right="0" w:rightChars="0" w:firstLine="0" w:firstLineChars="0"/>
              <w:jc w:val="center"/>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99.04</w:t>
            </w:r>
          </w:p>
        </w:tc>
        <w:tc>
          <w:tcPr>
            <w:tcW w:w="1931" w:type="pct"/>
            <w:shd w:val="clear" w:color="auto" w:fill="auto"/>
            <w:vAlign w:val="center"/>
          </w:tcPr>
          <w:p w14:paraId="789329DA">
            <w:pPr>
              <w:keepNext w:val="0"/>
              <w:keepLines w:val="0"/>
              <w:widowControl/>
              <w:suppressLineNumbers w:val="0"/>
              <w:snapToGrid w:val="0"/>
              <w:spacing w:before="0" w:beforeAutospacing="1" w:after="0" w:afterAutospacing="1"/>
              <w:ind w:left="0" w:leftChars="0" w:right="0" w:rightChars="0" w:firstLine="0" w:firstLineChars="0"/>
              <w:jc w:val="center"/>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96.15</w:t>
            </w:r>
          </w:p>
        </w:tc>
      </w:tr>
      <w:tr w14:paraId="289F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040" w:type="pct"/>
            <w:shd w:val="clear" w:color="auto" w:fill="auto"/>
            <w:vAlign w:val="center"/>
          </w:tcPr>
          <w:p w14:paraId="3E3F46A2">
            <w:pPr>
              <w:keepNext w:val="0"/>
              <w:keepLines w:val="0"/>
              <w:widowControl/>
              <w:suppressLineNumbers w:val="0"/>
              <w:snapToGrid w:val="0"/>
              <w:spacing w:before="0" w:beforeAutospacing="1" w:after="0" w:afterAutospacing="1"/>
              <w:ind w:left="0" w:leftChars="0" w:right="0" w:rightChars="0" w:firstLine="0" w:firstLineChars="0"/>
              <w:jc w:val="center"/>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b/>
                <w:kern w:val="2"/>
                <w:sz w:val="21"/>
                <w:szCs w:val="24"/>
                <w:lang w:val="en-US" w:eastAsia="zh-CN" w:bidi="ar-SA"/>
              </w:rPr>
              <w:t>Ni-AC</w:t>
            </w:r>
            <w:r>
              <w:rPr>
                <w:rFonts w:hint="default" w:ascii="Times New Roman" w:hAnsi="Times New Roman" w:eastAsia="宋体" w:cs="Times New Roman"/>
                <w:kern w:val="0"/>
                <w:sz w:val="24"/>
                <w:szCs w:val="24"/>
                <w:lang w:val="en-US" w:eastAsia="zh-CN" w:bidi="ar"/>
              </w:rPr>
              <w:t>​</w:t>
            </w:r>
          </w:p>
        </w:tc>
        <w:tc>
          <w:tcPr>
            <w:tcW w:w="2028" w:type="pct"/>
            <w:shd w:val="clear" w:color="auto" w:fill="auto"/>
            <w:vAlign w:val="center"/>
          </w:tcPr>
          <w:p w14:paraId="19FED175">
            <w:pPr>
              <w:keepNext w:val="0"/>
              <w:keepLines w:val="0"/>
              <w:widowControl/>
              <w:suppressLineNumbers w:val="0"/>
              <w:snapToGrid w:val="0"/>
              <w:spacing w:before="0" w:beforeAutospacing="1" w:after="0" w:afterAutospacing="1"/>
              <w:ind w:left="0" w:leftChars="0" w:right="0" w:rightChars="0" w:firstLine="0" w:firstLineChars="0"/>
              <w:jc w:val="center"/>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94.17</w:t>
            </w:r>
          </w:p>
        </w:tc>
        <w:tc>
          <w:tcPr>
            <w:tcW w:w="1931" w:type="pct"/>
            <w:shd w:val="clear" w:color="auto" w:fill="auto"/>
            <w:vAlign w:val="center"/>
          </w:tcPr>
          <w:p w14:paraId="419F18DD">
            <w:pPr>
              <w:keepNext w:val="0"/>
              <w:keepLines w:val="0"/>
              <w:widowControl/>
              <w:suppressLineNumbers w:val="0"/>
              <w:snapToGrid w:val="0"/>
              <w:spacing w:before="0" w:beforeAutospacing="1" w:after="0" w:afterAutospacing="1"/>
              <w:ind w:left="0" w:leftChars="0" w:right="0" w:rightChars="0" w:firstLine="0" w:firstLineChars="0"/>
              <w:jc w:val="center"/>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95.04</w:t>
            </w:r>
          </w:p>
        </w:tc>
      </w:tr>
      <w:tr w14:paraId="437E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040" w:type="pct"/>
            <w:shd w:val="clear" w:color="auto" w:fill="auto"/>
            <w:vAlign w:val="center"/>
          </w:tcPr>
          <w:p w14:paraId="5329D86D">
            <w:pPr>
              <w:keepNext w:val="0"/>
              <w:keepLines w:val="0"/>
              <w:widowControl/>
              <w:suppressLineNumbers w:val="0"/>
              <w:snapToGrid w:val="0"/>
              <w:spacing w:before="0" w:beforeAutospacing="1" w:after="0" w:afterAutospacing="1"/>
              <w:ind w:left="0" w:leftChars="0" w:right="0" w:rightChars="0" w:firstLine="0" w:firstLineChars="0"/>
              <w:jc w:val="center"/>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b/>
                <w:kern w:val="2"/>
                <w:sz w:val="21"/>
                <w:szCs w:val="24"/>
                <w:lang w:val="en-US" w:eastAsia="zh-CN" w:bidi="ar-SA"/>
              </w:rPr>
              <w:t>Pd-AC</w:t>
            </w:r>
            <w:r>
              <w:rPr>
                <w:rFonts w:hint="default" w:ascii="Times New Roman" w:hAnsi="Times New Roman" w:eastAsia="宋体" w:cs="Times New Roman"/>
                <w:kern w:val="0"/>
                <w:sz w:val="24"/>
                <w:szCs w:val="24"/>
                <w:lang w:val="en-US" w:eastAsia="zh-CN" w:bidi="ar"/>
              </w:rPr>
              <w:t>​</w:t>
            </w:r>
          </w:p>
        </w:tc>
        <w:tc>
          <w:tcPr>
            <w:tcW w:w="2028" w:type="pct"/>
            <w:shd w:val="clear" w:color="auto" w:fill="auto"/>
            <w:vAlign w:val="center"/>
          </w:tcPr>
          <w:p w14:paraId="3F8682AE">
            <w:pPr>
              <w:keepNext w:val="0"/>
              <w:keepLines w:val="0"/>
              <w:widowControl/>
              <w:suppressLineNumbers w:val="0"/>
              <w:snapToGrid w:val="0"/>
              <w:spacing w:before="0" w:beforeAutospacing="1" w:after="0" w:afterAutospacing="1"/>
              <w:ind w:left="0" w:leftChars="0" w:right="0" w:rightChars="0" w:firstLine="0" w:firstLineChars="0"/>
              <w:jc w:val="center"/>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71.50</w:t>
            </w:r>
          </w:p>
        </w:tc>
        <w:tc>
          <w:tcPr>
            <w:tcW w:w="1931" w:type="pct"/>
            <w:shd w:val="clear" w:color="auto" w:fill="auto"/>
            <w:vAlign w:val="center"/>
          </w:tcPr>
          <w:p w14:paraId="0B20D6DB">
            <w:pPr>
              <w:keepNext w:val="0"/>
              <w:keepLines w:val="0"/>
              <w:widowControl/>
              <w:suppressLineNumbers w:val="0"/>
              <w:snapToGrid w:val="0"/>
              <w:spacing w:before="0" w:beforeAutospacing="1" w:after="0" w:afterAutospacing="1"/>
              <w:ind w:left="0" w:leftChars="0" w:right="0" w:rightChars="0" w:firstLine="0" w:firstLineChars="0"/>
              <w:jc w:val="center"/>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94.41</w:t>
            </w:r>
          </w:p>
        </w:tc>
      </w:tr>
      <w:tr w14:paraId="75F5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040" w:type="pct"/>
            <w:shd w:val="clear" w:color="auto" w:fill="auto"/>
            <w:vAlign w:val="center"/>
          </w:tcPr>
          <w:p w14:paraId="311390B3">
            <w:pPr>
              <w:keepNext w:val="0"/>
              <w:keepLines w:val="0"/>
              <w:widowControl/>
              <w:suppressLineNumbers w:val="0"/>
              <w:snapToGrid w:val="0"/>
              <w:spacing w:before="0" w:beforeAutospacing="1" w:after="0" w:afterAutospacing="1"/>
              <w:ind w:left="0" w:leftChars="0" w:right="0" w:rightChars="0" w:firstLine="0" w:firstLineChars="0"/>
              <w:jc w:val="center"/>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b/>
                <w:kern w:val="2"/>
                <w:sz w:val="21"/>
                <w:szCs w:val="24"/>
                <w:lang w:val="en-US" w:eastAsia="zh-CN" w:bidi="ar-SA"/>
              </w:rPr>
              <w:t>Cu-AC</w:t>
            </w:r>
            <w:r>
              <w:rPr>
                <w:rFonts w:hint="default" w:ascii="Times New Roman" w:hAnsi="Times New Roman" w:eastAsia="宋体" w:cs="Times New Roman"/>
                <w:kern w:val="0"/>
                <w:sz w:val="24"/>
                <w:szCs w:val="24"/>
                <w:lang w:val="en-US" w:eastAsia="zh-CN" w:bidi="ar"/>
              </w:rPr>
              <w:t>​</w:t>
            </w:r>
          </w:p>
        </w:tc>
        <w:tc>
          <w:tcPr>
            <w:tcW w:w="2028" w:type="pct"/>
            <w:shd w:val="clear" w:color="auto" w:fill="auto"/>
            <w:vAlign w:val="center"/>
          </w:tcPr>
          <w:p w14:paraId="195802A9">
            <w:pPr>
              <w:keepNext w:val="0"/>
              <w:keepLines w:val="0"/>
              <w:widowControl/>
              <w:suppressLineNumbers w:val="0"/>
              <w:snapToGrid w:val="0"/>
              <w:spacing w:before="0" w:beforeAutospacing="1" w:after="0" w:afterAutospacing="1"/>
              <w:ind w:left="0" w:leftChars="0" w:right="0" w:rightChars="0" w:firstLine="0" w:firstLineChars="0"/>
              <w:jc w:val="center"/>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3.92</w:t>
            </w:r>
          </w:p>
        </w:tc>
        <w:tc>
          <w:tcPr>
            <w:tcW w:w="1931" w:type="pct"/>
            <w:shd w:val="clear" w:color="auto" w:fill="auto"/>
            <w:vAlign w:val="center"/>
          </w:tcPr>
          <w:p w14:paraId="236D8B18">
            <w:pPr>
              <w:keepNext w:val="0"/>
              <w:keepLines w:val="0"/>
              <w:widowControl/>
              <w:suppressLineNumbers w:val="0"/>
              <w:snapToGrid w:val="0"/>
              <w:spacing w:before="0" w:beforeAutospacing="1" w:after="0" w:afterAutospacing="1"/>
              <w:ind w:left="0" w:leftChars="0" w:right="0" w:rightChars="0" w:firstLine="0" w:firstLineChars="0"/>
              <w:jc w:val="center"/>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N/A</w:t>
            </w:r>
          </w:p>
        </w:tc>
      </w:tr>
      <w:tr w14:paraId="2EE4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40" w:type="pct"/>
            <w:shd w:val="clear" w:color="auto" w:fill="auto"/>
            <w:vAlign w:val="center"/>
          </w:tcPr>
          <w:p w14:paraId="560C770A">
            <w:pPr>
              <w:keepNext w:val="0"/>
              <w:keepLines w:val="0"/>
              <w:widowControl/>
              <w:suppressLineNumbers w:val="0"/>
              <w:snapToGrid w:val="0"/>
              <w:spacing w:before="0" w:beforeAutospacing="1" w:after="0" w:afterAutospacing="1"/>
              <w:ind w:left="0" w:leftChars="0" w:right="0" w:rightChars="0" w:firstLine="0" w:firstLineChars="0"/>
              <w:jc w:val="center"/>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b/>
                <w:kern w:val="2"/>
                <w:sz w:val="21"/>
                <w:szCs w:val="24"/>
                <w:lang w:val="en-US" w:eastAsia="zh-CN" w:bidi="ar-SA"/>
              </w:rPr>
              <w:t>Ag-AC</w:t>
            </w:r>
            <w:r>
              <w:rPr>
                <w:rFonts w:hint="default" w:ascii="Times New Roman" w:hAnsi="Times New Roman" w:eastAsia="宋体" w:cs="Times New Roman"/>
                <w:kern w:val="0"/>
                <w:sz w:val="24"/>
                <w:szCs w:val="24"/>
                <w:lang w:val="en-US" w:eastAsia="zh-CN" w:bidi="ar"/>
              </w:rPr>
              <w:t>​</w:t>
            </w:r>
          </w:p>
        </w:tc>
        <w:tc>
          <w:tcPr>
            <w:tcW w:w="2028" w:type="pct"/>
            <w:shd w:val="clear" w:color="auto" w:fill="auto"/>
            <w:vAlign w:val="center"/>
          </w:tcPr>
          <w:p w14:paraId="57A7B392">
            <w:pPr>
              <w:keepNext w:val="0"/>
              <w:keepLines w:val="0"/>
              <w:widowControl/>
              <w:suppressLineNumbers w:val="0"/>
              <w:snapToGrid w:val="0"/>
              <w:spacing w:before="0" w:beforeAutospacing="1" w:after="0" w:afterAutospacing="1"/>
              <w:ind w:left="0" w:leftChars="0" w:right="0" w:rightChars="0" w:firstLine="0" w:firstLineChars="0"/>
              <w:jc w:val="center"/>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1.96</w:t>
            </w:r>
          </w:p>
        </w:tc>
        <w:tc>
          <w:tcPr>
            <w:tcW w:w="1931" w:type="pct"/>
            <w:shd w:val="clear" w:color="auto" w:fill="auto"/>
            <w:vAlign w:val="center"/>
          </w:tcPr>
          <w:p w14:paraId="5D6F2A17">
            <w:pPr>
              <w:keepNext w:val="0"/>
              <w:keepLines w:val="0"/>
              <w:widowControl/>
              <w:suppressLineNumbers w:val="0"/>
              <w:snapToGrid w:val="0"/>
              <w:spacing w:before="0" w:beforeAutospacing="1" w:after="0" w:afterAutospacing="1"/>
              <w:ind w:left="0" w:leftChars="0" w:right="0" w:rightChars="0" w:firstLine="0" w:firstLineChars="0"/>
              <w:jc w:val="center"/>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N/A</w:t>
            </w:r>
          </w:p>
        </w:tc>
      </w:tr>
    </w:tbl>
    <w:p w14:paraId="1DCE535A">
      <w:pPr>
        <w:spacing w:line="240" w:lineRule="auto"/>
        <w:jc w:val="center"/>
      </w:pPr>
    </w:p>
    <w:p w14:paraId="63C52214">
      <w:pPr>
        <w:spacing w:line="240" w:lineRule="auto"/>
        <w:jc w:val="center"/>
        <w:rPr>
          <w:rFonts w:hint="default" w:ascii="Times New Roman" w:hAnsi="Times New Roman" w:cs="Times New Roman"/>
        </w:rPr>
      </w:pPr>
      <w:r>
        <w:drawing>
          <wp:inline distT="0" distB="0" distL="114300" distR="114300">
            <wp:extent cx="4483735" cy="2642870"/>
            <wp:effectExtent l="0" t="0" r="12065"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rcRect b="8693"/>
                    <a:stretch>
                      <a:fillRect/>
                    </a:stretch>
                  </pic:blipFill>
                  <pic:spPr>
                    <a:xfrm>
                      <a:off x="0" y="0"/>
                      <a:ext cx="4483735" cy="2642870"/>
                    </a:xfrm>
                    <a:prstGeom prst="rect">
                      <a:avLst/>
                    </a:prstGeom>
                    <a:noFill/>
                    <a:ln>
                      <a:noFill/>
                    </a:ln>
                  </pic:spPr>
                </pic:pic>
              </a:graphicData>
            </a:graphic>
          </wp:inline>
        </w:drawing>
      </w:r>
    </w:p>
    <w:p w14:paraId="3EA1FD10">
      <w:pPr>
        <w:pStyle w:val="27"/>
      </w:pPr>
      <w:r>
        <w:rPr>
          <w:b/>
          <w:bCs/>
        </w:rPr>
        <w:t>Figure</w:t>
      </w:r>
      <w:r>
        <w:rPr>
          <w:rFonts w:hint="eastAsia"/>
          <w:b/>
          <w:bCs/>
          <w:lang w:val="en-US" w:eastAsia="zh-CN"/>
        </w:rPr>
        <w:t xml:space="preserve"> S4</w:t>
      </w:r>
      <w:r>
        <w:rPr>
          <w:b/>
          <w:bCs/>
        </w:rPr>
        <w:t>.</w:t>
      </w:r>
      <w:r>
        <w:t xml:space="preserve"> Performance of different metal catalysts</w:t>
      </w:r>
    </w:p>
    <w:p w14:paraId="59616BE2">
      <w:pPr>
        <w:jc w:val="center"/>
        <w:rPr>
          <w:rFonts w:hint="default"/>
        </w:rPr>
      </w:pPr>
    </w:p>
    <w:p w14:paraId="295074AE">
      <w:p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0" distR="0">
            <wp:extent cx="3295650" cy="2543175"/>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9"/>
                    <a:stretch>
                      <a:fillRect/>
                    </a:stretch>
                  </pic:blipFill>
                  <pic:spPr>
                    <a:xfrm>
                      <a:off x="0" y="0"/>
                      <a:ext cx="3295650" cy="2543175"/>
                    </a:xfrm>
                    <a:prstGeom prst="rect">
                      <a:avLst/>
                    </a:prstGeom>
                  </pic:spPr>
                </pic:pic>
              </a:graphicData>
            </a:graphic>
          </wp:inline>
        </w:drawing>
      </w:r>
    </w:p>
    <w:p w14:paraId="59EAC9A4">
      <w:pPr>
        <w:pStyle w:val="27"/>
      </w:pPr>
      <w:r>
        <w:rPr>
          <w:b/>
          <w:bCs/>
        </w:rPr>
        <w:t>Figure</w:t>
      </w:r>
      <w:r>
        <w:rPr>
          <w:rFonts w:hint="eastAsia"/>
          <w:b/>
          <w:bCs/>
          <w:lang w:val="en-US" w:eastAsia="zh-CN"/>
        </w:rPr>
        <w:t xml:space="preserve"> S5</w:t>
      </w:r>
      <w:r>
        <w:rPr>
          <w:b/>
          <w:bCs/>
        </w:rPr>
        <w:t>.</w:t>
      </w:r>
      <w:r>
        <w:t xml:space="preserve"> Long-term stability of Pd/AC catalyst</w:t>
      </w:r>
    </w:p>
    <w:p w14:paraId="0C2EF405">
      <w:pPr>
        <w:numPr>
          <w:ilvl w:val="0"/>
          <w:numId w:val="0"/>
        </w:numPr>
        <w:ind w:leftChars="0"/>
        <w:rPr>
          <w:rFonts w:hint="default" w:ascii="Times New Roman" w:hAnsi="Times New Roman" w:cs="Times New Roman"/>
          <w:b/>
          <w:color w:val="auto"/>
        </w:rPr>
      </w:pPr>
      <w:r>
        <w:rPr>
          <w:rFonts w:hint="eastAsia" w:ascii="Times New Roman" w:hAnsi="Times New Roman" w:cs="Times New Roman"/>
          <w:b/>
          <w:color w:val="auto"/>
          <w:lang w:val="en-US" w:eastAsia="zh-CN"/>
        </w:rPr>
        <w:t xml:space="preserve">S4. </w:t>
      </w:r>
      <w:r>
        <w:rPr>
          <w:rFonts w:hint="default" w:ascii="Times New Roman" w:hAnsi="Times New Roman" w:cs="Times New Roman"/>
          <w:b/>
          <w:color w:val="auto"/>
        </w:rPr>
        <w:t>Catalyst Performance in the Transesterification of Dimethyl Carbonate (DMC) and Ethylene Glycol (EG)</w:t>
      </w:r>
    </w:p>
    <w:p w14:paraId="1DA118AF">
      <w:pPr>
        <w:numPr>
          <w:ilvl w:val="0"/>
          <w:numId w:val="0"/>
        </w:numPr>
        <w:rPr>
          <w:rFonts w:hint="eastAsia" w:ascii="Times New Roman" w:hAnsi="Times New Roman" w:cs="Times New Roman"/>
          <w:b/>
          <w:color w:val="auto"/>
          <w:lang w:val="en-US" w:eastAsia="zh-CN"/>
        </w:rPr>
      </w:pPr>
      <w:r>
        <w:rPr>
          <w:rFonts w:hint="eastAsia" w:ascii="Times New Roman" w:hAnsi="Times New Roman" w:cs="Times New Roman"/>
          <w:b/>
          <w:color w:val="auto"/>
          <w:lang w:val="en-US" w:eastAsia="zh-CN"/>
        </w:rPr>
        <w:t>S4.1 Oxide Catalysts Performance</w:t>
      </w:r>
    </w:p>
    <w:p w14:paraId="09ADB05C">
      <w:p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0" distR="0">
            <wp:extent cx="3381375" cy="2524125"/>
            <wp:effectExtent l="0" t="0" r="9525" b="952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0"/>
                    <a:stretch>
                      <a:fillRect/>
                    </a:stretch>
                  </pic:blipFill>
                  <pic:spPr>
                    <a:xfrm>
                      <a:off x="0" y="0"/>
                      <a:ext cx="3381375" cy="2524125"/>
                    </a:xfrm>
                    <a:prstGeom prst="rect">
                      <a:avLst/>
                    </a:prstGeom>
                  </pic:spPr>
                </pic:pic>
              </a:graphicData>
            </a:graphic>
          </wp:inline>
        </w:drawing>
      </w:r>
    </w:p>
    <w:p w14:paraId="5E28E19D">
      <w:pPr>
        <w:pStyle w:val="27"/>
      </w:pPr>
      <w:r>
        <w:rPr>
          <w:b/>
          <w:bCs/>
        </w:rPr>
        <w:t>Figure</w:t>
      </w:r>
      <w:r>
        <w:rPr>
          <w:rFonts w:hint="eastAsia"/>
          <w:b/>
          <w:bCs/>
          <w:lang w:val="en-US" w:eastAsia="zh-CN"/>
        </w:rPr>
        <w:t>S6</w:t>
      </w:r>
      <w:r>
        <w:rPr>
          <w:b/>
          <w:bCs/>
        </w:rPr>
        <w:t>.</w:t>
      </w:r>
      <w:r>
        <w:t xml:space="preserve"> Support effects on MgO catalytic activity</w:t>
      </w:r>
    </w:p>
    <w:p w14:paraId="48734BEF">
      <w:p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0" distR="0">
            <wp:extent cx="3566160" cy="2626360"/>
            <wp:effectExtent l="0" t="0" r="15240" b="2540"/>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3566160" cy="2626360"/>
                    </a:xfrm>
                    <a:prstGeom prst="rect">
                      <a:avLst/>
                    </a:prstGeom>
                  </pic:spPr>
                </pic:pic>
              </a:graphicData>
            </a:graphic>
          </wp:inline>
        </w:drawing>
      </w:r>
    </w:p>
    <w:p w14:paraId="69AA06D0">
      <w:pPr>
        <w:pStyle w:val="27"/>
      </w:pPr>
      <w:r>
        <w:rPr>
          <w:b/>
          <w:bCs/>
        </w:rPr>
        <w:t>Figure</w:t>
      </w:r>
      <w:r>
        <w:rPr>
          <w:rFonts w:hint="eastAsia"/>
          <w:b/>
          <w:bCs/>
          <w:lang w:val="en-US" w:eastAsia="zh-CN"/>
        </w:rPr>
        <w:t xml:space="preserve"> S7</w:t>
      </w:r>
      <w:r>
        <w:rPr>
          <w:b/>
          <w:bCs/>
        </w:rPr>
        <w:t>.</w:t>
      </w:r>
      <w:r>
        <w:t xml:space="preserve"> CO₂-TPD profiles of supported MgO catalysts</w:t>
      </w:r>
    </w:p>
    <w:p w14:paraId="4B35732A">
      <w:pPr>
        <w:spacing w:line="240" w:lineRule="auto"/>
        <w:jc w:val="center"/>
        <w:rPr>
          <w:rFonts w:hint="eastAsia" w:ascii="Times New Roman" w:hAnsi="Times New Roman" w:eastAsia="微软雅黑" w:cs="Times New Roman"/>
          <w:lang w:eastAsia="zh-CN"/>
        </w:rPr>
      </w:pPr>
    </w:p>
    <w:p w14:paraId="7F2E014D">
      <w:pPr>
        <w:jc w:val="center"/>
        <w:rPr>
          <w:rFonts w:hint="default" w:ascii="Times New Roman" w:hAnsi="Times New Roman" w:cs="Times New Roman"/>
        </w:rPr>
      </w:pPr>
    </w:p>
    <w:p w14:paraId="500FAF73">
      <w:pPr>
        <w:numPr>
          <w:ilvl w:val="0"/>
          <w:numId w:val="0"/>
        </w:numPr>
        <w:rPr>
          <w:rFonts w:hint="eastAsia" w:ascii="Times New Roman" w:hAnsi="Times New Roman" w:cs="Times New Roman"/>
          <w:b/>
          <w:color w:val="auto"/>
          <w:lang w:val="en-US" w:eastAsia="zh-CN"/>
        </w:rPr>
      </w:pPr>
      <w:r>
        <w:rPr>
          <w:rFonts w:hint="eastAsia" w:ascii="Times New Roman" w:hAnsi="Times New Roman" w:cs="Times New Roman"/>
          <w:b/>
          <w:color w:val="auto"/>
          <w:lang w:val="en-US" w:eastAsia="zh-CN"/>
        </w:rPr>
        <w:t>S4.2 Metallic Catalysts Performance</w:t>
      </w:r>
    </w:p>
    <w:p w14:paraId="73C3E698">
      <w:p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0" distR="0">
            <wp:extent cx="3401060" cy="2729865"/>
            <wp:effectExtent l="0" t="0" r="8890" b="1333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2"/>
                    <a:stretch>
                      <a:fillRect/>
                    </a:stretch>
                  </pic:blipFill>
                  <pic:spPr>
                    <a:xfrm>
                      <a:off x="0" y="0"/>
                      <a:ext cx="3401060" cy="2729865"/>
                    </a:xfrm>
                    <a:prstGeom prst="rect">
                      <a:avLst/>
                    </a:prstGeom>
                  </pic:spPr>
                </pic:pic>
              </a:graphicData>
            </a:graphic>
          </wp:inline>
        </w:drawing>
      </w:r>
    </w:p>
    <w:p w14:paraId="5883DA77">
      <w:pPr>
        <w:pStyle w:val="27"/>
      </w:pPr>
      <w:r>
        <w:rPr>
          <w:b/>
          <w:bCs/>
        </w:rPr>
        <w:t xml:space="preserve">Figure </w:t>
      </w:r>
      <w:r>
        <w:rPr>
          <w:rFonts w:hint="eastAsia"/>
          <w:b/>
          <w:bCs/>
          <w:lang w:val="en-US" w:eastAsia="zh-CN"/>
        </w:rPr>
        <w:t>S8</w:t>
      </w:r>
      <w:r>
        <w:rPr>
          <w:b/>
          <w:bCs/>
        </w:rPr>
        <w:t>.</w:t>
      </w:r>
      <w:r>
        <w:t xml:space="preserve"> Transesterification activity of metal/AC catalysts</w:t>
      </w:r>
    </w:p>
    <w:p w14:paraId="4D7231BE">
      <w:p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0" distR="0">
            <wp:extent cx="3479165" cy="2776855"/>
            <wp:effectExtent l="0" t="0" r="6985" b="444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3"/>
                    <a:stretch>
                      <a:fillRect/>
                    </a:stretch>
                  </pic:blipFill>
                  <pic:spPr>
                    <a:xfrm>
                      <a:off x="0" y="0"/>
                      <a:ext cx="3479165" cy="2776855"/>
                    </a:xfrm>
                    <a:prstGeom prst="rect">
                      <a:avLst/>
                    </a:prstGeom>
                  </pic:spPr>
                </pic:pic>
              </a:graphicData>
            </a:graphic>
          </wp:inline>
        </w:drawing>
      </w:r>
    </w:p>
    <w:p w14:paraId="3F060677">
      <w:pPr>
        <w:pStyle w:val="27"/>
      </w:pPr>
      <w:r>
        <w:rPr>
          <w:b/>
          <w:bCs/>
        </w:rPr>
        <w:t xml:space="preserve">Figure </w:t>
      </w:r>
      <w:r>
        <w:rPr>
          <w:rFonts w:hint="eastAsia"/>
          <w:b/>
          <w:bCs/>
          <w:lang w:val="en-US" w:eastAsia="zh-CN"/>
        </w:rPr>
        <w:t>S9</w:t>
      </w:r>
      <w:r>
        <w:rPr>
          <w:b/>
          <w:bCs/>
        </w:rPr>
        <w:t>.</w:t>
      </w:r>
      <w:r>
        <w:t xml:space="preserve"> CO₂-TPD profiles of metal/AC catalysts</w:t>
      </w:r>
    </w:p>
    <w:p w14:paraId="4752C78B"/>
    <w:p w14:paraId="5FCE02BA">
      <w:pPr>
        <w:numPr>
          <w:ilvl w:val="0"/>
          <w:numId w:val="0"/>
        </w:numPr>
        <w:rPr>
          <w:rFonts w:hint="eastAsia" w:ascii="Times New Roman" w:hAnsi="Times New Roman" w:cs="Times New Roman"/>
          <w:b/>
          <w:color w:val="auto"/>
          <w:lang w:val="en-US" w:eastAsia="zh-CN"/>
        </w:rPr>
      </w:pPr>
      <w:r>
        <w:rPr>
          <w:rFonts w:hint="eastAsia" w:ascii="Times New Roman" w:hAnsi="Times New Roman" w:cs="Times New Roman"/>
          <w:b/>
          <w:color w:val="auto"/>
          <w:lang w:val="en-US" w:eastAsia="zh-CN"/>
        </w:rPr>
        <w:t>S4.3 Performance in a Thermodynamically Constrained Reaction: DMC + Phenol</w:t>
      </w:r>
    </w:p>
    <w:p w14:paraId="217F4EC7">
      <w:pPr>
        <w:pStyle w:val="11"/>
        <w:rPr>
          <w:rFonts w:hint="eastAsia"/>
          <w:color w:val="auto"/>
        </w:rPr>
      </w:pPr>
      <w:r>
        <w:rPr>
          <w:rFonts w:hint="eastAsia"/>
          <w:color w:val="auto"/>
        </w:rPr>
        <w:t>The transesterification of DMC with phenol is notoriously challenging due to a low thermodynamic equilibrium conversion (~10</w:t>
      </w:r>
      <w:r>
        <w:rPr>
          <w:rFonts w:hint="eastAsia"/>
          <w:color w:val="auto"/>
          <w:vertAlign w:val="superscript"/>
          <w:lang w:val="en-US" w:eastAsia="zh-CN"/>
        </w:rPr>
        <w:t>-4</w:t>
      </w:r>
      <w:r>
        <w:rPr>
          <w:rFonts w:hint="eastAsia"/>
          <w:color w:val="auto"/>
        </w:rPr>
        <w:t xml:space="preserve">). Conventional processes rely on reactive distillation. Using our standard catalyst series in a batch reactor, materials with high electron-donating capability (e.g., </w:t>
      </w:r>
      <w:r>
        <w:rPr>
          <w:rFonts w:hint="eastAsia"/>
          <w:color w:val="auto"/>
          <w:lang w:val="en-US" w:eastAsia="zh-CN"/>
        </w:rPr>
        <w:t>Ag</w:t>
      </w:r>
      <w:r>
        <w:rPr>
          <w:rFonts w:hint="eastAsia"/>
          <w:color w:val="auto"/>
        </w:rPr>
        <w:t xml:space="preserve">/AC) achieved </w:t>
      </w:r>
      <w:r>
        <w:rPr>
          <w:rFonts w:hint="eastAsia"/>
          <w:color w:val="auto"/>
          <w:lang w:val="en-US" w:eastAsia="zh-CN"/>
        </w:rPr>
        <w:t>~</w:t>
      </w:r>
      <w:r>
        <w:rPr>
          <w:rFonts w:hint="eastAsia"/>
          <w:color w:val="auto"/>
        </w:rPr>
        <w:t>10% single-pass conversion without process intensification. This result not only surpasses the thermodynamic limit but also confirms that the electron-donating capability descriptor remains valid even for highly unfavorable reactions, underscoring its broad applicability. Data are shown in Table</w:t>
      </w:r>
      <w:r>
        <w:rPr>
          <w:rFonts w:hint="eastAsia"/>
          <w:color w:val="auto"/>
          <w:lang w:val="en-US" w:eastAsia="zh-CN"/>
        </w:rPr>
        <w:t xml:space="preserve"> S4</w:t>
      </w:r>
      <w:r>
        <w:rPr>
          <w:rFonts w:hint="eastAsia"/>
          <w:color w:val="auto"/>
        </w:rPr>
        <w:t>.</w:t>
      </w:r>
    </w:p>
    <w:p w14:paraId="46A18E30">
      <w:pPr>
        <w:pStyle w:val="11"/>
        <w:rPr>
          <w:rFonts w:hint="eastAsia" w:eastAsia="宋体"/>
          <w:color w:val="auto"/>
          <w:lang w:val="en-US" w:eastAsia="zh-CN"/>
        </w:rPr>
      </w:pPr>
      <w:r>
        <w:rPr>
          <w:rFonts w:hint="eastAsia"/>
          <w:b/>
          <w:bCs/>
          <w:color w:val="auto"/>
        </w:rPr>
        <w:t>Table</w:t>
      </w:r>
      <w:r>
        <w:rPr>
          <w:rFonts w:hint="eastAsia"/>
          <w:b/>
          <w:bCs/>
          <w:color w:val="auto"/>
          <w:lang w:val="en-US" w:eastAsia="zh-CN"/>
        </w:rPr>
        <w:t xml:space="preserve"> S4</w:t>
      </w:r>
      <w:r>
        <w:rPr>
          <w:rFonts w:hint="eastAsia"/>
          <w:b/>
          <w:bCs/>
          <w:color w:val="auto"/>
        </w:rPr>
        <w:t>.</w:t>
      </w:r>
      <w:r>
        <w:rPr>
          <w:rFonts w:hint="eastAsia"/>
          <w:b/>
          <w:bCs/>
          <w:color w:val="auto"/>
          <w:lang w:val="en-US" w:eastAsia="zh-CN"/>
        </w:rPr>
        <w:t xml:space="preserve"> </w:t>
      </w:r>
      <w:r>
        <w:rPr>
          <w:rFonts w:hint="eastAsia"/>
          <w:color w:val="auto"/>
          <w:lang w:val="en-US" w:eastAsia="zh-CN"/>
        </w:rPr>
        <w:t xml:space="preserve"> Catalytic Performance of Various Catalysts in the Transesterification of DMC with Phenol</w:t>
      </w:r>
    </w:p>
    <w:tbl>
      <w:tblPr>
        <w:tblStyle w:val="19"/>
        <w:tblW w:w="7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8"/>
        <w:gridCol w:w="2631"/>
        <w:gridCol w:w="2560"/>
      </w:tblGrid>
      <w:tr w14:paraId="202DF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jc w:val="center"/>
        </w:trPr>
        <w:tc>
          <w:tcPr>
            <w:tcW w:w="2488" w:type="dxa"/>
            <w:vAlign w:val="top"/>
          </w:tcPr>
          <w:p w14:paraId="626F0671">
            <w:pPr>
              <w:jc w:val="center"/>
              <w:rPr>
                <w:rFonts w:cs="Times New Roman" w:eastAsiaTheme="minorEastAsia"/>
                <w:color w:val="auto"/>
              </w:rPr>
            </w:pPr>
            <w:r>
              <w:rPr>
                <w:rFonts w:hint="default" w:ascii="Times New Roman" w:hAnsi="Times New Roman" w:eastAsia="宋体" w:cs="Times New Roman"/>
                <w:b/>
                <w:color w:val="auto"/>
                <w:kern w:val="2"/>
                <w:sz w:val="21"/>
                <w:szCs w:val="24"/>
                <w:lang w:val="en-US" w:eastAsia="zh-CN" w:bidi="ar-SA"/>
              </w:rPr>
              <w:t>Catalyst</w:t>
            </w:r>
            <w:r>
              <w:rPr>
                <w:rFonts w:hint="default" w:ascii="Times New Roman" w:hAnsi="Times New Roman" w:eastAsia="宋体" w:cs="Times New Roman"/>
                <w:b/>
                <w:bCs/>
                <w:color w:val="auto"/>
                <w:kern w:val="0"/>
                <w:sz w:val="24"/>
                <w:szCs w:val="24"/>
                <w:lang w:val="en-US" w:eastAsia="zh-CN" w:bidi="ar"/>
              </w:rPr>
              <w:t>​</w:t>
            </w:r>
          </w:p>
        </w:tc>
        <w:tc>
          <w:tcPr>
            <w:tcW w:w="2631" w:type="dxa"/>
            <w:vAlign w:val="top"/>
          </w:tcPr>
          <w:p w14:paraId="1FC26708">
            <w:pPr>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Phenol</w:t>
            </w:r>
            <w:r>
              <w:rPr>
                <w:rFonts w:hint="eastAsia" w:ascii="Times New Roman" w:hAnsi="Times New Roman" w:eastAsia="宋体" w:cs="Times New Roman"/>
                <w:b/>
                <w:color w:val="auto"/>
                <w:kern w:val="2"/>
                <w:sz w:val="21"/>
                <w:szCs w:val="24"/>
                <w:lang w:val="en-US" w:eastAsia="zh-CN" w:bidi="ar-SA"/>
              </w:rPr>
              <w:t xml:space="preserve"> </w:t>
            </w:r>
            <w:r>
              <w:rPr>
                <w:rFonts w:hint="default" w:ascii="Times New Roman" w:hAnsi="Times New Roman" w:eastAsia="宋体" w:cs="Times New Roman"/>
                <w:b/>
                <w:color w:val="auto"/>
                <w:kern w:val="2"/>
                <w:sz w:val="21"/>
                <w:szCs w:val="24"/>
                <w:lang w:val="en-US" w:eastAsia="zh-CN" w:bidi="ar-SA"/>
              </w:rPr>
              <w:t>Conv</w:t>
            </w:r>
            <w:r>
              <w:rPr>
                <w:rFonts w:hint="eastAsia" w:ascii="Times New Roman" w:hAnsi="Times New Roman" w:eastAsia="宋体" w:cs="Times New Roman"/>
                <w:b/>
                <w:color w:val="auto"/>
                <w:kern w:val="2"/>
                <w:sz w:val="21"/>
                <w:szCs w:val="24"/>
                <w:lang w:val="en-US" w:eastAsia="zh-CN" w:bidi="ar-SA"/>
              </w:rPr>
              <w:t>.</w:t>
            </w:r>
            <w:r>
              <w:rPr>
                <w:rFonts w:hint="default" w:ascii="Times New Roman" w:hAnsi="Times New Roman" w:eastAsia="宋体" w:cs="Times New Roman"/>
                <w:b/>
                <w:color w:val="auto"/>
                <w:kern w:val="2"/>
                <w:sz w:val="21"/>
                <w:szCs w:val="24"/>
                <w:lang w:val="en-US" w:eastAsia="zh-CN" w:bidi="ar-SA"/>
              </w:rPr>
              <w:t>(%)</w:t>
            </w:r>
          </w:p>
        </w:tc>
        <w:tc>
          <w:tcPr>
            <w:tcW w:w="2560" w:type="dxa"/>
            <w:vAlign w:val="top"/>
          </w:tcPr>
          <w:p w14:paraId="4F52DEC1">
            <w:pPr>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MPC Selectivity (%)​</w:t>
            </w:r>
          </w:p>
        </w:tc>
      </w:tr>
      <w:tr w14:paraId="4210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488" w:type="dxa"/>
            <w:vAlign w:val="top"/>
          </w:tcPr>
          <w:p w14:paraId="1E3A41E9">
            <w:pPr>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Co</w:t>
            </w:r>
            <w:r>
              <w:rPr>
                <w:rFonts w:hint="default" w:ascii="Times New Roman" w:hAnsi="Times New Roman" w:cs="Times New Roman" w:eastAsiaTheme="minorEastAsia"/>
                <w:color w:val="auto"/>
                <w:lang w:val="en-US" w:eastAsia="zh-CN"/>
              </w:rPr>
              <w:t>/AC</w:t>
            </w:r>
          </w:p>
        </w:tc>
        <w:tc>
          <w:tcPr>
            <w:tcW w:w="2631" w:type="dxa"/>
            <w:vAlign w:val="top"/>
          </w:tcPr>
          <w:p w14:paraId="3BFF5C17">
            <w:pPr>
              <w:jc w:val="center"/>
              <w:rPr>
                <w:rFonts w:hint="default" w:ascii="Times New Roman" w:hAnsi="Times New Roman" w:cs="Times New Roman" w:eastAsiaTheme="minorEastAsia"/>
                <w:color w:val="auto"/>
              </w:rPr>
            </w:pPr>
            <w:r>
              <w:rPr>
                <w:rFonts w:hint="default" w:ascii="Times New Roman" w:hAnsi="Times New Roman" w:cs="Times New Roman"/>
                <w:color w:val="auto"/>
              </w:rPr>
              <w:t>3.</w:t>
            </w:r>
            <w:r>
              <w:rPr>
                <w:rFonts w:hint="default" w:ascii="Times New Roman" w:hAnsi="Times New Roman" w:cs="Times New Roman"/>
                <w:color w:val="auto"/>
                <w:lang w:val="en-US" w:eastAsia="zh-CN"/>
              </w:rPr>
              <w:t>9</w:t>
            </w:r>
            <w:r>
              <w:rPr>
                <w:rFonts w:hint="default" w:ascii="Times New Roman" w:hAnsi="Times New Roman" w:cs="Times New Roman"/>
                <w:color w:val="auto"/>
              </w:rPr>
              <w:t>%</w:t>
            </w:r>
          </w:p>
        </w:tc>
        <w:tc>
          <w:tcPr>
            <w:tcW w:w="2560" w:type="dxa"/>
            <w:vAlign w:val="top"/>
          </w:tcPr>
          <w:p w14:paraId="4E7CAD08">
            <w:pPr>
              <w:jc w:val="center"/>
              <w:rPr>
                <w:rFonts w:hint="default" w:ascii="Times New Roman" w:hAnsi="Times New Roman" w:cs="Times New Roman" w:eastAsiaTheme="minorEastAsia"/>
                <w:color w:val="auto"/>
              </w:rPr>
            </w:pPr>
            <w:r>
              <w:rPr>
                <w:rFonts w:hint="default" w:ascii="Times New Roman" w:hAnsi="Times New Roman" w:cs="Times New Roman"/>
                <w:color w:val="auto"/>
              </w:rPr>
              <w:t>78.</w:t>
            </w:r>
            <w:r>
              <w:rPr>
                <w:rFonts w:hint="default" w:ascii="Times New Roman" w:hAnsi="Times New Roman" w:cs="Times New Roman"/>
                <w:color w:val="auto"/>
                <w:lang w:val="en-US" w:eastAsia="zh-CN"/>
              </w:rPr>
              <w:t>1</w:t>
            </w:r>
            <w:r>
              <w:rPr>
                <w:rFonts w:hint="default" w:ascii="Times New Roman" w:hAnsi="Times New Roman" w:cs="Times New Roman"/>
                <w:color w:val="auto"/>
              </w:rPr>
              <w:t>%</w:t>
            </w:r>
          </w:p>
        </w:tc>
      </w:tr>
      <w:tr w14:paraId="31E3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488" w:type="dxa"/>
            <w:vAlign w:val="top"/>
          </w:tcPr>
          <w:p w14:paraId="0C4F365E">
            <w:pPr>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Ni</w:t>
            </w:r>
            <w:r>
              <w:rPr>
                <w:rFonts w:hint="default" w:ascii="Times New Roman" w:hAnsi="Times New Roman" w:cs="Times New Roman" w:eastAsiaTheme="minorEastAsia"/>
                <w:color w:val="auto"/>
                <w:lang w:val="en-US" w:eastAsia="zh-CN"/>
              </w:rPr>
              <w:t>/AC</w:t>
            </w:r>
          </w:p>
        </w:tc>
        <w:tc>
          <w:tcPr>
            <w:tcW w:w="2631" w:type="dxa"/>
            <w:vAlign w:val="top"/>
          </w:tcPr>
          <w:p w14:paraId="55E57389">
            <w:pPr>
              <w:jc w:val="center"/>
              <w:rPr>
                <w:rFonts w:hint="default" w:ascii="Times New Roman" w:hAnsi="Times New Roman" w:cs="Times New Roman" w:eastAsiaTheme="minorEastAsia"/>
                <w:color w:val="auto"/>
              </w:rPr>
            </w:pPr>
            <w:r>
              <w:rPr>
                <w:rFonts w:hint="default" w:ascii="Times New Roman" w:hAnsi="Times New Roman" w:cs="Times New Roman"/>
                <w:color w:val="auto"/>
              </w:rPr>
              <w:t>4.1%</w:t>
            </w:r>
          </w:p>
        </w:tc>
        <w:tc>
          <w:tcPr>
            <w:tcW w:w="2560" w:type="dxa"/>
            <w:vAlign w:val="top"/>
          </w:tcPr>
          <w:p w14:paraId="5E8E423C">
            <w:pPr>
              <w:jc w:val="center"/>
              <w:rPr>
                <w:rFonts w:hint="default" w:ascii="Times New Roman" w:hAnsi="Times New Roman" w:cs="Times New Roman" w:eastAsiaTheme="minorEastAsia"/>
                <w:color w:val="auto"/>
              </w:rPr>
            </w:pPr>
            <w:r>
              <w:rPr>
                <w:rFonts w:hint="default" w:ascii="Times New Roman" w:hAnsi="Times New Roman" w:cs="Times New Roman"/>
                <w:color w:val="auto"/>
              </w:rPr>
              <w:t>63.2%</w:t>
            </w:r>
          </w:p>
        </w:tc>
      </w:tr>
      <w:tr w14:paraId="79591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488" w:type="dxa"/>
            <w:vAlign w:val="top"/>
          </w:tcPr>
          <w:p w14:paraId="6F350BFE">
            <w:pPr>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Cu</w:t>
            </w:r>
            <w:r>
              <w:rPr>
                <w:rFonts w:hint="default" w:ascii="Times New Roman" w:hAnsi="Times New Roman" w:cs="Times New Roman" w:eastAsiaTheme="minorEastAsia"/>
                <w:color w:val="auto"/>
                <w:lang w:val="en-US" w:eastAsia="zh-CN"/>
              </w:rPr>
              <w:t>/AC</w:t>
            </w:r>
          </w:p>
        </w:tc>
        <w:tc>
          <w:tcPr>
            <w:tcW w:w="2631" w:type="dxa"/>
            <w:vAlign w:val="top"/>
          </w:tcPr>
          <w:p w14:paraId="6119F241">
            <w:pPr>
              <w:jc w:val="center"/>
              <w:rPr>
                <w:rFonts w:hint="default" w:ascii="Times New Roman" w:hAnsi="Times New Roman" w:cs="Times New Roman" w:eastAsiaTheme="minorEastAsia"/>
                <w:color w:val="auto"/>
              </w:rPr>
            </w:pPr>
            <w:r>
              <w:rPr>
                <w:rFonts w:hint="default" w:ascii="Times New Roman" w:hAnsi="Times New Roman" w:cs="Times New Roman"/>
                <w:color w:val="auto"/>
              </w:rPr>
              <w:t>5.9%</w:t>
            </w:r>
          </w:p>
        </w:tc>
        <w:tc>
          <w:tcPr>
            <w:tcW w:w="2560" w:type="dxa"/>
            <w:vAlign w:val="top"/>
          </w:tcPr>
          <w:p w14:paraId="3B6F7F81">
            <w:pPr>
              <w:jc w:val="center"/>
              <w:rPr>
                <w:rFonts w:hint="default" w:ascii="Times New Roman" w:hAnsi="Times New Roman" w:cs="Times New Roman" w:eastAsiaTheme="minorEastAsia"/>
                <w:color w:val="auto"/>
              </w:rPr>
            </w:pPr>
            <w:r>
              <w:rPr>
                <w:rFonts w:hint="default" w:ascii="Times New Roman" w:hAnsi="Times New Roman" w:cs="Times New Roman"/>
                <w:color w:val="auto"/>
              </w:rPr>
              <w:t>64.</w:t>
            </w:r>
            <w:r>
              <w:rPr>
                <w:rFonts w:hint="default" w:ascii="Times New Roman" w:hAnsi="Times New Roman" w:cs="Times New Roman"/>
                <w:color w:val="auto"/>
                <w:lang w:val="en-US" w:eastAsia="zh-CN"/>
              </w:rPr>
              <w:t>8</w:t>
            </w:r>
            <w:r>
              <w:rPr>
                <w:rFonts w:hint="default" w:ascii="Times New Roman" w:hAnsi="Times New Roman" w:cs="Times New Roman"/>
                <w:color w:val="auto"/>
              </w:rPr>
              <w:t>%</w:t>
            </w:r>
          </w:p>
        </w:tc>
      </w:tr>
      <w:tr w14:paraId="5809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488" w:type="dxa"/>
            <w:vAlign w:val="top"/>
          </w:tcPr>
          <w:p w14:paraId="69593D97">
            <w:pPr>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Ag</w:t>
            </w:r>
            <w:r>
              <w:rPr>
                <w:rFonts w:hint="default" w:ascii="Times New Roman" w:hAnsi="Times New Roman" w:cs="Times New Roman" w:eastAsiaTheme="minorEastAsia"/>
                <w:color w:val="auto"/>
                <w:lang w:val="en-US" w:eastAsia="zh-CN"/>
              </w:rPr>
              <w:t>/AC</w:t>
            </w:r>
          </w:p>
        </w:tc>
        <w:tc>
          <w:tcPr>
            <w:tcW w:w="2631" w:type="dxa"/>
            <w:vAlign w:val="top"/>
          </w:tcPr>
          <w:p w14:paraId="1F9CCAF6">
            <w:pPr>
              <w:jc w:val="center"/>
              <w:rPr>
                <w:rFonts w:hint="default" w:ascii="Times New Roman" w:hAnsi="Times New Roman" w:cs="Times New Roman" w:eastAsiaTheme="minorEastAsia"/>
                <w:color w:val="auto"/>
              </w:rPr>
            </w:pPr>
            <w:r>
              <w:rPr>
                <w:rFonts w:hint="default" w:ascii="Times New Roman" w:hAnsi="Times New Roman" w:cs="Times New Roman"/>
                <w:color w:val="auto"/>
              </w:rPr>
              <w:t>6.</w:t>
            </w:r>
            <w:r>
              <w:rPr>
                <w:rFonts w:hint="default" w:ascii="Times New Roman" w:hAnsi="Times New Roman" w:cs="Times New Roman"/>
                <w:color w:val="auto"/>
                <w:lang w:val="en-US" w:eastAsia="zh-CN"/>
              </w:rPr>
              <w:t>8</w:t>
            </w:r>
            <w:r>
              <w:rPr>
                <w:rFonts w:hint="default" w:ascii="Times New Roman" w:hAnsi="Times New Roman" w:cs="Times New Roman"/>
                <w:color w:val="auto"/>
              </w:rPr>
              <w:t>%</w:t>
            </w:r>
          </w:p>
        </w:tc>
        <w:tc>
          <w:tcPr>
            <w:tcW w:w="2560" w:type="dxa"/>
            <w:vAlign w:val="top"/>
          </w:tcPr>
          <w:p w14:paraId="5D22F191">
            <w:pPr>
              <w:jc w:val="center"/>
              <w:rPr>
                <w:rFonts w:hint="default" w:ascii="Times New Roman" w:hAnsi="Times New Roman" w:cs="Times New Roman" w:eastAsiaTheme="minorEastAsia"/>
                <w:color w:val="auto"/>
              </w:rPr>
            </w:pPr>
            <w:r>
              <w:rPr>
                <w:rFonts w:hint="default" w:ascii="Times New Roman" w:hAnsi="Times New Roman" w:cs="Times New Roman"/>
                <w:color w:val="auto"/>
              </w:rPr>
              <w:t>75.</w:t>
            </w:r>
            <w:r>
              <w:rPr>
                <w:rFonts w:hint="default" w:ascii="Times New Roman" w:hAnsi="Times New Roman" w:cs="Times New Roman"/>
                <w:color w:val="auto"/>
                <w:lang w:val="en-US" w:eastAsia="zh-CN"/>
              </w:rPr>
              <w:t>5</w:t>
            </w:r>
            <w:r>
              <w:rPr>
                <w:rFonts w:hint="default" w:ascii="Times New Roman" w:hAnsi="Times New Roman" w:cs="Times New Roman"/>
                <w:color w:val="auto"/>
              </w:rPr>
              <w:t>%</w:t>
            </w:r>
          </w:p>
        </w:tc>
      </w:tr>
      <w:tr w14:paraId="4EB44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88" w:type="dxa"/>
            <w:vAlign w:val="top"/>
          </w:tcPr>
          <w:p w14:paraId="058B6660">
            <w:pPr>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Pd</w:t>
            </w:r>
            <w:r>
              <w:rPr>
                <w:rFonts w:hint="default" w:ascii="Times New Roman" w:hAnsi="Times New Roman" w:cs="Times New Roman" w:eastAsiaTheme="minorEastAsia"/>
                <w:color w:val="auto"/>
                <w:lang w:val="en-US" w:eastAsia="zh-CN"/>
              </w:rPr>
              <w:t>/AC</w:t>
            </w:r>
          </w:p>
        </w:tc>
        <w:tc>
          <w:tcPr>
            <w:tcW w:w="2631" w:type="dxa"/>
            <w:vAlign w:val="top"/>
          </w:tcPr>
          <w:p w14:paraId="4FE32BC5">
            <w:pPr>
              <w:jc w:val="center"/>
              <w:rPr>
                <w:rFonts w:hint="default" w:ascii="Times New Roman" w:hAnsi="Times New Roman" w:cs="Times New Roman" w:eastAsiaTheme="minorEastAsia"/>
                <w:color w:val="auto"/>
              </w:rPr>
            </w:pPr>
            <w:r>
              <w:rPr>
                <w:rFonts w:hint="default" w:ascii="Times New Roman" w:hAnsi="Times New Roman" w:cs="Times New Roman"/>
                <w:color w:val="auto"/>
              </w:rPr>
              <w:t>6.</w:t>
            </w:r>
            <w:r>
              <w:rPr>
                <w:rFonts w:hint="default" w:ascii="Times New Roman" w:hAnsi="Times New Roman" w:cs="Times New Roman"/>
                <w:color w:val="auto"/>
                <w:lang w:val="en-US" w:eastAsia="zh-CN"/>
              </w:rPr>
              <w:t>1</w:t>
            </w:r>
            <w:r>
              <w:rPr>
                <w:rFonts w:hint="default" w:ascii="Times New Roman" w:hAnsi="Times New Roman" w:cs="Times New Roman"/>
                <w:color w:val="auto"/>
              </w:rPr>
              <w:t>%</w:t>
            </w:r>
          </w:p>
        </w:tc>
        <w:tc>
          <w:tcPr>
            <w:tcW w:w="2560" w:type="dxa"/>
            <w:vAlign w:val="top"/>
          </w:tcPr>
          <w:p w14:paraId="5912F590">
            <w:pPr>
              <w:jc w:val="center"/>
              <w:rPr>
                <w:rFonts w:hint="default" w:ascii="Times New Roman" w:hAnsi="Times New Roman" w:cs="Times New Roman" w:eastAsiaTheme="minorEastAsia"/>
                <w:color w:val="auto"/>
              </w:rPr>
            </w:pPr>
            <w:r>
              <w:rPr>
                <w:rFonts w:hint="default" w:ascii="Times New Roman" w:hAnsi="Times New Roman" w:cs="Times New Roman"/>
                <w:color w:val="auto"/>
              </w:rPr>
              <w:t>63</w:t>
            </w:r>
            <w:r>
              <w:rPr>
                <w:rFonts w:hint="default" w:ascii="Times New Roman" w:hAnsi="Times New Roman" w:cs="Times New Roman"/>
                <w:color w:val="auto"/>
                <w:lang w:val="en-US" w:eastAsia="zh-CN"/>
              </w:rPr>
              <w:t>.0</w:t>
            </w:r>
            <w:r>
              <w:rPr>
                <w:rFonts w:hint="default" w:ascii="Times New Roman" w:hAnsi="Times New Roman" w:cs="Times New Roman"/>
                <w:color w:val="auto"/>
              </w:rPr>
              <w:t>%</w:t>
            </w:r>
          </w:p>
        </w:tc>
      </w:tr>
      <w:tr w14:paraId="4F1C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88" w:type="dxa"/>
            <w:shd w:val="clear" w:color="auto" w:fill="auto"/>
            <w:vAlign w:val="top"/>
          </w:tcPr>
          <w:p w14:paraId="3A1E5BE8">
            <w:pPr>
              <w:jc w:val="center"/>
              <w:rPr>
                <w:rFonts w:hint="default" w:ascii="Times New Roman" w:hAnsi="Times New Roman" w:cs="Times New Roman" w:eastAsiaTheme="minorEastAsia"/>
                <w:color w:val="auto"/>
                <w:kern w:val="2"/>
                <w:sz w:val="22"/>
                <w:szCs w:val="24"/>
                <w:lang w:val="en-US" w:eastAsia="zh-CN" w:bidi="ar-SA"/>
              </w:rPr>
            </w:pPr>
            <w:r>
              <w:rPr>
                <w:rFonts w:hint="default" w:ascii="Times New Roman" w:hAnsi="Times New Roman" w:cs="Times New Roman" w:eastAsiaTheme="minorEastAsia"/>
                <w:color w:val="auto"/>
                <w:lang w:val="en-US" w:eastAsia="zh-CN"/>
              </w:rPr>
              <w:t>*</w:t>
            </w:r>
            <w:r>
              <w:rPr>
                <w:rFonts w:hint="default" w:ascii="Times New Roman" w:hAnsi="Times New Roman" w:cs="Times New Roman" w:eastAsiaTheme="minorEastAsia"/>
                <w:color w:val="auto"/>
              </w:rPr>
              <w:t>Mg(OH)</w:t>
            </w:r>
            <w:r>
              <w:rPr>
                <w:rFonts w:hint="default" w:ascii="Times New Roman" w:hAnsi="Times New Roman" w:cs="Times New Roman" w:eastAsiaTheme="minorEastAsia"/>
                <w:color w:val="auto"/>
                <w:vertAlign w:val="subscript"/>
              </w:rPr>
              <w:t>2</w:t>
            </w:r>
            <w:r>
              <w:rPr>
                <w:rFonts w:hint="default" w:ascii="Times New Roman" w:hAnsi="Times New Roman" w:cs="Times New Roman" w:eastAsiaTheme="minorEastAsia"/>
                <w:color w:val="auto"/>
              </w:rPr>
              <w:t xml:space="preserve"> nanoflakes</w:t>
            </w:r>
          </w:p>
        </w:tc>
        <w:tc>
          <w:tcPr>
            <w:tcW w:w="2631" w:type="dxa"/>
            <w:shd w:val="clear" w:color="auto" w:fill="auto"/>
            <w:vAlign w:val="top"/>
          </w:tcPr>
          <w:p w14:paraId="0B4A8ACE">
            <w:pPr>
              <w:jc w:val="center"/>
              <w:rPr>
                <w:rFonts w:hint="default" w:ascii="Times New Roman" w:hAnsi="Times New Roman" w:cs="Times New Roman" w:eastAsiaTheme="minorEastAsia"/>
                <w:color w:val="auto"/>
                <w:kern w:val="2"/>
                <w:sz w:val="22"/>
                <w:szCs w:val="24"/>
                <w:lang w:val="en-US" w:eastAsia="zh-CN" w:bidi="ar-SA"/>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en-US" w:eastAsia="zh-CN"/>
              </w:rPr>
              <w:t>6</w:t>
            </w:r>
            <w:r>
              <w:rPr>
                <w:rFonts w:hint="default" w:ascii="Times New Roman" w:hAnsi="Times New Roman" w:cs="Times New Roman" w:eastAsiaTheme="minorEastAsia"/>
                <w:color w:val="auto"/>
              </w:rPr>
              <w:t>%</w:t>
            </w:r>
          </w:p>
        </w:tc>
        <w:tc>
          <w:tcPr>
            <w:tcW w:w="2560" w:type="dxa"/>
            <w:shd w:val="clear" w:color="auto" w:fill="auto"/>
            <w:vAlign w:val="top"/>
          </w:tcPr>
          <w:p w14:paraId="79223209">
            <w:pPr>
              <w:jc w:val="center"/>
              <w:rPr>
                <w:rFonts w:hint="default" w:ascii="Times New Roman" w:hAnsi="Times New Roman" w:cs="Times New Roman" w:eastAsiaTheme="minorEastAsia"/>
                <w:color w:val="auto"/>
                <w:kern w:val="2"/>
                <w:sz w:val="22"/>
                <w:szCs w:val="24"/>
                <w:lang w:val="en-US" w:eastAsia="zh-CN" w:bidi="ar-SA"/>
              </w:rPr>
            </w:pPr>
            <w:r>
              <w:rPr>
                <w:rFonts w:hint="default" w:ascii="Times New Roman" w:hAnsi="Times New Roman" w:cs="Times New Roman" w:eastAsiaTheme="minorEastAsia"/>
                <w:color w:val="auto"/>
              </w:rPr>
              <w:t>59.257%</w:t>
            </w:r>
          </w:p>
        </w:tc>
      </w:tr>
      <w:tr w14:paraId="6330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88" w:type="dxa"/>
            <w:shd w:val="clear" w:color="auto" w:fill="auto"/>
            <w:vAlign w:val="top"/>
          </w:tcPr>
          <w:p w14:paraId="0A98AD3C">
            <w:pPr>
              <w:jc w:val="center"/>
              <w:rPr>
                <w:rFonts w:hint="default" w:ascii="Times New Roman" w:hAnsi="Times New Roman" w:cs="Times New Roman" w:eastAsiaTheme="minorEastAsia"/>
                <w:color w:val="auto"/>
                <w:kern w:val="2"/>
                <w:sz w:val="22"/>
                <w:szCs w:val="24"/>
                <w:lang w:val="en-US" w:eastAsia="zh-CN" w:bidi="ar-SA"/>
              </w:rPr>
            </w:pPr>
            <w:r>
              <w:rPr>
                <w:rFonts w:hint="default" w:ascii="Times New Roman" w:hAnsi="Times New Roman" w:cs="Times New Roman" w:eastAsiaTheme="minorEastAsia"/>
                <w:color w:val="auto"/>
                <w:lang w:val="en-US" w:eastAsia="zh-CN"/>
              </w:rPr>
              <w:t>*</w:t>
            </w:r>
            <w:r>
              <w:rPr>
                <w:rFonts w:hint="default" w:ascii="Times New Roman" w:hAnsi="Times New Roman" w:cs="Times New Roman" w:eastAsiaTheme="minorEastAsia"/>
                <w:color w:val="auto"/>
              </w:rPr>
              <w:t>Mg-Al hydrotalcite</w:t>
            </w:r>
          </w:p>
        </w:tc>
        <w:tc>
          <w:tcPr>
            <w:tcW w:w="2631" w:type="dxa"/>
            <w:shd w:val="clear" w:color="auto" w:fill="auto"/>
            <w:vAlign w:val="top"/>
          </w:tcPr>
          <w:p w14:paraId="4586FD5A">
            <w:pPr>
              <w:jc w:val="center"/>
              <w:rPr>
                <w:rFonts w:hint="default" w:ascii="Times New Roman" w:hAnsi="Times New Roman" w:cs="Times New Roman" w:eastAsiaTheme="minorEastAsia"/>
                <w:color w:val="auto"/>
                <w:kern w:val="2"/>
                <w:sz w:val="22"/>
                <w:szCs w:val="24"/>
                <w:lang w:val="en-US" w:eastAsia="zh-CN" w:bidi="ar-SA"/>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en-US" w:eastAsia="zh-CN"/>
              </w:rPr>
              <w:t>8</w:t>
            </w:r>
            <w:r>
              <w:rPr>
                <w:rFonts w:hint="default" w:ascii="Times New Roman" w:hAnsi="Times New Roman" w:cs="Times New Roman" w:eastAsiaTheme="minorEastAsia"/>
                <w:color w:val="auto"/>
              </w:rPr>
              <w:t>%</w:t>
            </w:r>
          </w:p>
        </w:tc>
        <w:tc>
          <w:tcPr>
            <w:tcW w:w="2560" w:type="dxa"/>
            <w:shd w:val="clear" w:color="auto" w:fill="auto"/>
            <w:vAlign w:val="top"/>
          </w:tcPr>
          <w:p w14:paraId="367AF5B6">
            <w:pPr>
              <w:jc w:val="center"/>
              <w:rPr>
                <w:rFonts w:hint="default" w:ascii="Times New Roman" w:hAnsi="Times New Roman" w:cs="Times New Roman" w:eastAsiaTheme="minorEastAsia"/>
                <w:color w:val="auto"/>
                <w:kern w:val="2"/>
                <w:sz w:val="22"/>
                <w:szCs w:val="24"/>
                <w:lang w:val="en-US" w:eastAsia="zh-CN" w:bidi="ar-SA"/>
              </w:rPr>
            </w:pPr>
            <w:r>
              <w:rPr>
                <w:rFonts w:hint="default" w:ascii="Times New Roman" w:hAnsi="Times New Roman" w:cs="Times New Roman" w:eastAsiaTheme="minorEastAsia"/>
                <w:color w:val="auto"/>
              </w:rPr>
              <w:t>54.453%</w:t>
            </w:r>
          </w:p>
        </w:tc>
      </w:tr>
      <w:tr w14:paraId="6E1E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88" w:type="dxa"/>
            <w:shd w:val="clear" w:color="auto" w:fill="auto"/>
            <w:vAlign w:val="top"/>
          </w:tcPr>
          <w:p w14:paraId="3BED9922">
            <w:pPr>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*AC</w:t>
            </w:r>
          </w:p>
        </w:tc>
        <w:tc>
          <w:tcPr>
            <w:tcW w:w="2631" w:type="dxa"/>
            <w:shd w:val="clear" w:color="auto" w:fill="auto"/>
            <w:vAlign w:val="top"/>
          </w:tcPr>
          <w:p w14:paraId="49A593CB">
            <w:pPr>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0.5%</w:t>
            </w:r>
          </w:p>
        </w:tc>
        <w:tc>
          <w:tcPr>
            <w:tcW w:w="2560" w:type="dxa"/>
            <w:shd w:val="clear" w:color="auto" w:fill="auto"/>
            <w:vAlign w:val="top"/>
          </w:tcPr>
          <w:p w14:paraId="4F75FACC">
            <w:pPr>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_</w:t>
            </w:r>
          </w:p>
        </w:tc>
      </w:tr>
    </w:tbl>
    <w:p w14:paraId="74D87BB4">
      <w:pPr>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bidi="ar-SA"/>
        </w:rPr>
        <w:t>Reaction conditions: n(phenol) : n(DMC) = 1:1</w:t>
      </w:r>
      <w:r>
        <w:rPr>
          <w:rFonts w:hint="default" w:ascii="Times New Roman" w:hAnsi="Times New Roman" w:eastAsia="宋体" w:cs="Times New Roman"/>
          <w:color w:val="auto"/>
          <w:kern w:val="2"/>
          <w:sz w:val="24"/>
          <w:szCs w:val="24"/>
          <w:lang w:val="en-US" w:eastAsia="zh-CN" w:bidi="ar-SA"/>
        </w:rPr>
        <w:t xml:space="preserve">, </w:t>
      </w:r>
      <w:r>
        <w:rPr>
          <w:rFonts w:hint="default" w:ascii="Times New Roman" w:hAnsi="Times New Roman" w:eastAsia="宋体" w:cs="Times New Roman"/>
          <w:color w:val="auto"/>
          <w:kern w:val="2"/>
          <w:sz w:val="24"/>
          <w:szCs w:val="24"/>
          <w:lang w:bidi="ar-SA"/>
        </w:rPr>
        <w:t>Reaction temperature: 1</w:t>
      </w:r>
      <w:r>
        <w:rPr>
          <w:rFonts w:hint="eastAsia" w:ascii="Times New Roman" w:hAnsi="Times New Roman" w:eastAsia="宋体" w:cs="Times New Roman"/>
          <w:color w:val="auto"/>
          <w:kern w:val="2"/>
          <w:sz w:val="24"/>
          <w:szCs w:val="24"/>
          <w:lang w:val="en-US" w:eastAsia="zh-CN" w:bidi="ar-SA"/>
        </w:rPr>
        <w:t>7</w:t>
      </w:r>
      <w:r>
        <w:rPr>
          <w:rFonts w:hint="default" w:ascii="Times New Roman" w:hAnsi="Times New Roman" w:eastAsia="宋体" w:cs="Times New Roman"/>
          <w:color w:val="auto"/>
          <w:kern w:val="2"/>
          <w:sz w:val="24"/>
          <w:szCs w:val="24"/>
          <w:lang w:bidi="ar-SA"/>
        </w:rPr>
        <w:t>0 °C; LHSV :0.5</w:t>
      </w:r>
      <w:r>
        <w:rPr>
          <w:rFonts w:hint="default" w:ascii="Times New Roman" w:hAnsi="Times New Roman" w:eastAsia="宋体" w:cs="Times New Roman"/>
          <w:color w:val="auto"/>
          <w:kern w:val="2"/>
          <w:sz w:val="24"/>
          <w:szCs w:val="24"/>
          <w:lang w:val="en-US" w:eastAsia="zh-CN" w:bidi="ar-SA"/>
        </w:rPr>
        <w:t>.</w:t>
      </w:r>
    </w:p>
    <w:p w14:paraId="3754D14A">
      <w:pPr>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Catalytic performance data. Metal/AC catalysts show markedly higher activity in a single pass compared to standard reference catalysts like hydrotalcite and the AC support itself.</w:t>
      </w:r>
    </w:p>
    <w:p w14:paraId="2EDB6A14">
      <w:pPr>
        <w:ind w:firstLine="440" w:firstLineChars="200"/>
        <w:rPr>
          <w:rFonts w:hint="eastAsia" w:ascii="Times New Roman" w:hAnsi="Times New Roman" w:cs="Times New Roman" w:eastAsiaTheme="minorEastAsia"/>
          <w:color w:val="auto"/>
          <w:lang w:val="en-US" w:eastAsia="zh-CN"/>
        </w:rPr>
      </w:pPr>
    </w:p>
    <w:p w14:paraId="0F203BE6">
      <w:pPr>
        <w:numPr>
          <w:ilvl w:val="0"/>
          <w:numId w:val="0"/>
        </w:numPr>
        <w:ind w:leftChars="0"/>
        <w:rPr>
          <w:rFonts w:hint="default" w:ascii="Times New Roman" w:hAnsi="Times New Roman" w:cs="Times New Roman" w:eastAsiaTheme="minorEastAsia"/>
          <w:b/>
          <w:bCs/>
          <w:color w:val="auto"/>
          <w:lang w:val="en-US" w:eastAsia="zh-CN"/>
        </w:rPr>
      </w:pPr>
      <w:r>
        <w:rPr>
          <w:rFonts w:hint="eastAsia" w:ascii="Times New Roman" w:hAnsi="Times New Roman" w:cs="Times New Roman" w:eastAsiaTheme="minorEastAsia"/>
          <w:b/>
          <w:bCs/>
          <w:color w:val="auto"/>
          <w:lang w:val="en-US" w:eastAsia="zh-CN"/>
        </w:rPr>
        <w:t>S5. Additional Characterization: XRD and XPS Analysis</w:t>
      </w:r>
    </w:p>
    <w:p w14:paraId="6949D095">
      <w:pPr>
        <w:numPr>
          <w:ilvl w:val="0"/>
          <w:numId w:val="0"/>
        </w:numPr>
        <w:ind w:leftChars="0"/>
        <w:rPr>
          <w:rFonts w:hint="eastAsia" w:eastAsia="宋体"/>
          <w:b/>
          <w:bCs/>
          <w:lang w:eastAsia="zh-CN"/>
        </w:rPr>
      </w:pPr>
      <w:r>
        <w:rPr>
          <w:rFonts w:hint="eastAsia" w:ascii="Times New Roman" w:hAnsi="Times New Roman" w:cs="Times New Roman" w:eastAsiaTheme="minorEastAsia"/>
          <w:color w:val="0000FF"/>
          <w:lang w:val="en-US" w:eastAsia="zh-CN"/>
        </w:rPr>
        <w:t xml:space="preserve">  </w:t>
      </w:r>
      <w:r>
        <w:rPr>
          <w:rFonts w:hint="eastAsia" w:eastAsia="宋体"/>
          <w:b/>
          <w:bCs/>
          <w:lang w:eastAsia="zh-CN"/>
        </w:rPr>
        <w:drawing>
          <wp:inline distT="0" distB="0" distL="114300" distR="114300">
            <wp:extent cx="4402455" cy="3093720"/>
            <wp:effectExtent l="0" t="0" r="17145" b="11430"/>
            <wp:docPr id="13" name="图片 13" descr="X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XRD1"/>
                    <pic:cNvPicPr>
                      <a:picLocks noChangeAspect="1"/>
                    </pic:cNvPicPr>
                  </pic:nvPicPr>
                  <pic:blipFill>
                    <a:blip r:embed="rId14"/>
                    <a:srcRect l="1693"/>
                    <a:stretch>
                      <a:fillRect/>
                    </a:stretch>
                  </pic:blipFill>
                  <pic:spPr>
                    <a:xfrm>
                      <a:off x="0" y="0"/>
                      <a:ext cx="4402455" cy="3093720"/>
                    </a:xfrm>
                    <a:prstGeom prst="rect">
                      <a:avLst/>
                    </a:prstGeom>
                  </pic:spPr>
                </pic:pic>
              </a:graphicData>
            </a:graphic>
          </wp:inline>
        </w:drawing>
      </w:r>
    </w:p>
    <w:p w14:paraId="4F9BE3BF">
      <w:pPr>
        <w:numPr>
          <w:ilvl w:val="0"/>
          <w:numId w:val="0"/>
        </w:numPr>
        <w:ind w:leftChars="0"/>
        <w:rPr>
          <w:rFonts w:hint="eastAsia" w:ascii="Times New Roman" w:hAnsi="Times New Roman" w:eastAsia="宋体" w:cs="宋体"/>
          <w:b/>
          <w:bCs/>
          <w:color w:val="auto"/>
          <w:kern w:val="2"/>
          <w:sz w:val="24"/>
          <w:szCs w:val="22"/>
          <w:lang w:bidi="ar-SA"/>
        </w:rPr>
      </w:pPr>
      <w:r>
        <w:rPr>
          <w:rFonts w:ascii="Times New Roman" w:hAnsi="Times New Roman" w:eastAsia="宋体" w:cs="宋体"/>
          <w:b/>
          <w:bCs/>
          <w:color w:val="auto"/>
          <w:kern w:val="2"/>
          <w:sz w:val="24"/>
          <w:szCs w:val="22"/>
          <w:lang w:bidi="ar-SA"/>
        </w:rPr>
        <w:t xml:space="preserve">Figure </w:t>
      </w:r>
      <w:r>
        <w:rPr>
          <w:rFonts w:hint="eastAsia" w:ascii="Times New Roman" w:hAnsi="Times New Roman" w:eastAsia="宋体" w:cs="宋体"/>
          <w:b/>
          <w:bCs/>
          <w:color w:val="auto"/>
          <w:kern w:val="2"/>
          <w:sz w:val="24"/>
          <w:szCs w:val="22"/>
          <w:lang w:val="en-US" w:eastAsia="zh-CN" w:bidi="ar-SA"/>
        </w:rPr>
        <w:t>S10</w:t>
      </w:r>
      <w:r>
        <w:rPr>
          <w:rFonts w:ascii="Times New Roman" w:hAnsi="Times New Roman" w:eastAsia="宋体" w:cs="宋体"/>
          <w:b/>
          <w:bCs/>
          <w:color w:val="auto"/>
          <w:kern w:val="2"/>
          <w:sz w:val="24"/>
          <w:szCs w:val="22"/>
          <w:lang w:bidi="ar-SA"/>
        </w:rPr>
        <w:t xml:space="preserve">. </w:t>
      </w:r>
      <w:r>
        <w:rPr>
          <w:rFonts w:hint="eastAsia" w:ascii="Times New Roman" w:hAnsi="Times New Roman" w:eastAsia="宋体" w:cs="宋体"/>
          <w:b w:val="0"/>
          <w:bCs w:val="0"/>
          <w:color w:val="auto"/>
          <w:kern w:val="2"/>
          <w:sz w:val="24"/>
          <w:szCs w:val="22"/>
          <w:lang w:bidi="ar-SA"/>
        </w:rPr>
        <w:t>Structural Identification of Supported Metal Oxide Catalysts.​</w:t>
      </w:r>
      <w:r>
        <w:rPr>
          <w:rFonts w:hint="eastAsia" w:ascii="Times New Roman" w:hAnsi="Times New Roman" w:eastAsia="宋体" w:cs="宋体"/>
          <w:b/>
          <w:bCs/>
          <w:color w:val="auto"/>
          <w:kern w:val="2"/>
          <w:sz w:val="24"/>
          <w:szCs w:val="22"/>
          <w:lang w:bidi="ar-SA"/>
        </w:rPr>
        <w:t xml:space="preserve">​ </w:t>
      </w:r>
    </w:p>
    <w:p w14:paraId="66AED514">
      <w:pPr>
        <w:numPr>
          <w:ilvl w:val="0"/>
          <w:numId w:val="0"/>
        </w:numPr>
        <w:ind w:leftChars="0"/>
        <w:rPr>
          <w:rFonts w:hint="eastAsia" w:ascii="Times New Roman" w:hAnsi="Times New Roman" w:eastAsia="宋体" w:cs="宋体"/>
          <w:b/>
          <w:bCs/>
          <w:color w:val="auto"/>
          <w:kern w:val="2"/>
          <w:sz w:val="24"/>
          <w:szCs w:val="22"/>
          <w:lang w:bidi="ar-SA"/>
        </w:rPr>
      </w:pPr>
    </w:p>
    <w:p w14:paraId="47A525C6">
      <w:pPr>
        <w:numPr>
          <w:ilvl w:val="0"/>
          <w:numId w:val="0"/>
        </w:numPr>
        <w:ind w:leftChars="0"/>
        <w:rPr>
          <w:rFonts w:hint="eastAsia" w:ascii="Times New Roman" w:hAnsi="Times New Roman" w:eastAsia="宋体" w:cs="宋体"/>
          <w:b/>
          <w:bCs/>
          <w:color w:val="auto"/>
          <w:kern w:val="2"/>
          <w:sz w:val="24"/>
          <w:szCs w:val="22"/>
          <w:lang w:eastAsia="zh-CN" w:bidi="ar-SA"/>
        </w:rPr>
      </w:pPr>
    </w:p>
    <w:p w14:paraId="2580E47A">
      <w:pPr>
        <w:numPr>
          <w:ilvl w:val="0"/>
          <w:numId w:val="0"/>
        </w:numPr>
        <w:ind w:leftChars="0"/>
        <w:rPr>
          <w:rFonts w:hint="eastAsia" w:eastAsia="宋体"/>
          <w:b/>
          <w:bCs/>
          <w:lang w:eastAsia="zh-CN"/>
        </w:rPr>
      </w:pPr>
      <w:r>
        <w:rPr>
          <w:rFonts w:hint="eastAsia" w:eastAsia="宋体"/>
          <w:b/>
          <w:bCs/>
          <w:lang w:eastAsia="zh-CN"/>
        </w:rPr>
        <w:drawing>
          <wp:inline distT="0" distB="0" distL="114300" distR="114300">
            <wp:extent cx="4486275" cy="3209925"/>
            <wp:effectExtent l="0" t="0" r="0" b="9525"/>
            <wp:docPr id="2" name="图片 2" descr="系列金属催化剂的X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系列金属催化剂的XRD"/>
                    <pic:cNvPicPr>
                      <a:picLocks noChangeAspect="1"/>
                    </pic:cNvPicPr>
                  </pic:nvPicPr>
                  <pic:blipFill>
                    <a:blip r:embed="rId15"/>
                    <a:srcRect l="-4926" r="-4135"/>
                    <a:stretch>
                      <a:fillRect/>
                    </a:stretch>
                  </pic:blipFill>
                  <pic:spPr>
                    <a:xfrm>
                      <a:off x="0" y="0"/>
                      <a:ext cx="4486275" cy="3209925"/>
                    </a:xfrm>
                    <a:prstGeom prst="rect">
                      <a:avLst/>
                    </a:prstGeom>
                  </pic:spPr>
                </pic:pic>
              </a:graphicData>
            </a:graphic>
          </wp:inline>
        </w:drawing>
      </w:r>
    </w:p>
    <w:p w14:paraId="3624D4BA">
      <w:pPr>
        <w:numPr>
          <w:ilvl w:val="0"/>
          <w:numId w:val="0"/>
        </w:numPr>
        <w:ind w:leftChars="0" w:firstLine="482" w:firstLineChars="200"/>
        <w:rPr>
          <w:rFonts w:hint="eastAsia" w:ascii="Times New Roman" w:hAnsi="Times New Roman" w:eastAsia="宋体" w:cs="宋体"/>
          <w:b w:val="0"/>
          <w:bCs w:val="0"/>
          <w:color w:val="auto"/>
          <w:kern w:val="2"/>
          <w:sz w:val="24"/>
          <w:szCs w:val="22"/>
          <w:lang w:bidi="ar-SA"/>
        </w:rPr>
      </w:pPr>
      <w:r>
        <w:rPr>
          <w:rFonts w:ascii="Times New Roman" w:hAnsi="Times New Roman" w:eastAsia="宋体" w:cs="宋体"/>
          <w:b/>
          <w:bCs/>
          <w:color w:val="auto"/>
          <w:kern w:val="2"/>
          <w:sz w:val="24"/>
          <w:szCs w:val="22"/>
          <w:lang w:bidi="ar-SA"/>
        </w:rPr>
        <w:t xml:space="preserve">Figure </w:t>
      </w:r>
      <w:r>
        <w:rPr>
          <w:rFonts w:hint="eastAsia" w:ascii="Times New Roman" w:hAnsi="Times New Roman" w:eastAsia="宋体" w:cs="宋体"/>
          <w:b/>
          <w:bCs/>
          <w:color w:val="auto"/>
          <w:kern w:val="2"/>
          <w:sz w:val="24"/>
          <w:szCs w:val="22"/>
          <w:lang w:val="en-US" w:eastAsia="zh-CN" w:bidi="ar-SA"/>
        </w:rPr>
        <w:t>S11</w:t>
      </w:r>
      <w:r>
        <w:rPr>
          <w:rFonts w:ascii="Times New Roman" w:hAnsi="Times New Roman" w:eastAsia="宋体" w:cs="宋体"/>
          <w:b/>
          <w:bCs/>
          <w:color w:val="auto"/>
          <w:kern w:val="2"/>
          <w:sz w:val="24"/>
          <w:szCs w:val="22"/>
          <w:lang w:bidi="ar-SA"/>
        </w:rPr>
        <w:t xml:space="preserve">. </w:t>
      </w:r>
      <w:r>
        <w:rPr>
          <w:rFonts w:hint="eastAsia" w:ascii="Times New Roman" w:hAnsi="Times New Roman" w:eastAsia="宋体" w:cs="宋体"/>
          <w:b w:val="0"/>
          <w:bCs w:val="0"/>
          <w:color w:val="auto"/>
          <w:kern w:val="2"/>
          <w:sz w:val="24"/>
          <w:szCs w:val="22"/>
          <w:lang w:bidi="ar-SA"/>
        </w:rPr>
        <w:t>Structural Verification of Reduced Metal Catalysts</w:t>
      </w:r>
    </w:p>
    <w:p w14:paraId="7D14677D">
      <w:pPr>
        <w:numPr>
          <w:ilvl w:val="0"/>
          <w:numId w:val="0"/>
        </w:numPr>
        <w:ind w:leftChars="0" w:firstLine="480" w:firstLineChars="200"/>
        <w:rPr>
          <w:rFonts w:hint="eastAsia" w:eastAsia="宋体"/>
          <w:b/>
          <w:bCs/>
          <w:lang w:eastAsia="zh-CN"/>
        </w:rPr>
      </w:pPr>
      <w:r>
        <w:rPr>
          <w:rFonts w:hint="eastAsia" w:ascii="Times New Roman" w:hAnsi="Times New Roman" w:eastAsia="宋体" w:cs="宋体"/>
          <w:b w:val="0"/>
          <w:bCs w:val="0"/>
          <w:color w:val="auto"/>
          <w:kern w:val="2"/>
          <w:sz w:val="24"/>
          <w:szCs w:val="22"/>
          <w:lang w:bidi="ar-SA"/>
        </w:rPr>
        <w:t>The XRD patterns unequivocally identify the zero-valent metallic state of the active components, confirming the structural basis for comparing their electron-donating capability.</w:t>
      </w:r>
    </w:p>
    <w:p w14:paraId="2242F725">
      <w:pPr>
        <w:numPr>
          <w:ilvl w:val="0"/>
          <w:numId w:val="0"/>
        </w:numPr>
        <w:ind w:leftChars="0"/>
        <w:rPr>
          <w:rFonts w:cs="Times New Roman" w:eastAsiaTheme="minorEastAsia"/>
          <w:sz w:val="21"/>
          <w:szCs w:val="20"/>
        </w:rPr>
      </w:pPr>
      <w:r>
        <w:rPr>
          <w:rFonts w:hint="eastAsia" w:eastAsia="宋体"/>
          <w:b/>
          <w:bCs/>
          <w:lang w:eastAsia="zh-CN"/>
        </w:rPr>
        <w:drawing>
          <wp:inline distT="0" distB="0" distL="114300" distR="114300">
            <wp:extent cx="5146040" cy="2393315"/>
            <wp:effectExtent l="0" t="0" r="0" b="0"/>
            <wp:docPr id="3" name="图片 3" descr="870f4bdf-6393-4107-86da-489eb08ed2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70f4bdf-6393-4107-86da-489eb08ed2f3"/>
                    <pic:cNvPicPr>
                      <a:picLocks noChangeAspect="1"/>
                    </pic:cNvPicPr>
                  </pic:nvPicPr>
                  <pic:blipFill>
                    <a:blip r:embed="rId16"/>
                    <a:srcRect r="2291"/>
                    <a:stretch>
                      <a:fillRect/>
                    </a:stretch>
                  </pic:blipFill>
                  <pic:spPr>
                    <a:xfrm>
                      <a:off x="0" y="0"/>
                      <a:ext cx="5146040" cy="2393315"/>
                    </a:xfrm>
                    <a:prstGeom prst="rect">
                      <a:avLst/>
                    </a:prstGeom>
                  </pic:spPr>
                </pic:pic>
              </a:graphicData>
            </a:graphic>
          </wp:inline>
        </w:drawing>
      </w:r>
    </w:p>
    <w:p w14:paraId="2A44D1C9">
      <w:pPr>
        <w:numPr>
          <w:ilvl w:val="0"/>
          <w:numId w:val="0"/>
        </w:numPr>
        <w:ind w:leftChars="0" w:firstLine="482" w:firstLineChars="200"/>
        <w:rPr>
          <w:rFonts w:hint="eastAsia" w:ascii="Times New Roman" w:hAnsi="Times New Roman" w:eastAsia="宋体" w:cs="宋体"/>
          <w:b w:val="0"/>
          <w:bCs w:val="0"/>
          <w:color w:val="auto"/>
          <w:kern w:val="2"/>
          <w:sz w:val="24"/>
          <w:szCs w:val="22"/>
          <w:lang w:bidi="ar-SA"/>
        </w:rPr>
      </w:pPr>
      <w:r>
        <w:rPr>
          <w:rFonts w:hint="eastAsia" w:ascii="Times New Roman" w:hAnsi="Times New Roman" w:eastAsia="宋体" w:cs="宋体"/>
          <w:b/>
          <w:bCs/>
          <w:color w:val="auto"/>
          <w:kern w:val="2"/>
          <w:sz w:val="24"/>
          <w:szCs w:val="22"/>
          <w:lang w:bidi="ar-SA"/>
        </w:rPr>
        <w:t>Fig</w:t>
      </w:r>
      <w:r>
        <w:rPr>
          <w:rFonts w:hint="eastAsia" w:ascii="Times New Roman" w:hAnsi="Times New Roman" w:eastAsia="宋体" w:cs="宋体"/>
          <w:b/>
          <w:bCs/>
          <w:color w:val="auto"/>
          <w:kern w:val="2"/>
          <w:sz w:val="24"/>
          <w:szCs w:val="22"/>
          <w:lang w:val="en-US" w:eastAsia="zh-CN" w:bidi="ar-SA"/>
        </w:rPr>
        <w:t xml:space="preserve"> S</w:t>
      </w:r>
      <w:r>
        <w:rPr>
          <w:rFonts w:hint="eastAsia" w:ascii="Times New Roman" w:hAnsi="Times New Roman" w:eastAsia="宋体" w:cs="宋体"/>
          <w:b/>
          <w:bCs/>
          <w:color w:val="auto"/>
          <w:kern w:val="2"/>
          <w:sz w:val="24"/>
          <w:szCs w:val="22"/>
          <w:lang w:bidi="ar-SA"/>
        </w:rPr>
        <w:t xml:space="preserve">12. </w:t>
      </w:r>
      <w:r>
        <w:rPr>
          <w:rFonts w:hint="eastAsia" w:ascii="Times New Roman" w:hAnsi="Times New Roman" w:eastAsia="宋体" w:cs="宋体"/>
          <w:b w:val="0"/>
          <w:bCs w:val="0"/>
          <w:color w:val="auto"/>
          <w:kern w:val="2"/>
          <w:sz w:val="24"/>
          <w:szCs w:val="22"/>
          <w:lang w:bidi="ar-SA"/>
        </w:rPr>
        <w:t>XPS spectra of selected reduced metal catalysts supported on activated carbon: (a) Cu/AC and (b) Ag/AC.</w:t>
      </w:r>
    </w:p>
    <w:p w14:paraId="5927A5A4">
      <w:pPr>
        <w:numPr>
          <w:ilvl w:val="0"/>
          <w:numId w:val="0"/>
        </w:numPr>
        <w:ind w:leftChars="0" w:firstLine="480" w:firstLineChars="200"/>
        <w:rPr>
          <w:rFonts w:hint="default" w:cs="Times New Roman" w:eastAsiaTheme="minorEastAsia"/>
          <w:b w:val="0"/>
          <w:bCs w:val="0"/>
          <w:sz w:val="21"/>
          <w:szCs w:val="20"/>
          <w:lang w:val="en-US" w:eastAsia="zh-CN"/>
        </w:rPr>
      </w:pPr>
      <w:r>
        <w:rPr>
          <w:rFonts w:hint="eastAsia" w:ascii="Times New Roman" w:hAnsi="Times New Roman" w:eastAsia="宋体" w:cs="宋体"/>
          <w:b w:val="0"/>
          <w:bCs w:val="0"/>
          <w:color w:val="auto"/>
          <w:kern w:val="2"/>
          <w:sz w:val="24"/>
          <w:szCs w:val="22"/>
          <w:lang w:bidi="ar-SA"/>
        </w:rPr>
        <w:t>Figure 12 shows the XPS spectra for (a) Cu/AC and (b) Ag/AC. The spectrum of Cu/AC indicates the coexistence of multiple oxidation states (Cu⁰, Cu⁺, and Cu²⁺), while that of Ag/AC is characteristic of predominantly zero-valent silver (Ag⁰).</w:t>
      </w:r>
    </w:p>
    <w:p w14:paraId="41068128"/>
    <w:p w14:paraId="1CF5B11A"/>
    <w:p w14:paraId="4C5BFDEF">
      <w:pPr>
        <w:numPr>
          <w:ilvl w:val="0"/>
          <w:numId w:val="1"/>
        </w:numPr>
        <w:rPr>
          <w:rFonts w:hint="default" w:ascii="Times New Roman" w:hAnsi="Times New Roman" w:cs="Times New Roman"/>
          <w:b/>
          <w:color w:val="auto"/>
        </w:rPr>
      </w:pPr>
      <w:r>
        <w:rPr>
          <w:rFonts w:hint="default" w:ascii="Times New Roman" w:hAnsi="Times New Roman" w:cs="Times New Roman"/>
          <w:b/>
          <w:color w:val="auto"/>
        </w:rPr>
        <w:t>Summary of Key Findings</w:t>
      </w:r>
    </w:p>
    <w:p w14:paraId="2D7E4F0C">
      <w:pPr>
        <w:pStyle w:val="11"/>
        <w:rPr>
          <w:rFonts w:hint="default" w:ascii="Times New Roman" w:hAnsi="Times New Roman" w:cs="Times New Roman"/>
          <w:b w:val="0"/>
          <w:bCs/>
        </w:rPr>
      </w:pPr>
      <w:r>
        <w:rPr>
          <w:rFonts w:hint="default" w:ascii="Times New Roman" w:hAnsi="Times New Roman" w:cs="Times New Roman"/>
          <w:b w:val="0"/>
          <w:bCs/>
        </w:rPr>
        <w:t>The comprehensive data presented in this Supporting Information provide robust experimental validation for the unified descriptor of electron-donating capability proposed in the main text. The key findings, derived from consistent methodological protocols, are summarized as follows: (1) Significant catalytic activity is observed across traditionally distinct material families (metal oxides and zero-valent metals) when optimized, demonstrating material-independent functionality. (2) A consistent correlation is established between catalytic performance and the strength of electron-donating capability, probed by CO₂-TPD. (3) Potassium modification is shown to be an effective strategy for enhancing catalyst stability while maintaining high activity. (4) The critical role of the support material in modulating the active center's properties is clearly demonstrated. (5) Collectively, these findings converge to establish the electron-donating capability as a universal descriptor that transcends traditional material classifications. The systematic evidence herein firmly supports the paradigm shift from a material-centric view to an electron-centric understanding of solid-base catalysis.capability.</w:t>
      </w:r>
    </w:p>
    <w:p w14:paraId="33232002">
      <w:pPr>
        <w:pStyle w:val="11"/>
      </w:pPr>
      <w:r>
        <w:rPr>
          <w:i/>
        </w:rPr>
        <w:t>Note: All experimental procedures and characterization methods followed standard protocols with appropriate controls and reproducibility checks. Detailed experimental sections are available upon request.</w:t>
      </w:r>
    </w:p>
    <w:p w14:paraId="71B6A4B2">
      <w:pPr>
        <w:rPr>
          <w:rFonts w:hint="default" w:ascii="Times New Roman" w:hAnsi="Times New Roman" w:cs="Times New Roman"/>
        </w:rPr>
      </w:pPr>
    </w:p>
    <w:p w14:paraId="168E49C2">
      <w:pPr>
        <w:rPr>
          <w:rFonts w:hint="default" w:ascii="Times New Roman" w:hAnsi="Times New Roman" w:cs="Times New Roman"/>
        </w:rPr>
      </w:pPr>
    </w:p>
    <w:sectPr>
      <w:pgSz w:w="11906" w:h="16838"/>
      <w:pgMar w:top="1440" w:right="1797" w:bottom="1440" w:left="1797" w:header="851" w:footer="992" w:gutter="0"/>
      <w:cols w:space="0" w:num="1"/>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onaco">
    <w:altName w:val="Courier New"/>
    <w:panose1 w:val="00000000000000000000"/>
    <w:charset w:val="00"/>
    <w:family w:val="auto"/>
    <w:pitch w:val="default"/>
    <w:sig w:usb0="00000000" w:usb1="00000000"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981EED"/>
    <w:multiLevelType w:val="singleLevel"/>
    <w:tmpl w:val="AC981EED"/>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HorizontalSpacing w:val="220"/>
  <w:drawingGridVerticalSpacing w:val="387"/>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AA24D9F"/>
    <w:rsid w:val="000B62CA"/>
    <w:rsid w:val="002A53AA"/>
    <w:rsid w:val="005C35DE"/>
    <w:rsid w:val="00626AA2"/>
    <w:rsid w:val="0068574D"/>
    <w:rsid w:val="006E696F"/>
    <w:rsid w:val="0071681D"/>
    <w:rsid w:val="007C7A70"/>
    <w:rsid w:val="00890FE1"/>
    <w:rsid w:val="0090731C"/>
    <w:rsid w:val="009E7FC9"/>
    <w:rsid w:val="00A85D95"/>
    <w:rsid w:val="00AB1D25"/>
    <w:rsid w:val="00AD3D80"/>
    <w:rsid w:val="00B727BA"/>
    <w:rsid w:val="00BE0D57"/>
    <w:rsid w:val="00F50C8B"/>
    <w:rsid w:val="032968C3"/>
    <w:rsid w:val="07011CC2"/>
    <w:rsid w:val="07644792"/>
    <w:rsid w:val="09284798"/>
    <w:rsid w:val="0A303F55"/>
    <w:rsid w:val="0CAA6E21"/>
    <w:rsid w:val="0F2B6FD9"/>
    <w:rsid w:val="101F3D63"/>
    <w:rsid w:val="14662D9C"/>
    <w:rsid w:val="183C240D"/>
    <w:rsid w:val="1AA24D9F"/>
    <w:rsid w:val="25416B4F"/>
    <w:rsid w:val="266920E3"/>
    <w:rsid w:val="27A36045"/>
    <w:rsid w:val="27FBD2E2"/>
    <w:rsid w:val="28DA2E89"/>
    <w:rsid w:val="2A4254F9"/>
    <w:rsid w:val="2D1F32F4"/>
    <w:rsid w:val="323B4D81"/>
    <w:rsid w:val="34802092"/>
    <w:rsid w:val="34B70380"/>
    <w:rsid w:val="36483084"/>
    <w:rsid w:val="399A3BF6"/>
    <w:rsid w:val="3AE174A3"/>
    <w:rsid w:val="43446334"/>
    <w:rsid w:val="44A84E71"/>
    <w:rsid w:val="477DCE1E"/>
    <w:rsid w:val="4DDA4307"/>
    <w:rsid w:val="51DF1982"/>
    <w:rsid w:val="52046DDC"/>
    <w:rsid w:val="524A1807"/>
    <w:rsid w:val="52D43B68"/>
    <w:rsid w:val="573E1E21"/>
    <w:rsid w:val="5B487E91"/>
    <w:rsid w:val="5CF9550F"/>
    <w:rsid w:val="5EFEBDE8"/>
    <w:rsid w:val="652F2B95"/>
    <w:rsid w:val="68CA2609"/>
    <w:rsid w:val="68CC1AED"/>
    <w:rsid w:val="69BB0F42"/>
    <w:rsid w:val="6A637494"/>
    <w:rsid w:val="6BCF62E6"/>
    <w:rsid w:val="6CD3A16D"/>
    <w:rsid w:val="6D362FC9"/>
    <w:rsid w:val="6D535020"/>
    <w:rsid w:val="6E5F49A6"/>
    <w:rsid w:val="6FFF37D2"/>
    <w:rsid w:val="70DE2EF1"/>
    <w:rsid w:val="7557789F"/>
    <w:rsid w:val="794E7636"/>
    <w:rsid w:val="7C5F4108"/>
    <w:rsid w:val="7F79C282"/>
    <w:rsid w:val="7F7B6CAE"/>
    <w:rsid w:val="7FBF6DD0"/>
    <w:rsid w:val="7FCD17FE"/>
    <w:rsid w:val="7FD7E9A0"/>
    <w:rsid w:val="7FE9FBB2"/>
    <w:rsid w:val="8FFFA67E"/>
    <w:rsid w:val="A97F623E"/>
    <w:rsid w:val="AFBF8780"/>
    <w:rsid w:val="BEEFCB4B"/>
    <w:rsid w:val="BFE6F841"/>
    <w:rsid w:val="BFFBDBCA"/>
    <w:rsid w:val="D5DE8897"/>
    <w:rsid w:val="E7FE3684"/>
    <w:rsid w:val="E95E2A0D"/>
    <w:rsid w:val="EFFF70E4"/>
    <w:rsid w:val="F7EEC240"/>
    <w:rsid w:val="FBF75102"/>
    <w:rsid w:val="FDDC5620"/>
    <w:rsid w:val="FDEA700A"/>
    <w:rsid w:val="FFBFCE42"/>
    <w:rsid w:val="FFFF40C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99" w:semiHidden="0" w:name="toc 1"/>
    <w:lsdException w:unhideWhenUsed="0" w:uiPriority="99" w:semiHidden="0" w:name="toc 2"/>
    <w:lsdException w:unhideWhenUsed="0" w:uiPriority="99" w:semiHidden="0" w:name="toc 3"/>
    <w:lsdException w:unhideWhenUsed="0" w:uiPriority="99" w:semiHidden="0" w:name="toc 4"/>
    <w:lsdException w:unhideWhenUsed="0" w:uiPriority="99" w:semiHidden="0" w:name="toc 5"/>
    <w:lsdException w:unhideWhenUsed="0" w:uiPriority="99" w:semiHidden="0" w:name="toc 6"/>
    <w:lsdException w:unhideWhenUsed="0" w:uiPriority="99" w:semiHidden="0" w:name="toc 7"/>
    <w:lsdException w:qFormat="1" w:unhideWhenUsed="0" w:uiPriority="99" w:semiHidden="0" w:name="toc 8"/>
    <w:lsdException w:unhideWhenUsed="0" w:uiPriority="99" w:semiHidden="0" w:name="toc 9"/>
    <w:lsdException w:unhideWhenUsed="0" w:uiPriority="0" w:semiHidden="0" w:name="Normal Indent"/>
    <w:lsdException w:uiPriority="99"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60" w:after="60"/>
      <w:jc w:val="both"/>
    </w:pPr>
    <w:rPr>
      <w:rFonts w:ascii="Arial" w:hAnsi="Arial" w:eastAsia="微软雅黑" w:cs="Arial"/>
      <w:color w:val="333333"/>
      <w:kern w:val="2"/>
      <w:sz w:val="22"/>
      <w:szCs w:val="24"/>
      <w:lang w:val="en-US" w:eastAsia="zh-CN" w:bidi="ar-SA"/>
    </w:rPr>
  </w:style>
  <w:style w:type="paragraph" w:styleId="2">
    <w:name w:val="heading 1"/>
    <w:next w:val="1"/>
    <w:qFormat/>
    <w:uiPriority w:val="0"/>
    <w:pPr>
      <w:widowControl w:val="0"/>
      <w:adjustRightInd w:val="0"/>
      <w:spacing w:before="320" w:line="300" w:lineRule="auto"/>
      <w:jc w:val="both"/>
      <w:outlineLvl w:val="0"/>
    </w:pPr>
    <w:rPr>
      <w:rFonts w:ascii="Times New Roman" w:hAnsi="Times New Roman" w:eastAsia="黑体" w:cs="Times New Roman"/>
      <w:color w:val="000000"/>
      <w:kern w:val="44"/>
      <w:sz w:val="32"/>
      <w:szCs w:val="44"/>
      <w:lang w:bidi="ar-SA"/>
    </w:rPr>
  </w:style>
  <w:style w:type="paragraph" w:styleId="3">
    <w:name w:val="heading 2"/>
    <w:next w:val="1"/>
    <w:qFormat/>
    <w:uiPriority w:val="0"/>
    <w:pPr>
      <w:widowControl w:val="0"/>
      <w:adjustRightInd w:val="0"/>
      <w:spacing w:before="280" w:line="300" w:lineRule="auto"/>
      <w:jc w:val="both"/>
      <w:outlineLvl w:val="1"/>
    </w:pPr>
    <w:rPr>
      <w:rFonts w:ascii="Times New Roman" w:hAnsi="Times New Roman" w:eastAsia="黑体" w:cs="Times New Roman"/>
      <w:kern w:val="2"/>
      <w:sz w:val="30"/>
      <w:szCs w:val="32"/>
      <w:lang w:bidi="ar-SA"/>
    </w:rPr>
  </w:style>
  <w:style w:type="paragraph" w:styleId="4">
    <w:name w:val="heading 3"/>
    <w:next w:val="1"/>
    <w:qFormat/>
    <w:uiPriority w:val="0"/>
    <w:pPr>
      <w:keepNext/>
      <w:keepLines/>
      <w:widowControl w:val="0"/>
      <w:adjustRightInd w:val="0"/>
      <w:spacing w:before="240" w:line="300" w:lineRule="auto"/>
      <w:jc w:val="both"/>
      <w:outlineLvl w:val="2"/>
    </w:pPr>
    <w:rPr>
      <w:rFonts w:ascii="Times New Roman" w:hAnsi="Times New Roman" w:eastAsia="黑体" w:cs="Times New Roman"/>
      <w:kern w:val="2"/>
      <w:sz w:val="30"/>
      <w:szCs w:val="24"/>
      <w:lang w:bidi="ar-SA"/>
    </w:rPr>
  </w:style>
  <w:style w:type="paragraph" w:styleId="5">
    <w:name w:val="heading 4"/>
    <w:next w:val="1"/>
    <w:qFormat/>
    <w:uiPriority w:val="0"/>
    <w:pPr>
      <w:keepNext/>
      <w:keepLines/>
      <w:widowControl w:val="0"/>
      <w:adjustRightInd w:val="0"/>
      <w:spacing w:before="200" w:line="300" w:lineRule="auto"/>
      <w:jc w:val="both"/>
      <w:outlineLvl w:val="3"/>
    </w:pPr>
    <w:rPr>
      <w:rFonts w:ascii="Times New Roman" w:hAnsi="Times New Roman" w:eastAsia="黑体" w:cs="Times New Roman"/>
      <w:bCs/>
      <w:kern w:val="2"/>
      <w:sz w:val="28"/>
      <w:szCs w:val="28"/>
      <w:lang w:bidi="ar-SA"/>
    </w:rPr>
  </w:style>
  <w:style w:type="paragraph" w:styleId="6">
    <w:name w:val="heading 5"/>
    <w:next w:val="1"/>
    <w:qFormat/>
    <w:uiPriority w:val="0"/>
    <w:pPr>
      <w:keepNext/>
      <w:keepLines/>
      <w:widowControl w:val="0"/>
      <w:adjustRightInd w:val="0"/>
      <w:spacing w:before="160" w:line="300" w:lineRule="auto"/>
      <w:jc w:val="both"/>
      <w:outlineLvl w:val="4"/>
    </w:pPr>
    <w:rPr>
      <w:rFonts w:ascii="Times New Roman" w:hAnsi="Times New Roman" w:eastAsia="黑体" w:cs="Times New Roman"/>
      <w:bCs/>
      <w:kern w:val="2"/>
      <w:sz w:val="28"/>
      <w:szCs w:val="28"/>
      <w:lang w:bidi="ar-SA"/>
    </w:rPr>
  </w:style>
  <w:style w:type="paragraph" w:styleId="7">
    <w:name w:val="heading 6"/>
    <w:next w:val="1"/>
    <w:qFormat/>
    <w:uiPriority w:val="0"/>
    <w:pPr>
      <w:keepNext/>
      <w:keepLines/>
      <w:widowControl w:val="0"/>
      <w:adjustRightInd w:val="0"/>
      <w:spacing w:before="120" w:line="300" w:lineRule="auto"/>
      <w:jc w:val="both"/>
      <w:outlineLvl w:val="5"/>
    </w:pPr>
    <w:rPr>
      <w:rFonts w:ascii="Times New Roman" w:hAnsi="Times New Roman" w:eastAsia="黑体" w:cs="Times New Roman"/>
      <w:bCs/>
      <w:kern w:val="2"/>
      <w:sz w:val="28"/>
      <w:szCs w:val="24"/>
      <w:lang w:bidi="ar-SA"/>
    </w:rPr>
  </w:style>
  <w:style w:type="paragraph" w:styleId="8">
    <w:name w:val="heading 7"/>
    <w:next w:val="1"/>
    <w:unhideWhenUsed/>
    <w:qFormat/>
    <w:uiPriority w:val="0"/>
    <w:pPr>
      <w:keepNext/>
      <w:keepLines/>
      <w:widowControl w:val="0"/>
      <w:adjustRightInd w:val="0"/>
      <w:spacing w:before="120" w:line="300" w:lineRule="auto"/>
      <w:jc w:val="both"/>
      <w:outlineLvl w:val="6"/>
    </w:pPr>
    <w:rPr>
      <w:rFonts w:ascii="Times New Roman" w:hAnsi="Times New Roman" w:eastAsia="黑体" w:cs="Times New Roman"/>
      <w:bCs/>
      <w:kern w:val="2"/>
      <w:sz w:val="24"/>
      <w:szCs w:val="24"/>
      <w:lang w:bidi="ar-SA"/>
    </w:rPr>
  </w:style>
  <w:style w:type="paragraph" w:styleId="9">
    <w:name w:val="heading 8"/>
    <w:next w:val="1"/>
    <w:unhideWhenUsed/>
    <w:qFormat/>
    <w:uiPriority w:val="0"/>
    <w:pPr>
      <w:keepNext/>
      <w:keepLines/>
      <w:widowControl w:val="0"/>
      <w:adjustRightInd w:val="0"/>
      <w:spacing w:before="120" w:line="300" w:lineRule="auto"/>
      <w:jc w:val="both"/>
      <w:outlineLvl w:val="7"/>
    </w:pPr>
    <w:rPr>
      <w:rFonts w:ascii="Times New Roman" w:hAnsi="Times New Roman" w:eastAsia="黑体" w:cs="Times New Roman"/>
      <w:kern w:val="2"/>
      <w:sz w:val="24"/>
      <w:szCs w:val="24"/>
      <w:lang w:bidi="ar-SA"/>
    </w:rPr>
  </w:style>
  <w:style w:type="paragraph" w:styleId="10">
    <w:name w:val="heading 9"/>
    <w:next w:val="1"/>
    <w:unhideWhenUsed/>
    <w:qFormat/>
    <w:uiPriority w:val="0"/>
    <w:pPr>
      <w:keepNext/>
      <w:keepLines/>
      <w:widowControl w:val="0"/>
      <w:adjustRightInd w:val="0"/>
      <w:spacing w:before="120" w:line="300" w:lineRule="auto"/>
      <w:jc w:val="both"/>
      <w:outlineLvl w:val="8"/>
    </w:pPr>
    <w:rPr>
      <w:rFonts w:ascii="Times New Roman" w:hAnsi="Times New Roman" w:eastAsia="黑体" w:cs="Times New Roman"/>
      <w:kern w:val="2"/>
      <w:sz w:val="21"/>
      <w:szCs w:val="21"/>
      <w:lang w:bidi="ar-SA"/>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Body Text"/>
    <w:qFormat/>
    <w:uiPriority w:val="0"/>
    <w:pPr>
      <w:widowControl w:val="0"/>
      <w:adjustRightInd w:val="0"/>
      <w:spacing w:before="100" w:after="100" w:afterLines="0" w:afterAutospacing="0" w:line="300" w:lineRule="auto"/>
      <w:ind w:firstLine="1044" w:firstLineChars="200"/>
      <w:jc w:val="both"/>
    </w:pPr>
    <w:rPr>
      <w:rFonts w:ascii="Times New Roman" w:hAnsi="Times New Roman" w:eastAsia="宋体" w:cs="Times New Roman"/>
      <w:kern w:val="2"/>
      <w:sz w:val="24"/>
      <w:szCs w:val="24"/>
      <w:lang w:bidi="ar-SA"/>
    </w:rPr>
  </w:style>
  <w:style w:type="paragraph" w:styleId="12">
    <w:name w:val="toc 8"/>
    <w:basedOn w:val="1"/>
    <w:next w:val="1"/>
    <w:autoRedefine/>
    <w:qFormat/>
    <w:uiPriority w:val="99"/>
    <w:pPr>
      <w:ind w:left="2940" w:leftChars="1400"/>
    </w:pPr>
  </w:style>
  <w:style w:type="paragraph" w:styleId="13">
    <w:name w:val="footer"/>
    <w:basedOn w:val="1"/>
    <w:qFormat/>
    <w:uiPriority w:val="0"/>
    <w:pPr>
      <w:tabs>
        <w:tab w:val="center" w:pos="4153"/>
        <w:tab w:val="right" w:pos="8306"/>
      </w:tabs>
      <w:snapToGrid w:val="0"/>
      <w:jc w:val="center"/>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Subtitle"/>
    <w:next w:val="1"/>
    <w:link w:val="22"/>
    <w:qFormat/>
    <w:uiPriority w:val="0"/>
    <w:pPr>
      <w:widowControl w:val="0"/>
      <w:adjustRightInd w:val="0"/>
      <w:spacing w:before="100" w:after="100" w:line="240" w:lineRule="auto"/>
      <w:jc w:val="center"/>
      <w:outlineLvl w:val="9"/>
    </w:pPr>
    <w:rPr>
      <w:rFonts w:ascii="Times New Roman" w:hAnsi="Times New Roman" w:eastAsia="黑体" w:cs="Times New Roman"/>
      <w:kern w:val="28"/>
      <w:sz w:val="32"/>
      <w:szCs w:val="24"/>
      <w:lang w:bidi="ar-SA"/>
    </w:r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Title"/>
    <w:next w:val="1"/>
    <w:link w:val="25"/>
    <w:qFormat/>
    <w:uiPriority w:val="0"/>
    <w:pPr>
      <w:widowControl w:val="0"/>
      <w:adjustRightInd w:val="0"/>
      <w:spacing w:before="100" w:beforeAutospacing="0" w:after="100" w:afterAutospacing="0" w:line="240" w:lineRule="auto"/>
      <w:jc w:val="center"/>
      <w:outlineLvl w:val="9"/>
    </w:pPr>
    <w:rPr>
      <w:rFonts w:ascii="Times New Roman" w:hAnsi="Times New Roman" w:eastAsia="黑体" w:cs="Times New Roman"/>
      <w:kern w:val="2"/>
      <w:sz w:val="36"/>
      <w:szCs w:val="24"/>
      <w:lang w:bidi="ar-SA"/>
    </w:rPr>
  </w:style>
  <w:style w:type="table" w:styleId="19">
    <w:name w:val="Table Grid"/>
    <w:basedOn w:val="18"/>
    <w:qFormat/>
    <w:uiPriority w:val="0"/>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Pr>
    <w:tcPr>
      <w:vAlign w:val="center"/>
    </w:tcPr>
  </w:style>
  <w:style w:type="character" w:styleId="21">
    <w:name w:val="Hyperlink"/>
    <w:basedOn w:val="20"/>
    <w:qFormat/>
    <w:uiPriority w:val="0"/>
    <w:rPr>
      <w:color w:val="1E6FFF"/>
      <w:u w:val="single"/>
    </w:rPr>
  </w:style>
  <w:style w:type="character" w:customStyle="1" w:styleId="22">
    <w:name w:val="副标题 字符"/>
    <w:basedOn w:val="20"/>
    <w:link w:val="15"/>
    <w:qFormat/>
    <w:uiPriority w:val="0"/>
    <w:rPr>
      <w:rFonts w:ascii="Arial" w:hAnsi="Arial" w:eastAsia="微软雅黑" w:cstheme="minorBidi"/>
      <w:b/>
      <w:bCs/>
      <w:kern w:val="28"/>
      <w:sz w:val="44"/>
      <w:szCs w:val="32"/>
    </w:rPr>
  </w:style>
  <w:style w:type="paragraph" w:customStyle="1" w:styleId="23">
    <w:name w:val="melo-codeblock-Base-theme-para"/>
    <w:qFormat/>
    <w:uiPriority w:val="99"/>
    <w:pPr>
      <w:snapToGrid w:val="0"/>
      <w:spacing w:line="360" w:lineRule="auto"/>
    </w:pPr>
    <w:rPr>
      <w:rFonts w:ascii="Monaco" w:hAnsi="Monaco" w:eastAsia="Monaco" w:cs="Monaco"/>
      <w:color w:val="000000"/>
      <w:sz w:val="21"/>
      <w:lang w:val="en-US" w:eastAsia="zh-CN" w:bidi="ar-SA"/>
    </w:rPr>
  </w:style>
  <w:style w:type="table" w:customStyle="1" w:styleId="24">
    <w:name w:val="Doc Table Column 1st"/>
    <w:basedOn w:val="19"/>
    <w:qFormat/>
    <w:uiPriority w:val="50"/>
    <w:tblStylePr w:type="firstRow">
      <w:tcPr>
        <w:shd w:val="clear" w:color="auto" w:fill="F3F5F7"/>
      </w:tcPr>
    </w:tblStylePr>
    <w:tblStylePr w:type="firstCol">
      <w:tcPr>
        <w:shd w:val="clear" w:color="auto" w:fill="F3F5F7"/>
      </w:tcPr>
    </w:tblStylePr>
  </w:style>
  <w:style w:type="character" w:customStyle="1" w:styleId="25">
    <w:name w:val="标题 字符"/>
    <w:basedOn w:val="20"/>
    <w:link w:val="17"/>
    <w:qFormat/>
    <w:uiPriority w:val="0"/>
    <w:rPr>
      <w:rFonts w:ascii="Arial" w:hAnsi="Arial" w:eastAsia="微软雅黑" w:cstheme="majorBidi"/>
      <w:b/>
      <w:bCs/>
      <w:kern w:val="2"/>
      <w:sz w:val="48"/>
      <w:szCs w:val="32"/>
    </w:rPr>
  </w:style>
  <w:style w:type="character" w:customStyle="1" w:styleId="26">
    <w:name w:val="melo-codeblock-Base-theme-char"/>
    <w:qFormat/>
    <w:uiPriority w:val="99"/>
    <w:rPr>
      <w:rFonts w:ascii="Monaco" w:hAnsi="Monaco" w:eastAsia="Monaco" w:cs="Monaco"/>
      <w:color w:val="000000"/>
      <w:sz w:val="21"/>
    </w:rPr>
  </w:style>
  <w:style w:type="paragraph" w:customStyle="1" w:styleId="27">
    <w:name w:val="题注1"/>
    <w:next w:val="1"/>
    <w:qFormat/>
    <w:uiPriority w:val="0"/>
    <w:pPr>
      <w:widowControl w:val="0"/>
      <w:adjustRightInd w:val="0"/>
      <w:spacing w:before="240" w:after="120" w:line="288" w:lineRule="auto"/>
      <w:jc w:val="center"/>
    </w:pPr>
    <w:rPr>
      <w:rFonts w:ascii="Times New Roman" w:hAnsi="Times New Roman" w:eastAsia="宋体" w:cs="宋体"/>
      <w:kern w:val="2"/>
      <w:sz w:val="24"/>
      <w:szCs w:val="22"/>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11</Pages>
  <Words>1205</Words>
  <Characters>7295</Characters>
  <TotalTime>0</TotalTime>
  <ScaleCrop>false</ScaleCrop>
  <LinksUpToDate>false</LinksUpToDate>
  <CharactersWithSpaces>8359</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2025-11-24T11:42:00Z</dcterms:created>
  <dc:creator>Administrator</dc:creator>
  <cp:lastModifiedBy>ppb</cp:lastModifiedBy>
  <dcterms:modified xsi:type="dcterms:W3CDTF">2026-01-19T08:20:30Z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eyJoZGlkIjoiYWQ3Zjk2Nzg1MzhiNjM0YTE3ZDM2MTYxYzEwN2FhZmMiLCJ1c2VySWQiOiI0MTU3MDE1NDQifQ==</vt:lpwstr>
  </property>
  <property fmtid="{D5CDD505-2E9C-101B-9397-08002B2CF9AE}" pid="3" name="KSOProductBuildVer">
    <vt:lpwstr>2052-12.1.0.24034</vt:lpwstr>
  </property>
  <property fmtid="{D5CDD505-2E9C-101B-9397-08002B2CF9AE}" pid="4" name="ICV">
    <vt:lpwstr>FC1F4A6D50A54589A18AFB2448464C90_12</vt:lpwstr>
  </property>
</Properties>
</file>