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CDD1D" w14:textId="77777777" w:rsidR="000673B6" w:rsidRPr="00BC56AF" w:rsidRDefault="000673B6" w:rsidP="00BA775B">
      <w:pPr>
        <w:tabs>
          <w:tab w:val="left" w:pos="5643"/>
        </w:tabs>
      </w:pPr>
    </w:p>
    <w:p w14:paraId="3BAB50F7" w14:textId="77777777" w:rsidR="000673B6" w:rsidRPr="00BC56AF" w:rsidRDefault="000673B6" w:rsidP="00BA775B">
      <w:pPr>
        <w:ind w:left="2160" w:firstLine="720"/>
        <w:rPr>
          <w:rFonts w:eastAsia="宋体"/>
          <w:sz w:val="36"/>
          <w:szCs w:val="36"/>
        </w:rPr>
      </w:pPr>
      <w:r w:rsidRPr="00BC56AF">
        <w:rPr>
          <w:rFonts w:eastAsia="宋体"/>
          <w:sz w:val="36"/>
          <w:szCs w:val="36"/>
        </w:rPr>
        <w:t>Supplementary Materials for</w:t>
      </w:r>
    </w:p>
    <w:p w14:paraId="364DECBF" w14:textId="77777777" w:rsidR="000673B6" w:rsidRPr="00BA775B" w:rsidRDefault="000673B6" w:rsidP="00BA775B">
      <w:pPr>
        <w:rPr>
          <w:rFonts w:eastAsia="宋体"/>
          <w:sz w:val="24"/>
        </w:rPr>
      </w:pPr>
    </w:p>
    <w:p w14:paraId="66802D22" w14:textId="77777777" w:rsidR="000673B6" w:rsidRPr="00BA775B" w:rsidRDefault="000673B6" w:rsidP="00BA775B">
      <w:pPr>
        <w:jc w:val="center"/>
        <w:rPr>
          <w:rFonts w:eastAsia="宋体"/>
          <w:b/>
          <w:bCs/>
          <w:sz w:val="28"/>
          <w:szCs w:val="28"/>
        </w:rPr>
      </w:pPr>
      <w:r w:rsidRPr="00BA775B">
        <w:rPr>
          <w:rFonts w:eastAsia="宋体"/>
          <w:b/>
          <w:bCs/>
          <w:sz w:val="28"/>
          <w:szCs w:val="28"/>
        </w:rPr>
        <w:t>Positive feedback of marine N</w:t>
      </w:r>
      <w:r w:rsidRPr="00BA775B">
        <w:rPr>
          <w:rFonts w:eastAsia="宋体"/>
          <w:b/>
          <w:bCs/>
          <w:sz w:val="28"/>
          <w:szCs w:val="28"/>
          <w:vertAlign w:val="subscript"/>
        </w:rPr>
        <w:t>2</w:t>
      </w:r>
      <w:r w:rsidRPr="00BA775B">
        <w:rPr>
          <w:rFonts w:eastAsia="宋体"/>
          <w:b/>
          <w:bCs/>
          <w:sz w:val="28"/>
          <w:szCs w:val="28"/>
        </w:rPr>
        <w:t xml:space="preserve">O emissions during past extreme warming </w:t>
      </w:r>
    </w:p>
    <w:p w14:paraId="5E5051B5" w14:textId="77777777" w:rsidR="000673B6" w:rsidRPr="00BA775B" w:rsidRDefault="000673B6" w:rsidP="00BA775B">
      <w:pPr>
        <w:jc w:val="center"/>
        <w:rPr>
          <w:rFonts w:eastAsia="宋体"/>
          <w:sz w:val="28"/>
          <w:szCs w:val="28"/>
        </w:rPr>
      </w:pPr>
    </w:p>
    <w:p w14:paraId="4A5B7D39" w14:textId="77777777" w:rsidR="000673B6" w:rsidRPr="00BA775B" w:rsidRDefault="000673B6" w:rsidP="00BA775B">
      <w:pPr>
        <w:jc w:val="center"/>
        <w:rPr>
          <w:rFonts w:eastAsia="宋体"/>
          <w:sz w:val="24"/>
          <w:szCs w:val="24"/>
        </w:rPr>
      </w:pPr>
      <w:r w:rsidRPr="00BA775B">
        <w:rPr>
          <w:rFonts w:eastAsia="宋体"/>
          <w:sz w:val="24"/>
          <w:szCs w:val="24"/>
        </w:rPr>
        <w:t>Xiaoxiao Zhao</w:t>
      </w:r>
      <w:r w:rsidRPr="00BA775B">
        <w:rPr>
          <w:rFonts w:eastAsia="宋体"/>
          <w:sz w:val="24"/>
          <w:szCs w:val="24"/>
          <w:vertAlign w:val="superscript"/>
        </w:rPr>
        <w:t>1*</w:t>
      </w:r>
      <w:r w:rsidRPr="00BA775B">
        <w:rPr>
          <w:rFonts w:eastAsia="宋体"/>
          <w:sz w:val="24"/>
          <w:szCs w:val="24"/>
        </w:rPr>
        <w:t>, Fanny Monteiro</w:t>
      </w:r>
      <w:r w:rsidRPr="00BA775B">
        <w:rPr>
          <w:rFonts w:eastAsia="宋体"/>
          <w:sz w:val="24"/>
          <w:szCs w:val="24"/>
          <w:vertAlign w:val="superscript"/>
        </w:rPr>
        <w:t>2,16</w:t>
      </w:r>
      <w:r w:rsidRPr="00BA775B">
        <w:rPr>
          <w:rFonts w:eastAsia="宋体"/>
          <w:sz w:val="24"/>
          <w:szCs w:val="24"/>
        </w:rPr>
        <w:t>, Kevin W. Becker</w:t>
      </w:r>
      <w:r w:rsidRPr="00BA775B">
        <w:rPr>
          <w:rFonts w:eastAsia="宋体"/>
          <w:sz w:val="24"/>
          <w:szCs w:val="24"/>
          <w:vertAlign w:val="superscript"/>
        </w:rPr>
        <w:t>3,4,5</w:t>
      </w:r>
      <w:r w:rsidRPr="00BA775B">
        <w:rPr>
          <w:rFonts w:eastAsia="宋体"/>
          <w:sz w:val="24"/>
          <w:szCs w:val="24"/>
        </w:rPr>
        <w:t>, Lukas Dirksen</w:t>
      </w:r>
      <w:r w:rsidRPr="00BA775B">
        <w:rPr>
          <w:rFonts w:eastAsia="宋体"/>
          <w:sz w:val="24"/>
          <w:szCs w:val="24"/>
          <w:vertAlign w:val="superscript"/>
        </w:rPr>
        <w:t>5</w:t>
      </w:r>
      <w:r w:rsidRPr="00BA775B">
        <w:rPr>
          <w:rFonts w:eastAsia="宋体"/>
          <w:sz w:val="24"/>
          <w:szCs w:val="24"/>
        </w:rPr>
        <w:t>, Julia Cordes</w:t>
      </w:r>
      <w:r w:rsidRPr="00BA775B">
        <w:rPr>
          <w:rFonts w:eastAsia="宋体"/>
          <w:sz w:val="24"/>
          <w:szCs w:val="24"/>
          <w:vertAlign w:val="superscript"/>
        </w:rPr>
        <w:t>5</w:t>
      </w:r>
      <w:r w:rsidRPr="00BA775B">
        <w:rPr>
          <w:rFonts w:eastAsia="宋体"/>
          <w:sz w:val="24"/>
          <w:szCs w:val="24"/>
        </w:rPr>
        <w:t>, Julius S. Lipp</w:t>
      </w:r>
      <w:r w:rsidRPr="00BA775B">
        <w:rPr>
          <w:rFonts w:eastAsia="宋体"/>
          <w:sz w:val="24"/>
          <w:szCs w:val="24"/>
          <w:vertAlign w:val="superscript"/>
        </w:rPr>
        <w:t>5,6</w:t>
      </w:r>
      <w:r w:rsidRPr="00BA775B">
        <w:rPr>
          <w:rFonts w:eastAsia="宋体"/>
          <w:sz w:val="24"/>
          <w:szCs w:val="24"/>
        </w:rPr>
        <w:t>, Susan J. Carter</w:t>
      </w:r>
      <w:r w:rsidRPr="00BA775B">
        <w:rPr>
          <w:rFonts w:eastAsia="宋体"/>
          <w:sz w:val="24"/>
          <w:szCs w:val="24"/>
          <w:vertAlign w:val="superscript"/>
        </w:rPr>
        <w:t>7</w:t>
      </w:r>
      <w:r w:rsidRPr="00BA775B">
        <w:rPr>
          <w:rFonts w:eastAsia="宋体"/>
          <w:sz w:val="24"/>
          <w:szCs w:val="24"/>
        </w:rPr>
        <w:t>, Nathan Rochelle-Bates</w:t>
      </w:r>
      <w:r w:rsidRPr="00BA775B">
        <w:rPr>
          <w:rFonts w:eastAsia="宋体"/>
          <w:sz w:val="24"/>
          <w:szCs w:val="24"/>
          <w:vertAlign w:val="superscript"/>
        </w:rPr>
        <w:t>8</w:t>
      </w:r>
      <w:r w:rsidRPr="00BA775B">
        <w:rPr>
          <w:rFonts w:eastAsia="宋体"/>
          <w:sz w:val="24"/>
          <w:szCs w:val="24"/>
        </w:rPr>
        <w:t>, Emily Hollingsworth</w:t>
      </w:r>
      <w:r w:rsidRPr="00BA775B">
        <w:rPr>
          <w:rFonts w:eastAsia="宋体"/>
          <w:sz w:val="24"/>
          <w:szCs w:val="24"/>
          <w:vertAlign w:val="superscript"/>
        </w:rPr>
        <w:t>9</w:t>
      </w:r>
      <w:r w:rsidRPr="00BA775B">
        <w:rPr>
          <w:rFonts w:eastAsia="宋体"/>
          <w:sz w:val="24"/>
          <w:szCs w:val="24"/>
        </w:rPr>
        <w:t>, Morgan T. Jones</w:t>
      </w:r>
      <w:r w:rsidRPr="00BA775B">
        <w:rPr>
          <w:rFonts w:eastAsia="宋体"/>
          <w:sz w:val="24"/>
          <w:szCs w:val="24"/>
          <w:vertAlign w:val="superscript"/>
        </w:rPr>
        <w:t>10,11</w:t>
      </w:r>
      <w:r w:rsidRPr="00BA775B">
        <w:rPr>
          <w:rFonts w:eastAsia="宋体"/>
          <w:sz w:val="24"/>
          <w:szCs w:val="24"/>
        </w:rPr>
        <w:t>, Bo Pagh Schultz</w:t>
      </w:r>
      <w:r w:rsidRPr="00BA775B">
        <w:rPr>
          <w:rFonts w:eastAsia="宋体"/>
          <w:sz w:val="24"/>
          <w:szCs w:val="24"/>
          <w:vertAlign w:val="superscript"/>
        </w:rPr>
        <w:t>12</w:t>
      </w:r>
      <w:r w:rsidRPr="00BA775B">
        <w:rPr>
          <w:rFonts w:eastAsia="宋体"/>
          <w:sz w:val="24"/>
          <w:szCs w:val="24"/>
        </w:rPr>
        <w:t>, Alexander J. Dickson</w:t>
      </w:r>
      <w:r w:rsidRPr="00BA775B">
        <w:rPr>
          <w:rFonts w:eastAsia="宋体"/>
          <w:sz w:val="24"/>
          <w:szCs w:val="24"/>
          <w:vertAlign w:val="superscript"/>
        </w:rPr>
        <w:t>13</w:t>
      </w:r>
      <w:r w:rsidRPr="00BA775B">
        <w:rPr>
          <w:rFonts w:eastAsia="宋体"/>
          <w:sz w:val="24"/>
          <w:szCs w:val="24"/>
        </w:rPr>
        <w:t>, Mustafa Kaya</w:t>
      </w:r>
      <w:r w:rsidRPr="00BA775B">
        <w:rPr>
          <w:rFonts w:eastAsia="宋体"/>
          <w:sz w:val="24"/>
          <w:szCs w:val="24"/>
          <w:vertAlign w:val="superscript"/>
        </w:rPr>
        <w:t>14</w:t>
      </w:r>
      <w:r w:rsidRPr="00BA775B">
        <w:rPr>
          <w:rFonts w:eastAsia="宋体"/>
          <w:sz w:val="24"/>
          <w:szCs w:val="24"/>
        </w:rPr>
        <w:t>, Eva Stüeken</w:t>
      </w:r>
      <w:r w:rsidRPr="00BA775B">
        <w:rPr>
          <w:rFonts w:eastAsia="宋体"/>
          <w:sz w:val="24"/>
          <w:szCs w:val="24"/>
          <w:vertAlign w:val="superscript"/>
        </w:rPr>
        <w:t>8</w:t>
      </w:r>
      <w:r w:rsidRPr="00BA775B">
        <w:rPr>
          <w:rFonts w:eastAsia="宋体"/>
          <w:sz w:val="24"/>
          <w:szCs w:val="24"/>
        </w:rPr>
        <w:t>, Gordon Inglis</w:t>
      </w:r>
      <w:r w:rsidRPr="00BA775B">
        <w:rPr>
          <w:rFonts w:eastAsia="宋体"/>
          <w:sz w:val="24"/>
          <w:szCs w:val="24"/>
          <w:vertAlign w:val="superscript"/>
        </w:rPr>
        <w:t>9</w:t>
      </w:r>
      <w:r w:rsidRPr="00BA775B">
        <w:rPr>
          <w:rFonts w:eastAsia="宋体"/>
          <w:sz w:val="24"/>
          <w:szCs w:val="24"/>
        </w:rPr>
        <w:t>, Rich Pancost</w:t>
      </w:r>
      <w:r w:rsidRPr="00BA775B">
        <w:rPr>
          <w:rFonts w:eastAsia="宋体"/>
          <w:sz w:val="24"/>
          <w:szCs w:val="24"/>
          <w:vertAlign w:val="superscript"/>
        </w:rPr>
        <w:t>15</w:t>
      </w:r>
      <w:r w:rsidRPr="00BA775B">
        <w:rPr>
          <w:rFonts w:eastAsia="宋体"/>
          <w:sz w:val="24"/>
          <w:szCs w:val="24"/>
        </w:rPr>
        <w:t>, Kai-Uwe Hinrichs</w:t>
      </w:r>
      <w:r w:rsidRPr="00BA775B">
        <w:rPr>
          <w:rFonts w:eastAsia="宋体"/>
          <w:sz w:val="24"/>
          <w:szCs w:val="24"/>
          <w:vertAlign w:val="superscript"/>
        </w:rPr>
        <w:t>5,6</w:t>
      </w:r>
      <w:r w:rsidRPr="00BA775B">
        <w:rPr>
          <w:rFonts w:eastAsia="宋体"/>
          <w:sz w:val="24"/>
          <w:szCs w:val="24"/>
        </w:rPr>
        <w:t>, Ann Pearson</w:t>
      </w:r>
      <w:r w:rsidRPr="00BA775B">
        <w:rPr>
          <w:rFonts w:eastAsia="宋体"/>
          <w:sz w:val="24"/>
          <w:szCs w:val="24"/>
          <w:vertAlign w:val="superscript"/>
        </w:rPr>
        <w:t>7</w:t>
      </w:r>
      <w:r w:rsidRPr="00BA775B">
        <w:rPr>
          <w:rFonts w:eastAsia="宋体"/>
          <w:sz w:val="24"/>
          <w:szCs w:val="24"/>
        </w:rPr>
        <w:t>, Felix J. Elling</w:t>
      </w:r>
      <w:r w:rsidRPr="00BA775B">
        <w:rPr>
          <w:rFonts w:eastAsia="宋体"/>
          <w:sz w:val="24"/>
          <w:szCs w:val="24"/>
          <w:vertAlign w:val="superscript"/>
        </w:rPr>
        <w:t>1*</w:t>
      </w:r>
    </w:p>
    <w:p w14:paraId="32DFBFD6" w14:textId="77777777" w:rsidR="000673B6" w:rsidRPr="00BA775B" w:rsidRDefault="000673B6" w:rsidP="00BA775B">
      <w:pPr>
        <w:jc w:val="center"/>
        <w:rPr>
          <w:rFonts w:eastAsia="宋体"/>
          <w:sz w:val="24"/>
          <w:szCs w:val="24"/>
        </w:rPr>
      </w:pPr>
    </w:p>
    <w:p w14:paraId="4CCF3D33" w14:textId="77777777" w:rsidR="000673B6" w:rsidRPr="00BA775B" w:rsidRDefault="000673B6" w:rsidP="00BA775B">
      <w:pPr>
        <w:jc w:val="center"/>
        <w:rPr>
          <w:rFonts w:eastAsia="宋体"/>
          <w:sz w:val="24"/>
          <w:szCs w:val="24"/>
        </w:rPr>
      </w:pPr>
    </w:p>
    <w:p w14:paraId="456B99CE" w14:textId="77777777" w:rsidR="000673B6" w:rsidRPr="00BA775B" w:rsidRDefault="000673B6" w:rsidP="00BA775B">
      <w:pPr>
        <w:jc w:val="center"/>
        <w:rPr>
          <w:rFonts w:eastAsia="宋体"/>
          <w:sz w:val="24"/>
          <w:szCs w:val="24"/>
        </w:rPr>
      </w:pPr>
      <w:r w:rsidRPr="00BA775B">
        <w:rPr>
          <w:rFonts w:eastAsia="宋体"/>
          <w:sz w:val="24"/>
          <w:szCs w:val="24"/>
        </w:rPr>
        <w:t xml:space="preserve">Corresponding author: </w:t>
      </w:r>
      <w:hyperlink r:id="rId5">
        <w:r w:rsidRPr="00BA775B">
          <w:rPr>
            <w:rFonts w:eastAsia="宋体"/>
            <w:color w:val="0000FF"/>
            <w:sz w:val="24"/>
            <w:u w:val="single"/>
          </w:rPr>
          <w:t>xzhao@leibniz.uni-kiel.de</w:t>
        </w:r>
      </w:hyperlink>
      <w:r w:rsidRPr="00BA775B">
        <w:rPr>
          <w:rFonts w:eastAsia="宋体"/>
          <w:sz w:val="24"/>
        </w:rPr>
        <w:t>, felling@leibniz.uni-kiel.de</w:t>
      </w:r>
    </w:p>
    <w:p w14:paraId="4BF84A3A" w14:textId="77777777" w:rsidR="000673B6" w:rsidRPr="00BA775B" w:rsidRDefault="000673B6" w:rsidP="00BA775B">
      <w:pPr>
        <w:rPr>
          <w:rFonts w:eastAsia="宋体"/>
          <w:sz w:val="24"/>
        </w:rPr>
      </w:pPr>
    </w:p>
    <w:p w14:paraId="0F447D79" w14:textId="77777777" w:rsidR="000673B6" w:rsidRPr="00BA775B" w:rsidRDefault="000673B6" w:rsidP="00BA775B">
      <w:pPr>
        <w:rPr>
          <w:rFonts w:eastAsia="宋体"/>
          <w:b/>
          <w:sz w:val="24"/>
        </w:rPr>
      </w:pPr>
    </w:p>
    <w:p w14:paraId="518E3BBC" w14:textId="77777777" w:rsidR="000673B6" w:rsidRPr="00BC56AF" w:rsidRDefault="000673B6">
      <w:pPr>
        <w:rPr>
          <w:rFonts w:eastAsia="Times New Roman"/>
          <w:b/>
          <w:bCs/>
          <w:kern w:val="28"/>
          <w:sz w:val="24"/>
          <w:szCs w:val="24"/>
        </w:rPr>
      </w:pPr>
    </w:p>
    <w:p w14:paraId="58967EA7" w14:textId="77777777" w:rsidR="000673B6" w:rsidRPr="00BC56AF" w:rsidRDefault="000673B6">
      <w:pPr>
        <w:rPr>
          <w:rFonts w:eastAsia="Times New Roman"/>
          <w:color w:val="262626"/>
          <w:kern w:val="28"/>
          <w:sz w:val="24"/>
          <w:szCs w:val="24"/>
        </w:rPr>
      </w:pPr>
      <w:r w:rsidRPr="00BC56AF">
        <w:rPr>
          <w:b/>
          <w:bCs/>
          <w:color w:val="262626"/>
        </w:rPr>
        <w:br w:type="page"/>
      </w:r>
    </w:p>
    <w:p w14:paraId="2085A0F7" w14:textId="77777777" w:rsidR="000673B6" w:rsidRPr="00BC56AF" w:rsidRDefault="000673B6" w:rsidP="00C46C2A">
      <w:pPr>
        <w:keepNext/>
        <w:spacing w:before="240" w:after="60"/>
        <w:outlineLvl w:val="0"/>
        <w:rPr>
          <w:rFonts w:eastAsia="宋体"/>
          <w:b/>
          <w:bCs/>
          <w:kern w:val="32"/>
          <w:sz w:val="24"/>
          <w:szCs w:val="24"/>
        </w:rPr>
      </w:pPr>
      <w:r w:rsidRPr="00BC56AF">
        <w:rPr>
          <w:rFonts w:eastAsia="宋体"/>
          <w:b/>
          <w:bCs/>
          <w:kern w:val="32"/>
          <w:sz w:val="24"/>
          <w:szCs w:val="24"/>
        </w:rPr>
        <w:lastRenderedPageBreak/>
        <w:t>Supplementary Text</w:t>
      </w:r>
    </w:p>
    <w:p w14:paraId="417CE478" w14:textId="77777777" w:rsidR="000673B6" w:rsidRPr="00BC56AF" w:rsidRDefault="000673B6" w:rsidP="00C46C2A">
      <w:pPr>
        <w:rPr>
          <w:sz w:val="24"/>
          <w:szCs w:val="24"/>
        </w:rPr>
      </w:pPr>
    </w:p>
    <w:p w14:paraId="6F55A708" w14:textId="77777777" w:rsidR="000673B6" w:rsidRPr="00BC56AF" w:rsidRDefault="000673B6" w:rsidP="00C46C2A">
      <w:pPr>
        <w:pStyle w:val="SMSubheading"/>
        <w:rPr>
          <w:szCs w:val="24"/>
          <w:u w:val="single"/>
        </w:rPr>
      </w:pPr>
      <w:r w:rsidRPr="00BC56AF">
        <w:rPr>
          <w:szCs w:val="24"/>
          <w:u w:val="single"/>
        </w:rPr>
        <w:t xml:space="preserve">Nitrification </w:t>
      </w:r>
    </w:p>
    <w:p w14:paraId="43F5DD22" w14:textId="77777777" w:rsidR="000673B6" w:rsidRPr="00BC56AF" w:rsidRDefault="000673B6" w:rsidP="00C46C2A">
      <w:pPr>
        <w:rPr>
          <w:sz w:val="24"/>
          <w:szCs w:val="24"/>
        </w:rPr>
      </w:pPr>
      <w:r w:rsidRPr="00BC56AF">
        <w:rPr>
          <w:sz w:val="24"/>
          <w:szCs w:val="24"/>
        </w:rPr>
        <w:t>In addition to enhanced nitrification, changes in MAR</w:t>
      </w:r>
      <w:r w:rsidRPr="00BC56AF">
        <w:rPr>
          <w:sz w:val="24"/>
          <w:szCs w:val="24"/>
          <w:vertAlign w:val="subscript"/>
        </w:rPr>
        <w:t>cren</w:t>
      </w:r>
      <w:r w:rsidRPr="00BC56AF">
        <w:rPr>
          <w:sz w:val="24"/>
          <w:szCs w:val="24"/>
        </w:rPr>
        <w:t xml:space="preserve"> could be influenced by changes in temperature or organic matter preservation. First, increased temperature during the PETM could have led to higher crenarchaeol abundance relative to other GDGTs, which would reflect archaeal adaptation to higher temperature</w:t>
      </w:r>
      <w:r w:rsidRPr="00BC56AF">
        <w:rPr>
          <w:noProof/>
          <w:sz w:val="24"/>
          <w:szCs w:val="24"/>
          <w:vertAlign w:val="superscript"/>
        </w:rPr>
        <w:t>1-3</w:t>
      </w:r>
      <w:r w:rsidRPr="00BC56AF">
        <w:rPr>
          <w:sz w:val="24"/>
          <w:szCs w:val="24"/>
        </w:rPr>
        <w:t>, potentially resulting in higher MAR</w:t>
      </w:r>
      <w:r w:rsidRPr="00BC56AF">
        <w:rPr>
          <w:sz w:val="24"/>
          <w:szCs w:val="24"/>
          <w:vertAlign w:val="subscript"/>
        </w:rPr>
        <w:t>cren</w:t>
      </w:r>
      <w:r w:rsidRPr="00BC56AF">
        <w:rPr>
          <w:sz w:val="24"/>
          <w:szCs w:val="24"/>
        </w:rPr>
        <w:t xml:space="preserve"> under constant GDGT production rates. Second, higher preservation of organic matter due to decreased ocean oxygenation during the PETM could have led to enhanced preservation compared to the pre-PETM, inflating MAR</w:t>
      </w:r>
      <w:r w:rsidRPr="00BC56AF">
        <w:rPr>
          <w:sz w:val="24"/>
          <w:szCs w:val="24"/>
          <w:vertAlign w:val="subscript"/>
        </w:rPr>
        <w:t>cren</w:t>
      </w:r>
      <w:r w:rsidRPr="00BC56AF">
        <w:rPr>
          <w:sz w:val="24"/>
          <w:szCs w:val="24"/>
        </w:rPr>
        <w:t xml:space="preserve"> during the PETM. To evaluate whether changes in MAR</w:t>
      </w:r>
      <w:r w:rsidRPr="00BC56AF">
        <w:rPr>
          <w:sz w:val="24"/>
          <w:szCs w:val="24"/>
          <w:vertAlign w:val="subscript"/>
        </w:rPr>
        <w:t>cren</w:t>
      </w:r>
      <w:r w:rsidRPr="00BC56AF">
        <w:rPr>
          <w:sz w:val="24"/>
          <w:szCs w:val="24"/>
        </w:rPr>
        <w:t xml:space="preserve"> reflect preservation or temperature change, we normalized GDGT concentrations to TOC (</w:t>
      </w:r>
      <w:r w:rsidRPr="00DB17BF">
        <w:rPr>
          <w:sz w:val="24"/>
          <w:szCs w:val="24"/>
        </w:rPr>
        <w:t>Extended Data Fig. S1</w:t>
      </w:r>
      <w:r w:rsidRPr="00BC56AF">
        <w:rPr>
          <w:sz w:val="24"/>
          <w:szCs w:val="24"/>
        </w:rPr>
        <w:t>). Normalized crenarchaeol concentrations increased during the PETM at sites IODP 302, ODP 959, Fur Formation, Kheu River, and ODP 174 AX Ancora, but showed little or no change at ODP 1172 and IODP 1403. This pattern is identical to what is observed in MAR</w:t>
      </w:r>
      <w:r w:rsidRPr="00BC56AF">
        <w:rPr>
          <w:sz w:val="24"/>
          <w:szCs w:val="24"/>
          <w:vertAlign w:val="subscript"/>
        </w:rPr>
        <w:t>cren</w:t>
      </w:r>
      <w:r w:rsidRPr="00BC56AF">
        <w:rPr>
          <w:sz w:val="24"/>
          <w:szCs w:val="24"/>
        </w:rPr>
        <w:t xml:space="preserve"> and thus suggests that the increase in MAR</w:t>
      </w:r>
      <w:r w:rsidRPr="00BC56AF">
        <w:rPr>
          <w:sz w:val="24"/>
          <w:szCs w:val="24"/>
          <w:vertAlign w:val="subscript"/>
        </w:rPr>
        <w:t>cren</w:t>
      </w:r>
      <w:r w:rsidRPr="00BC56AF">
        <w:rPr>
          <w:sz w:val="24"/>
          <w:szCs w:val="24"/>
        </w:rPr>
        <w:t xml:space="preserve"> was not solely driven by improved organic matter preservation. Furthermore, normalized concentrations of GDGT-1, GDGT-2, and GDGT-3 also rose during the PETM. Although these compounds can be produced by a broader range of archaea and are not as specific as crenarchaeol</w:t>
      </w:r>
      <w:r w:rsidRPr="00BC56AF">
        <w:rPr>
          <w:noProof/>
          <w:sz w:val="24"/>
          <w:szCs w:val="24"/>
          <w:vertAlign w:val="superscript"/>
        </w:rPr>
        <w:t>4</w:t>
      </w:r>
      <w:r w:rsidRPr="00BC56AF">
        <w:rPr>
          <w:sz w:val="24"/>
          <w:szCs w:val="24"/>
        </w:rPr>
        <w:t>, their primary source in the ocean is the same as for crenarchaeol</w:t>
      </w:r>
      <w:r w:rsidRPr="00BC56AF">
        <w:rPr>
          <w:noProof/>
          <w:sz w:val="24"/>
          <w:szCs w:val="24"/>
          <w:vertAlign w:val="superscript"/>
        </w:rPr>
        <w:t>4,5</w:t>
      </w:r>
      <w:r w:rsidRPr="00BC56AF">
        <w:rPr>
          <w:sz w:val="24"/>
          <w:szCs w:val="24"/>
        </w:rPr>
        <w:t xml:space="preserve">. The parallel increase of GDGT-1, -2, -3 and crenarchaeol implies that the observed increase in crenarchaeol during the PETM was not driven by temperature increase. </w:t>
      </w:r>
    </w:p>
    <w:p w14:paraId="4A314BAD" w14:textId="77777777" w:rsidR="000673B6" w:rsidRPr="00BC56AF" w:rsidRDefault="000673B6" w:rsidP="00C46C2A">
      <w:pPr>
        <w:rPr>
          <w:sz w:val="24"/>
          <w:szCs w:val="24"/>
        </w:rPr>
      </w:pPr>
    </w:p>
    <w:p w14:paraId="6030FC05" w14:textId="77777777" w:rsidR="000673B6" w:rsidRPr="00BC56AF" w:rsidRDefault="000673B6" w:rsidP="00C46C2A">
      <w:pPr>
        <w:rPr>
          <w:sz w:val="24"/>
          <w:szCs w:val="24"/>
        </w:rPr>
      </w:pPr>
    </w:p>
    <w:p w14:paraId="5241334B" w14:textId="77777777" w:rsidR="000673B6" w:rsidRPr="00BC56AF" w:rsidRDefault="000673B6" w:rsidP="00C46C2A">
      <w:pPr>
        <w:pStyle w:val="SMSubheading"/>
        <w:rPr>
          <w:szCs w:val="24"/>
          <w:u w:val="single"/>
        </w:rPr>
      </w:pPr>
      <w:r w:rsidRPr="00BC56AF">
        <w:rPr>
          <w:szCs w:val="24"/>
          <w:u w:val="single"/>
        </w:rPr>
        <w:t>Linear sedimentation rate:</w:t>
      </w:r>
    </w:p>
    <w:p w14:paraId="2A59982B" w14:textId="77777777" w:rsidR="000673B6" w:rsidRPr="00BC56AF" w:rsidRDefault="000673B6" w:rsidP="00C46C2A">
      <w:pPr>
        <w:rPr>
          <w:sz w:val="24"/>
          <w:szCs w:val="24"/>
        </w:rPr>
      </w:pPr>
      <w:r w:rsidRPr="00BC56AF">
        <w:rPr>
          <w:sz w:val="24"/>
          <w:szCs w:val="24"/>
        </w:rPr>
        <w:t>Linear sedimentation rate (LSR) estimates used in this study were compiled from published literature. For most sites, LSRs have been previously described (</w:t>
      </w:r>
      <w:r>
        <w:rPr>
          <w:sz w:val="24"/>
          <w:szCs w:val="24"/>
        </w:rPr>
        <w:t xml:space="preserve">Supplementary </w:t>
      </w:r>
      <w:r w:rsidRPr="00BC56AF">
        <w:rPr>
          <w:sz w:val="24"/>
          <w:szCs w:val="24"/>
        </w:rPr>
        <w:t xml:space="preserve">Fig. </w:t>
      </w:r>
      <w:r>
        <w:rPr>
          <w:sz w:val="24"/>
          <w:szCs w:val="24"/>
        </w:rPr>
        <w:t>5</w:t>
      </w:r>
      <w:r w:rsidRPr="00BC56AF">
        <w:rPr>
          <w:sz w:val="24"/>
          <w:szCs w:val="24"/>
        </w:rPr>
        <w:t>, along with their respective references). Additional details for sites where estimates were derived or recalculated are provided below.</w:t>
      </w:r>
    </w:p>
    <w:p w14:paraId="4A2F6DE1" w14:textId="77777777" w:rsidR="000673B6" w:rsidRPr="00BC56AF" w:rsidRDefault="000673B6" w:rsidP="00C46C2A">
      <w:pPr>
        <w:rPr>
          <w:sz w:val="24"/>
          <w:szCs w:val="24"/>
        </w:rPr>
      </w:pPr>
      <w:r w:rsidRPr="00BC56AF">
        <w:rPr>
          <w:sz w:val="24"/>
          <w:szCs w:val="24"/>
        </w:rPr>
        <w:t>Kheu River:</w:t>
      </w:r>
    </w:p>
    <w:p w14:paraId="18973CCA" w14:textId="77777777" w:rsidR="000673B6" w:rsidRPr="00BC56AF" w:rsidRDefault="000673B6" w:rsidP="00C46C2A">
      <w:pPr>
        <w:rPr>
          <w:sz w:val="24"/>
          <w:szCs w:val="24"/>
        </w:rPr>
      </w:pPr>
      <w:r w:rsidRPr="00BC56AF">
        <w:rPr>
          <w:sz w:val="24"/>
          <w:szCs w:val="24"/>
        </w:rPr>
        <w:t>We defined the PETM carbon isotope excursion (CIE) body between 0 m and 118 m based on δ</w:t>
      </w:r>
      <w:r w:rsidRPr="00BC56AF">
        <w:rPr>
          <w:sz w:val="24"/>
          <w:szCs w:val="24"/>
          <w:vertAlign w:val="superscript"/>
        </w:rPr>
        <w:t>13</w:t>
      </w:r>
      <w:r w:rsidRPr="00BC56AF">
        <w:rPr>
          <w:sz w:val="24"/>
          <w:szCs w:val="24"/>
        </w:rPr>
        <w:t>C</w:t>
      </w:r>
      <w:r w:rsidRPr="00BC56AF">
        <w:rPr>
          <w:sz w:val="24"/>
          <w:szCs w:val="24"/>
          <w:vertAlign w:val="subscript"/>
        </w:rPr>
        <w:t>TOC</w:t>
      </w:r>
      <w:r w:rsidRPr="00BC56AF">
        <w:rPr>
          <w:sz w:val="24"/>
          <w:szCs w:val="24"/>
        </w:rPr>
        <w:t xml:space="preserve"> data</w:t>
      </w:r>
      <w:r w:rsidRPr="00BC56AF">
        <w:rPr>
          <w:noProof/>
          <w:sz w:val="24"/>
          <w:szCs w:val="24"/>
          <w:vertAlign w:val="superscript"/>
        </w:rPr>
        <w:t>6</w:t>
      </w:r>
      <w:r w:rsidRPr="00BC56AF">
        <w:rPr>
          <w:sz w:val="24"/>
          <w:szCs w:val="24"/>
        </w:rPr>
        <w:t xml:space="preserve">. Assuming a 170 kyr duration for the CIE, the corresponding LSR within the PETM body is estimated at 0.69 cm kyr⁻¹. The LSRs for the pre-PETM and post-PETM intervals were taken from the background sedimentation rates of the Aktumsuk section (0.3 cm kyr⁻¹; ref. </w:t>
      </w:r>
      <w:r w:rsidRPr="00BC56AF">
        <w:rPr>
          <w:noProof/>
          <w:sz w:val="24"/>
          <w:szCs w:val="24"/>
          <w:vertAlign w:val="superscript"/>
        </w:rPr>
        <w:t>7,8</w:t>
      </w:r>
      <w:r w:rsidRPr="00BC56AF">
        <w:rPr>
          <w:sz w:val="24"/>
          <w:szCs w:val="24"/>
        </w:rPr>
        <w:t>).</w:t>
      </w:r>
    </w:p>
    <w:p w14:paraId="7D03C202" w14:textId="77777777" w:rsidR="000673B6" w:rsidRPr="00BC56AF" w:rsidRDefault="000673B6" w:rsidP="00C46C2A">
      <w:pPr>
        <w:rPr>
          <w:sz w:val="24"/>
          <w:szCs w:val="24"/>
        </w:rPr>
      </w:pPr>
    </w:p>
    <w:p w14:paraId="1436C283" w14:textId="77777777" w:rsidR="000673B6" w:rsidRPr="00BC56AF" w:rsidRDefault="000673B6" w:rsidP="00C46C2A">
      <w:pPr>
        <w:rPr>
          <w:sz w:val="24"/>
          <w:szCs w:val="24"/>
        </w:rPr>
      </w:pPr>
      <w:r w:rsidRPr="00BC56AF">
        <w:rPr>
          <w:sz w:val="24"/>
          <w:szCs w:val="24"/>
        </w:rPr>
        <w:t>Fur Formation:</w:t>
      </w:r>
    </w:p>
    <w:p w14:paraId="13D0D1C4" w14:textId="77777777" w:rsidR="000673B6" w:rsidRPr="00BC56AF" w:rsidRDefault="000673B6" w:rsidP="00C46C2A">
      <w:pPr>
        <w:rPr>
          <w:sz w:val="24"/>
          <w:szCs w:val="24"/>
        </w:rPr>
      </w:pPr>
      <w:r w:rsidRPr="00BC56AF">
        <w:rPr>
          <w:sz w:val="24"/>
          <w:szCs w:val="24"/>
        </w:rPr>
        <w:t>The PETM CIE body occurs within the Stolleklint Clay. The onset of the CIE is tied to 55.935 Ma, and the recovery begins at 55.765 Ma, assuming a total CIE duration of 170 kyr. The end of the PETM is set at 55.7 Ma</w:t>
      </w:r>
      <w:r w:rsidRPr="00BC56AF">
        <w:rPr>
          <w:noProof/>
          <w:sz w:val="24"/>
          <w:szCs w:val="24"/>
          <w:vertAlign w:val="superscript"/>
        </w:rPr>
        <w:t>9</w:t>
      </w:r>
      <w:r w:rsidRPr="00BC56AF">
        <w:rPr>
          <w:sz w:val="24"/>
          <w:szCs w:val="24"/>
        </w:rPr>
        <w:t>. Based on a CIE body thickness of 24.2 m and recovery thickness of 4.53 m</w:t>
      </w:r>
      <w:r w:rsidRPr="00BC56AF">
        <w:rPr>
          <w:noProof/>
          <w:sz w:val="24"/>
          <w:szCs w:val="24"/>
          <w:vertAlign w:val="superscript"/>
        </w:rPr>
        <w:t>10</w:t>
      </w:r>
      <w:r w:rsidRPr="00BC56AF">
        <w:rPr>
          <w:sz w:val="24"/>
          <w:szCs w:val="24"/>
        </w:rPr>
        <w:t xml:space="preserve">, the calculated LSRs are 14.24 cm kyr⁻¹ for the CIE body and 6.97 cm kyr⁻¹ for the recovery phase. The pre-PETM LSR is 2.2 cm kyr⁻¹ (ref. </w:t>
      </w:r>
      <w:r w:rsidRPr="00BC56AF">
        <w:rPr>
          <w:noProof/>
          <w:sz w:val="24"/>
          <w:szCs w:val="24"/>
          <w:vertAlign w:val="superscript"/>
        </w:rPr>
        <w:t>9</w:t>
      </w:r>
      <w:r w:rsidRPr="00BC56AF">
        <w:rPr>
          <w:sz w:val="24"/>
          <w:szCs w:val="24"/>
        </w:rPr>
        <w:t>).</w:t>
      </w:r>
    </w:p>
    <w:p w14:paraId="4D0C0C31" w14:textId="77777777" w:rsidR="000673B6" w:rsidRPr="00BC56AF" w:rsidRDefault="000673B6" w:rsidP="00C46C2A">
      <w:pPr>
        <w:rPr>
          <w:sz w:val="24"/>
          <w:szCs w:val="24"/>
        </w:rPr>
      </w:pPr>
    </w:p>
    <w:p w14:paraId="623C9249" w14:textId="77777777" w:rsidR="000673B6" w:rsidRPr="00BC56AF" w:rsidRDefault="000673B6" w:rsidP="00C46C2A">
      <w:pPr>
        <w:rPr>
          <w:sz w:val="24"/>
          <w:szCs w:val="24"/>
        </w:rPr>
      </w:pPr>
      <w:r w:rsidRPr="00BC56AF">
        <w:rPr>
          <w:sz w:val="24"/>
          <w:szCs w:val="24"/>
        </w:rPr>
        <w:t>Qimugen Formation:</w:t>
      </w:r>
    </w:p>
    <w:p w14:paraId="48C4D63B" w14:textId="77777777" w:rsidR="000673B6" w:rsidRPr="00BC56AF" w:rsidRDefault="000673B6" w:rsidP="00C46C2A">
      <w:pPr>
        <w:rPr>
          <w:sz w:val="24"/>
          <w:szCs w:val="24"/>
        </w:rPr>
      </w:pPr>
      <w:r w:rsidRPr="00BC56AF">
        <w:rPr>
          <w:sz w:val="24"/>
          <w:szCs w:val="24"/>
        </w:rPr>
        <w:t>Age constraints are based on microfossil assemblages</w:t>
      </w:r>
      <w:r w:rsidRPr="00BC56AF">
        <w:rPr>
          <w:noProof/>
          <w:sz w:val="24"/>
          <w:szCs w:val="24"/>
          <w:vertAlign w:val="superscript"/>
        </w:rPr>
        <w:t>11</w:t>
      </w:r>
      <w:r w:rsidRPr="00BC56AF">
        <w:rPr>
          <w:sz w:val="24"/>
          <w:szCs w:val="24"/>
        </w:rPr>
        <w:t>. The base of the Lower Member of the Qimugen Formation is correlated with the Selandian–Thanetian boundary (ca. 59.2 Ma), and the onset of the PETM is assigned to ca. 56 Ma</w:t>
      </w:r>
      <w:r w:rsidRPr="00BC56AF">
        <w:rPr>
          <w:noProof/>
          <w:sz w:val="24"/>
          <w:szCs w:val="24"/>
          <w:vertAlign w:val="superscript"/>
        </w:rPr>
        <w:t>11</w:t>
      </w:r>
      <w:r w:rsidRPr="00BC56AF">
        <w:rPr>
          <w:sz w:val="24"/>
          <w:szCs w:val="24"/>
        </w:rPr>
        <w:t xml:space="preserve">. The LSR within the PETM CIE body is 6 cm kyr⁻¹, while the pre-PETM LSR is 0.82 cm kyr⁻¹ (ref. </w:t>
      </w:r>
      <w:r w:rsidRPr="00BC56AF">
        <w:rPr>
          <w:noProof/>
          <w:sz w:val="24"/>
          <w:szCs w:val="24"/>
          <w:vertAlign w:val="superscript"/>
        </w:rPr>
        <w:t>12</w:t>
      </w:r>
      <w:r w:rsidRPr="00BC56AF">
        <w:rPr>
          <w:sz w:val="24"/>
          <w:szCs w:val="24"/>
        </w:rPr>
        <w:t xml:space="preserve">). </w:t>
      </w:r>
    </w:p>
    <w:p w14:paraId="425B7BDC" w14:textId="77777777" w:rsidR="000673B6" w:rsidRPr="00BC56AF" w:rsidRDefault="000673B6" w:rsidP="00C46C2A">
      <w:pPr>
        <w:rPr>
          <w:sz w:val="24"/>
          <w:szCs w:val="24"/>
        </w:rPr>
      </w:pPr>
    </w:p>
    <w:p w14:paraId="4AAB8C60" w14:textId="77777777" w:rsidR="000673B6" w:rsidRPr="00BC56AF" w:rsidRDefault="000673B6" w:rsidP="00C46C2A">
      <w:pPr>
        <w:pStyle w:val="SMSubheading"/>
        <w:rPr>
          <w:szCs w:val="24"/>
          <w:u w:val="single"/>
        </w:rPr>
      </w:pPr>
      <w:r w:rsidRPr="00BC56AF">
        <w:rPr>
          <w:szCs w:val="24"/>
          <w:u w:val="single"/>
        </w:rPr>
        <w:t xml:space="preserve">Nitrogen loss </w:t>
      </w:r>
    </w:p>
    <w:p w14:paraId="32351678" w14:textId="77777777" w:rsidR="000673B6" w:rsidRPr="00BC56AF" w:rsidRDefault="000673B6" w:rsidP="00C46C2A">
      <w:pPr>
        <w:rPr>
          <w:sz w:val="24"/>
          <w:szCs w:val="24"/>
        </w:rPr>
      </w:pPr>
      <w:r w:rsidRPr="00BC56AF">
        <w:rPr>
          <w:sz w:val="24"/>
          <w:szCs w:val="24"/>
        </w:rPr>
        <w:t>Nitrogen loss from the water column through denitrification and anammox is closely regulated by oxygen availability. BHT-</w:t>
      </w:r>
      <w:r w:rsidRPr="00BC56AF">
        <w:rPr>
          <w:i/>
          <w:iCs/>
          <w:sz w:val="24"/>
          <w:szCs w:val="24"/>
        </w:rPr>
        <w:t>x</w:t>
      </w:r>
      <w:r w:rsidRPr="00BC56AF">
        <w:rPr>
          <w:sz w:val="24"/>
          <w:szCs w:val="24"/>
        </w:rPr>
        <w:t xml:space="preserve">, a structural isomer of BHT produced exclusively by marine anammox bacteria such as </w:t>
      </w:r>
      <w:r w:rsidRPr="00BC56AF">
        <w:rPr>
          <w:i/>
          <w:iCs/>
          <w:sz w:val="24"/>
          <w:szCs w:val="24"/>
        </w:rPr>
        <w:t>Ca. Scalindua brodae</w:t>
      </w:r>
      <w:r w:rsidRPr="00BC56AF">
        <w:rPr>
          <w:sz w:val="24"/>
          <w:szCs w:val="24"/>
        </w:rPr>
        <w:t>, has been established as a biomarker for anammox activity</w:t>
      </w:r>
      <w:r w:rsidRPr="00BC56AF">
        <w:rPr>
          <w:noProof/>
          <w:sz w:val="24"/>
          <w:szCs w:val="24"/>
          <w:vertAlign w:val="superscript"/>
        </w:rPr>
        <w:t>13-15</w:t>
      </w:r>
      <w:r w:rsidRPr="00BC56AF">
        <w:rPr>
          <w:sz w:val="24"/>
          <w:szCs w:val="24"/>
        </w:rPr>
        <w:t>. Its relative abundance, expressed as the ratio</w:t>
      </w:r>
    </w:p>
    <w:p w14:paraId="39ABBA08" w14:textId="77777777" w:rsidR="000673B6" w:rsidRPr="00BC56AF" w:rsidRDefault="000673B6" w:rsidP="00C46C2A">
      <w:pPr>
        <w:rPr>
          <w:sz w:val="24"/>
          <w:szCs w:val="24"/>
        </w:rPr>
      </w:pPr>
    </w:p>
    <w:p w14:paraId="0C0CA6D7" w14:textId="77777777" w:rsidR="000673B6" w:rsidRPr="00BC56AF" w:rsidRDefault="000673B6" w:rsidP="00C46C2A">
      <w:pPr>
        <w:rPr>
          <w:sz w:val="24"/>
          <w:szCs w:val="24"/>
        </w:rPr>
      </w:pPr>
      <w:r w:rsidRPr="00BC56AF">
        <w:rPr>
          <w:sz w:val="24"/>
          <w:szCs w:val="24"/>
        </w:rPr>
        <w:t>BHT-</w:t>
      </w:r>
      <w:r w:rsidRPr="00BC56AF">
        <w:rPr>
          <w:i/>
          <w:iCs/>
          <w:sz w:val="24"/>
          <w:szCs w:val="24"/>
        </w:rPr>
        <w:t>x</w:t>
      </w:r>
      <w:r w:rsidRPr="00BC56AF">
        <w:rPr>
          <w:sz w:val="24"/>
          <w:szCs w:val="24"/>
        </w:rPr>
        <w:t xml:space="preserve"> ratio = BHT-</w:t>
      </w:r>
      <w:r w:rsidRPr="00BC56AF">
        <w:rPr>
          <w:i/>
          <w:iCs/>
          <w:sz w:val="24"/>
          <w:szCs w:val="24"/>
        </w:rPr>
        <w:t>x</w:t>
      </w:r>
      <w:r w:rsidRPr="00BC56AF">
        <w:rPr>
          <w:sz w:val="24"/>
          <w:szCs w:val="24"/>
        </w:rPr>
        <w:t xml:space="preserve"> / (BHT + BHT-</w:t>
      </w:r>
      <w:r w:rsidRPr="00BC56AF">
        <w:rPr>
          <w:i/>
          <w:iCs/>
          <w:sz w:val="24"/>
          <w:szCs w:val="24"/>
        </w:rPr>
        <w:t>x</w:t>
      </w:r>
      <w:r w:rsidRPr="00BC56AF">
        <w:rPr>
          <w:sz w:val="24"/>
          <w:szCs w:val="24"/>
        </w:rPr>
        <w:t>)</w:t>
      </w:r>
    </w:p>
    <w:p w14:paraId="5C694917" w14:textId="77777777" w:rsidR="000673B6" w:rsidRPr="00BC56AF" w:rsidRDefault="000673B6" w:rsidP="00C46C2A">
      <w:pPr>
        <w:rPr>
          <w:sz w:val="24"/>
          <w:szCs w:val="24"/>
        </w:rPr>
      </w:pPr>
    </w:p>
    <w:p w14:paraId="4E25E008" w14:textId="77777777" w:rsidR="000673B6" w:rsidRPr="00BC56AF" w:rsidRDefault="000673B6" w:rsidP="00C46C2A">
      <w:pPr>
        <w:rPr>
          <w:sz w:val="24"/>
          <w:szCs w:val="24"/>
        </w:rPr>
      </w:pPr>
      <w:r w:rsidRPr="00BC56AF">
        <w:rPr>
          <w:sz w:val="24"/>
          <w:szCs w:val="24"/>
        </w:rPr>
        <w:t>is used to infer redox conditions, with higher values indicating a stronger contribution of anammox to bacterial biomass and lower oxygen concentrations</w:t>
      </w:r>
      <w:r w:rsidRPr="00BC56AF">
        <w:rPr>
          <w:noProof/>
          <w:sz w:val="24"/>
          <w:szCs w:val="24"/>
          <w:vertAlign w:val="superscript"/>
        </w:rPr>
        <w:t>16-21</w:t>
      </w:r>
      <w:r w:rsidRPr="00BC56AF">
        <w:rPr>
          <w:sz w:val="24"/>
          <w:szCs w:val="24"/>
        </w:rPr>
        <w:t>. A BHT-</w:t>
      </w:r>
      <w:r w:rsidRPr="00BC56AF">
        <w:rPr>
          <w:i/>
          <w:iCs/>
          <w:sz w:val="24"/>
          <w:szCs w:val="24"/>
        </w:rPr>
        <w:t>x</w:t>
      </w:r>
      <w:r w:rsidRPr="00BC56AF">
        <w:rPr>
          <w:sz w:val="24"/>
          <w:szCs w:val="24"/>
        </w:rPr>
        <w:t xml:space="preserve"> ratio threshold of ≥0.2 has been suggested to indicate ≤50 µM dissolved [O</w:t>
      </w:r>
      <w:r w:rsidRPr="00BC56AF">
        <w:rPr>
          <w:sz w:val="24"/>
          <w:szCs w:val="24"/>
          <w:vertAlign w:val="subscript"/>
        </w:rPr>
        <w:t>2</w:t>
      </w:r>
      <w:r w:rsidRPr="00BC56AF">
        <w:rPr>
          <w:sz w:val="24"/>
          <w:szCs w:val="24"/>
        </w:rPr>
        <w:t>], based on observations from the modern ocean</w:t>
      </w:r>
      <w:r w:rsidRPr="00BC56AF">
        <w:rPr>
          <w:noProof/>
          <w:sz w:val="24"/>
          <w:szCs w:val="24"/>
          <w:vertAlign w:val="superscript"/>
        </w:rPr>
        <w:t>16</w:t>
      </w:r>
      <w:r w:rsidRPr="00BC56AF">
        <w:rPr>
          <w:sz w:val="24"/>
          <w:szCs w:val="24"/>
        </w:rPr>
        <w:t>. Anammox bacteria typically occur in suboxic transition zones</w:t>
      </w:r>
      <w:r w:rsidRPr="00BC56AF">
        <w:rPr>
          <w:noProof/>
          <w:sz w:val="24"/>
          <w:szCs w:val="24"/>
          <w:vertAlign w:val="superscript"/>
        </w:rPr>
        <w:t>22</w:t>
      </w:r>
      <w:r w:rsidRPr="00BC56AF">
        <w:rPr>
          <w:sz w:val="24"/>
          <w:szCs w:val="24"/>
        </w:rPr>
        <w:t>, requiring both NH</w:t>
      </w:r>
      <w:r w:rsidRPr="00BC56AF">
        <w:rPr>
          <w:sz w:val="24"/>
          <w:szCs w:val="24"/>
          <w:vertAlign w:val="subscript"/>
        </w:rPr>
        <w:t>4</w:t>
      </w:r>
      <w:r w:rsidRPr="00BC56AF">
        <w:rPr>
          <w:sz w:val="24"/>
          <w:szCs w:val="24"/>
          <w:vertAlign w:val="superscript"/>
        </w:rPr>
        <w:t>+</w:t>
      </w:r>
      <w:r w:rsidRPr="00BC56AF">
        <w:rPr>
          <w:sz w:val="24"/>
          <w:szCs w:val="24"/>
        </w:rPr>
        <w:t xml:space="preserve"> and nitrite as substrates, the latter largely derived from ammonia oxidation. Although nitrite can also be produced via other pathways (e.g., sulfur oxidation</w:t>
      </w:r>
      <w:r w:rsidRPr="00BC56AF">
        <w:rPr>
          <w:noProof/>
          <w:sz w:val="24"/>
          <w:szCs w:val="24"/>
          <w:vertAlign w:val="superscript"/>
        </w:rPr>
        <w:t>23</w:t>
      </w:r>
      <w:r w:rsidRPr="00BC56AF">
        <w:rPr>
          <w:sz w:val="24"/>
          <w:szCs w:val="24"/>
        </w:rPr>
        <w:t>), ammonia oxidation is considered the dominant source in the ocean</w:t>
      </w:r>
      <w:r w:rsidRPr="00BC56AF">
        <w:rPr>
          <w:noProof/>
          <w:sz w:val="24"/>
          <w:szCs w:val="24"/>
          <w:vertAlign w:val="superscript"/>
        </w:rPr>
        <w:t>24-26</w:t>
      </w:r>
      <w:r w:rsidRPr="00BC56AF">
        <w:rPr>
          <w:sz w:val="24"/>
          <w:szCs w:val="24"/>
        </w:rPr>
        <w:t>.</w:t>
      </w:r>
    </w:p>
    <w:p w14:paraId="1E10633B" w14:textId="77777777" w:rsidR="000673B6" w:rsidRPr="00BC56AF" w:rsidRDefault="000673B6" w:rsidP="00C46C2A">
      <w:pPr>
        <w:rPr>
          <w:sz w:val="24"/>
          <w:szCs w:val="24"/>
        </w:rPr>
      </w:pPr>
      <w:r w:rsidRPr="00BC56AF">
        <w:rPr>
          <w:sz w:val="24"/>
          <w:szCs w:val="24"/>
        </w:rPr>
        <w:t>BHT-</w:t>
      </w:r>
      <w:r w:rsidRPr="00BC56AF">
        <w:rPr>
          <w:i/>
          <w:iCs/>
          <w:sz w:val="24"/>
          <w:szCs w:val="24"/>
        </w:rPr>
        <w:t>x</w:t>
      </w:r>
      <w:r w:rsidRPr="00BC56AF">
        <w:rPr>
          <w:sz w:val="24"/>
          <w:szCs w:val="24"/>
        </w:rPr>
        <w:t xml:space="preserve"> is generally most abundant in lower suboxic to upper anoxic waters</w:t>
      </w:r>
      <w:r w:rsidRPr="00BC56AF">
        <w:rPr>
          <w:noProof/>
          <w:sz w:val="24"/>
          <w:szCs w:val="24"/>
          <w:vertAlign w:val="superscript"/>
        </w:rPr>
        <w:t>27</w:t>
      </w:r>
      <w:r w:rsidRPr="00BC56AF">
        <w:rPr>
          <w:sz w:val="24"/>
          <w:szCs w:val="24"/>
        </w:rPr>
        <w:t>, consistent with maxima in anammox cell counts</w:t>
      </w:r>
      <w:r w:rsidRPr="00BC56AF">
        <w:rPr>
          <w:noProof/>
          <w:sz w:val="24"/>
          <w:szCs w:val="24"/>
          <w:vertAlign w:val="superscript"/>
        </w:rPr>
        <w:t>28</w:t>
      </w:r>
      <w:r w:rsidRPr="00BC56AF">
        <w:rPr>
          <w:sz w:val="24"/>
          <w:szCs w:val="24"/>
        </w:rPr>
        <w:t xml:space="preserve"> and nitrite reductase (</w:t>
      </w:r>
      <w:r w:rsidRPr="00BC56AF">
        <w:rPr>
          <w:i/>
          <w:iCs/>
          <w:sz w:val="24"/>
          <w:szCs w:val="24"/>
        </w:rPr>
        <w:t>nirS</w:t>
      </w:r>
      <w:r w:rsidRPr="00BC56AF">
        <w:rPr>
          <w:sz w:val="24"/>
          <w:szCs w:val="24"/>
        </w:rPr>
        <w:t>) gene abundance, a marker gene for anammox</w:t>
      </w:r>
      <w:r w:rsidRPr="00BC56AF">
        <w:rPr>
          <w:noProof/>
          <w:sz w:val="24"/>
          <w:szCs w:val="24"/>
          <w:vertAlign w:val="superscript"/>
        </w:rPr>
        <w:t>29</w:t>
      </w:r>
      <w:r w:rsidRPr="00BC56AF">
        <w:rPr>
          <w:sz w:val="24"/>
          <w:szCs w:val="24"/>
        </w:rPr>
        <w:t>. In our records, BHT-</w:t>
      </w:r>
      <w:r w:rsidRPr="00BC56AF">
        <w:rPr>
          <w:i/>
          <w:iCs/>
          <w:sz w:val="24"/>
          <w:szCs w:val="24"/>
        </w:rPr>
        <w:t>x</w:t>
      </w:r>
      <w:r w:rsidRPr="00BC56AF">
        <w:rPr>
          <w:sz w:val="24"/>
          <w:szCs w:val="24"/>
        </w:rPr>
        <w:t xml:space="preserve"> was detected in the Arctic Ocean, the New Jersey shelf and the Tasman Sea. The high BHT-</w:t>
      </w:r>
      <w:r w:rsidRPr="00BC56AF">
        <w:rPr>
          <w:i/>
          <w:iCs/>
          <w:sz w:val="24"/>
          <w:szCs w:val="24"/>
        </w:rPr>
        <w:t>x</w:t>
      </w:r>
      <w:r w:rsidRPr="00BC56AF">
        <w:rPr>
          <w:sz w:val="24"/>
          <w:szCs w:val="24"/>
        </w:rPr>
        <w:t xml:space="preserve"> ratios (0.13-0.7) in the Arctic Ocean suggest an increase in anammox over the PETM. The consistently low BHT-</w:t>
      </w:r>
      <w:r w:rsidRPr="00BC56AF">
        <w:rPr>
          <w:i/>
          <w:iCs/>
          <w:sz w:val="24"/>
          <w:szCs w:val="24"/>
        </w:rPr>
        <w:t>x</w:t>
      </w:r>
      <w:r w:rsidRPr="00BC56AF">
        <w:rPr>
          <w:sz w:val="24"/>
          <w:szCs w:val="24"/>
        </w:rPr>
        <w:t xml:space="preserve"> ratios (0-0.23) in the New Jersey shelf and Tasman Sea indicate relatively oxic to moderately hypoxic condition, i.e., [O</w:t>
      </w:r>
      <w:r w:rsidRPr="00BC56AF">
        <w:rPr>
          <w:sz w:val="24"/>
          <w:szCs w:val="24"/>
          <w:vertAlign w:val="subscript"/>
        </w:rPr>
        <w:t>2</w:t>
      </w:r>
      <w:r w:rsidRPr="00BC56AF">
        <w:rPr>
          <w:sz w:val="24"/>
          <w:szCs w:val="24"/>
        </w:rPr>
        <w:t>] higher than 50 µM. This is consistent with detection of low BHT-</w:t>
      </w:r>
      <w:r w:rsidRPr="00BC56AF">
        <w:rPr>
          <w:i/>
          <w:iCs/>
          <w:sz w:val="24"/>
          <w:szCs w:val="24"/>
        </w:rPr>
        <w:t>x</w:t>
      </w:r>
      <w:r w:rsidRPr="00BC56AF">
        <w:rPr>
          <w:sz w:val="24"/>
          <w:szCs w:val="24"/>
        </w:rPr>
        <w:t xml:space="preserve"> ratios (0–0.2) under moderately oxic conditions in modern marine environments</w:t>
      </w:r>
      <w:r w:rsidRPr="00BC56AF">
        <w:rPr>
          <w:noProof/>
          <w:sz w:val="24"/>
          <w:szCs w:val="24"/>
          <w:vertAlign w:val="superscript"/>
        </w:rPr>
        <w:t>16</w:t>
      </w:r>
      <w:r w:rsidRPr="00BC56AF">
        <w:rPr>
          <w:sz w:val="24"/>
          <w:szCs w:val="24"/>
        </w:rPr>
        <w:t>, suggesting that oxygen deficiency during the PETM was not sufficient at these sites to support a substantial anammox community. At other sites, BHPs could not be recovered in sufficient quantities to allow BHT-</w:t>
      </w:r>
      <w:r w:rsidRPr="00BC56AF">
        <w:rPr>
          <w:i/>
          <w:iCs/>
          <w:sz w:val="24"/>
          <w:szCs w:val="24"/>
        </w:rPr>
        <w:t>x</w:t>
      </w:r>
      <w:r w:rsidRPr="00BC56AF">
        <w:rPr>
          <w:sz w:val="24"/>
          <w:szCs w:val="24"/>
        </w:rPr>
        <w:t xml:space="preserve"> determination (</w:t>
      </w:r>
      <w:r w:rsidRPr="00025F03">
        <w:rPr>
          <w:sz w:val="24"/>
          <w:szCs w:val="24"/>
        </w:rPr>
        <w:t xml:space="preserve">Extended Data Table </w:t>
      </w:r>
      <w:r>
        <w:rPr>
          <w:sz w:val="24"/>
          <w:szCs w:val="24"/>
        </w:rPr>
        <w:t>2</w:t>
      </w:r>
      <w:r w:rsidRPr="00BC56AF">
        <w:rPr>
          <w:sz w:val="24"/>
          <w:szCs w:val="24"/>
        </w:rPr>
        <w:t xml:space="preserve">). This may be due to two factors, 1) the high amounts of sediment available for the three sites mentioned above (20-35 g) compared to much lower amounts (mostly &lt;10 g) available for the other sites, 2) potentially better preservation and low thermal maturity of BHPs at these sites, which represent the oldest marine sediments from which BHTs have been reported so far. For example, at the Kheu River site, relatively high and variable thermal maturity (carbon preference index ≈ 0–3) and reworking of mixed terrigenous and marine </w:t>
      </w:r>
      <w:r w:rsidRPr="00BC56AF">
        <w:rPr>
          <w:sz w:val="24"/>
          <w:szCs w:val="24"/>
        </w:rPr>
        <w:lastRenderedPageBreak/>
        <w:t>organic matter likely promoted degradation of labile bacterial lipids, hindering BHT preservation</w:t>
      </w:r>
      <w:r w:rsidRPr="00BC56AF">
        <w:rPr>
          <w:noProof/>
          <w:sz w:val="24"/>
          <w:szCs w:val="24"/>
          <w:vertAlign w:val="superscript"/>
        </w:rPr>
        <w:t>8</w:t>
      </w:r>
      <w:r w:rsidRPr="00BC56AF">
        <w:rPr>
          <w:sz w:val="24"/>
          <w:szCs w:val="24"/>
        </w:rPr>
        <w:t>.</w:t>
      </w:r>
    </w:p>
    <w:p w14:paraId="75BB9D7B" w14:textId="77777777" w:rsidR="000673B6" w:rsidRPr="00BC56AF" w:rsidRDefault="000673B6" w:rsidP="00C46C2A">
      <w:pPr>
        <w:rPr>
          <w:sz w:val="24"/>
          <w:szCs w:val="24"/>
        </w:rPr>
      </w:pPr>
      <w:r w:rsidRPr="00BC56AF">
        <w:rPr>
          <w:sz w:val="24"/>
          <w:szCs w:val="24"/>
        </w:rPr>
        <w:t>The BHT-</w:t>
      </w:r>
      <w:r w:rsidRPr="00BC56AF">
        <w:rPr>
          <w:i/>
          <w:iCs/>
          <w:sz w:val="24"/>
          <w:szCs w:val="24"/>
        </w:rPr>
        <w:t>x</w:t>
      </w:r>
      <w:r w:rsidRPr="00BC56AF">
        <w:rPr>
          <w:sz w:val="24"/>
          <w:szCs w:val="24"/>
        </w:rPr>
        <w:t xml:space="preserve"> data capture only water column anammox, while no biomarkers are known for the other nitrogen loss processes (denitrification in the water column and sediments, anammox in sediments). It is important to note that the cGENIE framework does not differentiate between water-column denitrification, anammox, sedimentary denitrification, and sedimentary anammox. Here we therefore use the term “nitrogen loss” to describe the combined effect of all anammox and denitrification. Our model simulations highlight the proto-Paratethys, Southern Ocean, and South Atlantic as hotspots of nitrogen loss, broadly overlapping with OMZ development during the PETM (Fig. 2; </w:t>
      </w:r>
      <w:r w:rsidRPr="00DB17BF">
        <w:rPr>
          <w:sz w:val="24"/>
          <w:szCs w:val="24"/>
        </w:rPr>
        <w:t>Extended Data Fig. S</w:t>
      </w:r>
      <w:r>
        <w:rPr>
          <w:sz w:val="24"/>
          <w:szCs w:val="24"/>
        </w:rPr>
        <w:t>2</w:t>
      </w:r>
      <w:r w:rsidRPr="00BC56AF">
        <w:rPr>
          <w:sz w:val="24"/>
          <w:szCs w:val="24"/>
        </w:rPr>
        <w:t>). The simulations also suggest enhanced nitrogen loss in the North Atlantic. However, the persistently low BHT-</w:t>
      </w:r>
      <w:r w:rsidRPr="00BC56AF">
        <w:rPr>
          <w:i/>
          <w:iCs/>
          <w:sz w:val="24"/>
          <w:szCs w:val="24"/>
        </w:rPr>
        <w:t>x</w:t>
      </w:r>
      <w:r w:rsidRPr="00BC56AF">
        <w:rPr>
          <w:sz w:val="24"/>
          <w:szCs w:val="24"/>
        </w:rPr>
        <w:t xml:space="preserve"> ratios in the New Jersey shelf imply that denitrification rather than anammox dominated nitrogen loss processes.  </w:t>
      </w:r>
    </w:p>
    <w:p w14:paraId="399569BA" w14:textId="77777777" w:rsidR="000673B6" w:rsidRPr="00BC56AF" w:rsidRDefault="000673B6" w:rsidP="00C46C2A">
      <w:pPr>
        <w:rPr>
          <w:sz w:val="24"/>
          <w:szCs w:val="24"/>
        </w:rPr>
      </w:pPr>
    </w:p>
    <w:p w14:paraId="3405C9BB" w14:textId="77777777" w:rsidR="000673B6" w:rsidRPr="00BC56AF" w:rsidRDefault="000673B6" w:rsidP="00C46C2A">
      <w:pPr>
        <w:pStyle w:val="SMSubheading"/>
        <w:rPr>
          <w:szCs w:val="24"/>
          <w:u w:val="single"/>
        </w:rPr>
      </w:pPr>
      <w:r w:rsidRPr="00BC56AF">
        <w:rPr>
          <w:szCs w:val="24"/>
          <w:u w:val="single"/>
        </w:rPr>
        <w:t>Bulk sediment nitrogen isotopes</w:t>
      </w:r>
    </w:p>
    <w:p w14:paraId="5D18D782" w14:textId="77777777" w:rsidR="000673B6" w:rsidRPr="00BC56AF" w:rsidRDefault="000673B6" w:rsidP="00C46C2A">
      <w:pPr>
        <w:rPr>
          <w:sz w:val="24"/>
          <w:szCs w:val="24"/>
        </w:rPr>
      </w:pPr>
      <w:r w:rsidRPr="00BC56AF">
        <w:rPr>
          <w:sz w:val="24"/>
          <w:szCs w:val="24"/>
        </w:rPr>
        <w:t>Bulk sediment δ</w:t>
      </w:r>
      <w:r w:rsidRPr="00BC56AF">
        <w:rPr>
          <w:sz w:val="24"/>
          <w:szCs w:val="24"/>
          <w:vertAlign w:val="superscript"/>
        </w:rPr>
        <w:t>15</w:t>
      </w:r>
      <w:r w:rsidRPr="00BC56AF">
        <w:rPr>
          <w:sz w:val="24"/>
          <w:szCs w:val="24"/>
        </w:rPr>
        <w:t>N reflects the isotopic composition of dissolved inorganic nitrogen (DIN) utilized by primary producers</w:t>
      </w:r>
      <w:r w:rsidRPr="00BC56AF">
        <w:rPr>
          <w:noProof/>
          <w:sz w:val="24"/>
          <w:szCs w:val="24"/>
          <w:vertAlign w:val="superscript"/>
        </w:rPr>
        <w:t>30</w:t>
      </w:r>
      <w:r w:rsidRPr="00BC56AF">
        <w:rPr>
          <w:sz w:val="24"/>
          <w:szCs w:val="24"/>
        </w:rPr>
        <w:t>, integrating nitrogen inputs, losses, and the relative contributions of fixed nitrogen species such as NO</w:t>
      </w:r>
      <w:r w:rsidRPr="00BC56AF">
        <w:rPr>
          <w:sz w:val="24"/>
          <w:szCs w:val="24"/>
          <w:vertAlign w:val="subscript"/>
        </w:rPr>
        <w:t>3</w:t>
      </w:r>
      <w:r w:rsidRPr="00BC56AF">
        <w:rPr>
          <w:sz w:val="24"/>
          <w:szCs w:val="24"/>
          <w:vertAlign w:val="superscript"/>
        </w:rPr>
        <w:t>-</w:t>
      </w:r>
      <w:r w:rsidRPr="00BC56AF">
        <w:rPr>
          <w:sz w:val="24"/>
          <w:szCs w:val="24"/>
        </w:rPr>
        <w:t xml:space="preserve"> and NH</w:t>
      </w:r>
      <w:r w:rsidRPr="00BC56AF">
        <w:rPr>
          <w:sz w:val="24"/>
          <w:szCs w:val="24"/>
          <w:vertAlign w:val="subscript"/>
        </w:rPr>
        <w:t>4</w:t>
      </w:r>
      <w:r w:rsidRPr="00BC56AF">
        <w:rPr>
          <w:sz w:val="24"/>
          <w:szCs w:val="24"/>
          <w:vertAlign w:val="superscript"/>
        </w:rPr>
        <w:t>+</w:t>
      </w:r>
      <w:r w:rsidRPr="00BC56AF">
        <w:rPr>
          <w:sz w:val="24"/>
          <w:szCs w:val="24"/>
        </w:rPr>
        <w:t xml:space="preserve"> (ref. </w:t>
      </w:r>
      <w:r w:rsidRPr="00BC56AF">
        <w:rPr>
          <w:noProof/>
          <w:sz w:val="24"/>
          <w:szCs w:val="24"/>
          <w:vertAlign w:val="superscript"/>
        </w:rPr>
        <w:t>30</w:t>
      </w:r>
      <w:r w:rsidRPr="00BC56AF">
        <w:rPr>
          <w:sz w:val="24"/>
          <w:szCs w:val="24"/>
        </w:rPr>
        <w:t>). In all studied sites except IODP 1403 and the ODP 1172, δ</w:t>
      </w:r>
      <w:r w:rsidRPr="00BC56AF">
        <w:rPr>
          <w:sz w:val="24"/>
          <w:szCs w:val="24"/>
          <w:vertAlign w:val="superscript"/>
        </w:rPr>
        <w:t>15</w:t>
      </w:r>
      <w:r w:rsidRPr="00BC56AF">
        <w:rPr>
          <w:sz w:val="24"/>
          <w:szCs w:val="24"/>
        </w:rPr>
        <w:t>N shows a pronounced negative excursion of 2.5-7‰ magnitude during the PETM. At Kheu River, Fur Fm., and ODP 959, values dropped to negative levels, consistent with OMZ expansion and enhanced NH</w:t>
      </w:r>
      <w:r w:rsidRPr="00BC56AF">
        <w:rPr>
          <w:sz w:val="24"/>
          <w:szCs w:val="24"/>
          <w:vertAlign w:val="subscript"/>
        </w:rPr>
        <w:t>4</w:t>
      </w:r>
      <w:r w:rsidRPr="00BC56AF">
        <w:rPr>
          <w:sz w:val="24"/>
          <w:szCs w:val="24"/>
          <w:vertAlign w:val="superscript"/>
        </w:rPr>
        <w:t>+</w:t>
      </w:r>
      <w:r w:rsidRPr="00BC56AF">
        <w:rPr>
          <w:sz w:val="24"/>
          <w:szCs w:val="24"/>
        </w:rPr>
        <w:t xml:space="preserve"> assimilation. At the Qimugen Fm and ODP174AX Ancora, δ</w:t>
      </w:r>
      <w:r w:rsidRPr="00BC56AF">
        <w:rPr>
          <w:sz w:val="24"/>
          <w:szCs w:val="24"/>
          <w:vertAlign w:val="superscript"/>
        </w:rPr>
        <w:t>15</w:t>
      </w:r>
      <w:r w:rsidRPr="00BC56AF">
        <w:rPr>
          <w:sz w:val="24"/>
          <w:szCs w:val="24"/>
        </w:rPr>
        <w:t>N decreased by ~1–2‰, potentially reflecting enhanced N</w:t>
      </w:r>
      <w:r w:rsidRPr="00BC56AF">
        <w:rPr>
          <w:sz w:val="24"/>
          <w:szCs w:val="24"/>
          <w:vertAlign w:val="subscript"/>
        </w:rPr>
        <w:t>2</w:t>
      </w:r>
      <w:r w:rsidRPr="00BC56AF">
        <w:rPr>
          <w:sz w:val="24"/>
          <w:szCs w:val="24"/>
        </w:rPr>
        <w:t xml:space="preserve"> fixation, though further evidence is needed. Consistent with this interpretation, widespread ocean deoxygenation and elevated phosphorus input from intensified weathering and regeneration</w:t>
      </w:r>
      <w:r w:rsidRPr="00BC56AF">
        <w:rPr>
          <w:noProof/>
          <w:sz w:val="24"/>
          <w:szCs w:val="24"/>
          <w:vertAlign w:val="superscript"/>
        </w:rPr>
        <w:t>31</w:t>
      </w:r>
      <w:r w:rsidRPr="00BC56AF">
        <w:rPr>
          <w:sz w:val="24"/>
          <w:szCs w:val="24"/>
        </w:rPr>
        <w:t xml:space="preserve"> would have favored enhanced N</w:t>
      </w:r>
      <w:r w:rsidRPr="00BC56AF">
        <w:rPr>
          <w:sz w:val="24"/>
          <w:szCs w:val="24"/>
          <w:vertAlign w:val="subscript"/>
        </w:rPr>
        <w:t>2</w:t>
      </w:r>
      <w:r w:rsidRPr="00BC56AF">
        <w:rPr>
          <w:sz w:val="24"/>
          <w:szCs w:val="24"/>
        </w:rPr>
        <w:t xml:space="preserve"> fixation. cGENIE simulations suggest a global 106% increase in N</w:t>
      </w:r>
      <w:r w:rsidRPr="00BC56AF">
        <w:rPr>
          <w:sz w:val="24"/>
          <w:szCs w:val="24"/>
          <w:vertAlign w:val="subscript"/>
        </w:rPr>
        <w:t>2</w:t>
      </w:r>
      <w:r w:rsidRPr="00BC56AF">
        <w:rPr>
          <w:sz w:val="24"/>
          <w:szCs w:val="24"/>
        </w:rPr>
        <w:t xml:space="preserve"> fixation rates during the PETM relative to pre-PETM conditions (</w:t>
      </w:r>
      <w:r w:rsidRPr="00025F03">
        <w:rPr>
          <w:sz w:val="24"/>
          <w:szCs w:val="24"/>
        </w:rPr>
        <w:t>Extended Data Table 1</w:t>
      </w:r>
      <w:r w:rsidRPr="00BC56AF">
        <w:rPr>
          <w:sz w:val="24"/>
          <w:szCs w:val="24"/>
        </w:rPr>
        <w:t>). At IODP 302, δ</w:t>
      </w:r>
      <w:r w:rsidRPr="00BC56AF">
        <w:rPr>
          <w:sz w:val="24"/>
          <w:szCs w:val="24"/>
          <w:vertAlign w:val="superscript"/>
        </w:rPr>
        <w:t>15</w:t>
      </w:r>
      <w:r w:rsidRPr="00BC56AF">
        <w:rPr>
          <w:sz w:val="24"/>
          <w:szCs w:val="24"/>
        </w:rPr>
        <w:t>N decreased modestly from ~3‰ to 1‰ but did not reach negative values, indicating that NH</w:t>
      </w:r>
      <w:r w:rsidRPr="00BC56AF">
        <w:rPr>
          <w:sz w:val="24"/>
          <w:szCs w:val="24"/>
          <w:vertAlign w:val="subscript"/>
        </w:rPr>
        <w:t>4</w:t>
      </w:r>
      <w:r w:rsidRPr="00BC56AF">
        <w:rPr>
          <w:sz w:val="24"/>
          <w:szCs w:val="24"/>
          <w:vertAlign w:val="superscript"/>
        </w:rPr>
        <w:t>+</w:t>
      </w:r>
      <w:r w:rsidRPr="00BC56AF">
        <w:rPr>
          <w:sz w:val="24"/>
          <w:szCs w:val="24"/>
        </w:rPr>
        <w:t xml:space="preserve"> derived from the anoxic zone was not a dominant source of nitrogen to phytoplankton, even though biomarker evidence suggests anoxic conditions (see main text). Consequently, phytoplankton nitrogen demand in the Arctic Ocean (IODP 302) was likely met primarily through N</w:t>
      </w:r>
      <w:r w:rsidRPr="00BC56AF">
        <w:rPr>
          <w:sz w:val="24"/>
          <w:szCs w:val="24"/>
          <w:vertAlign w:val="subscript"/>
        </w:rPr>
        <w:t>2</w:t>
      </w:r>
      <w:r w:rsidRPr="00BC56AF">
        <w:rPr>
          <w:sz w:val="24"/>
          <w:szCs w:val="24"/>
        </w:rPr>
        <w:t xml:space="preserve"> fixation, which introduces nitrogen with δ</w:t>
      </w:r>
      <w:r w:rsidRPr="00BC56AF">
        <w:rPr>
          <w:sz w:val="24"/>
          <w:szCs w:val="24"/>
          <w:vertAlign w:val="superscript"/>
        </w:rPr>
        <w:t>15</w:t>
      </w:r>
      <w:r w:rsidRPr="00BC56AF">
        <w:rPr>
          <w:sz w:val="24"/>
          <w:szCs w:val="24"/>
        </w:rPr>
        <w:t>N values near 0-1‰ (ref.</w:t>
      </w:r>
      <w:r w:rsidRPr="00BC56AF">
        <w:rPr>
          <w:noProof/>
          <w:sz w:val="24"/>
          <w:szCs w:val="24"/>
          <w:vertAlign w:val="superscript"/>
        </w:rPr>
        <w:t>32</w:t>
      </w:r>
      <w:r w:rsidRPr="00BC56AF">
        <w:rPr>
          <w:sz w:val="24"/>
          <w:szCs w:val="24"/>
        </w:rPr>
        <w:t>). This might reflect the strong water-column stratification in the Paleocene-Eocene Arctic Ocean due to high freshwater runoff from the continents</w:t>
      </w:r>
      <w:r w:rsidRPr="00BC56AF">
        <w:rPr>
          <w:noProof/>
          <w:sz w:val="24"/>
          <w:szCs w:val="24"/>
          <w:vertAlign w:val="superscript"/>
        </w:rPr>
        <w:t>33,34</w:t>
      </w:r>
      <w:r w:rsidRPr="00BC56AF">
        <w:rPr>
          <w:sz w:val="24"/>
          <w:szCs w:val="24"/>
        </w:rPr>
        <w:t>, limiting mixing between subsurface and surface water. The situation in the Arctic Ocean was therefore likely similar to the Quaternary Black Sea, where the water column is permanently stratified due to a salinity (density) gradient caused by freshwater input</w:t>
      </w:r>
      <w:r w:rsidRPr="00BC56AF">
        <w:rPr>
          <w:noProof/>
          <w:sz w:val="24"/>
          <w:szCs w:val="24"/>
          <w:vertAlign w:val="superscript"/>
        </w:rPr>
        <w:t>35</w:t>
      </w:r>
      <w:r w:rsidRPr="00BC56AF">
        <w:rPr>
          <w:sz w:val="24"/>
          <w:szCs w:val="24"/>
        </w:rPr>
        <w:t>. Even though the Black Sea contains a large NH</w:t>
      </w:r>
      <w:r w:rsidRPr="00BC56AF">
        <w:rPr>
          <w:sz w:val="24"/>
          <w:szCs w:val="24"/>
          <w:vertAlign w:val="subscript"/>
        </w:rPr>
        <w:t>4</w:t>
      </w:r>
      <w:r w:rsidRPr="00BC56AF">
        <w:rPr>
          <w:sz w:val="24"/>
          <w:szCs w:val="24"/>
          <w:vertAlign w:val="superscript"/>
        </w:rPr>
        <w:t>+</w:t>
      </w:r>
      <w:r w:rsidRPr="00BC56AF">
        <w:rPr>
          <w:sz w:val="24"/>
          <w:szCs w:val="24"/>
        </w:rPr>
        <w:t xml:space="preserve"> reservoir in the anoxic part of the water column</w:t>
      </w:r>
      <w:r w:rsidRPr="00BC56AF">
        <w:rPr>
          <w:noProof/>
          <w:sz w:val="24"/>
          <w:szCs w:val="24"/>
          <w:vertAlign w:val="superscript"/>
        </w:rPr>
        <w:t>36</w:t>
      </w:r>
      <w:r w:rsidRPr="00BC56AF">
        <w:rPr>
          <w:sz w:val="24"/>
          <w:szCs w:val="24"/>
        </w:rPr>
        <w:t>, this NH</w:t>
      </w:r>
      <w:r w:rsidRPr="00BC56AF">
        <w:rPr>
          <w:sz w:val="24"/>
          <w:szCs w:val="24"/>
          <w:vertAlign w:val="subscript"/>
        </w:rPr>
        <w:t>4</w:t>
      </w:r>
      <w:r w:rsidRPr="00BC56AF">
        <w:rPr>
          <w:sz w:val="24"/>
          <w:szCs w:val="24"/>
          <w:vertAlign w:val="superscript"/>
        </w:rPr>
        <w:t>+</w:t>
      </w:r>
      <w:r w:rsidRPr="00BC56AF">
        <w:rPr>
          <w:sz w:val="24"/>
          <w:szCs w:val="24"/>
        </w:rPr>
        <w:t xml:space="preserve"> does seem to be sequestered too deeply to be used by phytoplankton and any NH</w:t>
      </w:r>
      <w:r w:rsidRPr="00BC56AF">
        <w:rPr>
          <w:sz w:val="24"/>
          <w:szCs w:val="24"/>
          <w:vertAlign w:val="subscript"/>
        </w:rPr>
        <w:t>4</w:t>
      </w:r>
      <w:r w:rsidRPr="00BC56AF">
        <w:rPr>
          <w:sz w:val="24"/>
          <w:szCs w:val="24"/>
          <w:vertAlign w:val="superscript"/>
        </w:rPr>
        <w:t>+</w:t>
      </w:r>
      <w:r w:rsidRPr="00BC56AF">
        <w:rPr>
          <w:sz w:val="24"/>
          <w:szCs w:val="24"/>
        </w:rPr>
        <w:t xml:space="preserve"> diffusing upwards is oxidized by abundant nitrifiers in the oxic-anoxic transition zone. This analogy between the Quaternary Black Sea and </w:t>
      </w:r>
      <w:r w:rsidRPr="00BC56AF">
        <w:rPr>
          <w:sz w:val="24"/>
          <w:szCs w:val="24"/>
        </w:rPr>
        <w:lastRenderedPageBreak/>
        <w:t>the PETM Arctic Ocean is corroborated by similar bulk δ</w:t>
      </w:r>
      <w:r w:rsidRPr="00BC56AF">
        <w:rPr>
          <w:sz w:val="24"/>
          <w:szCs w:val="24"/>
          <w:vertAlign w:val="superscript"/>
        </w:rPr>
        <w:t>15</w:t>
      </w:r>
      <w:r w:rsidRPr="00BC56AF">
        <w:rPr>
          <w:sz w:val="24"/>
          <w:szCs w:val="24"/>
        </w:rPr>
        <w:t xml:space="preserve">N values found in the sedimentary record from both sites (0-5‰ during the Holocene, ref. </w:t>
      </w:r>
      <w:r w:rsidRPr="00BC56AF">
        <w:rPr>
          <w:noProof/>
          <w:sz w:val="24"/>
          <w:szCs w:val="24"/>
          <w:vertAlign w:val="superscript"/>
        </w:rPr>
        <w:t>37</w:t>
      </w:r>
      <w:r w:rsidRPr="00BC56AF">
        <w:rPr>
          <w:sz w:val="24"/>
          <w:szCs w:val="24"/>
        </w:rPr>
        <w:t xml:space="preserve"> and Fig. 1). </w:t>
      </w:r>
    </w:p>
    <w:p w14:paraId="1D10887F" w14:textId="77777777" w:rsidR="000673B6" w:rsidRPr="00BC56AF" w:rsidRDefault="000673B6" w:rsidP="00C46C2A">
      <w:pPr>
        <w:rPr>
          <w:sz w:val="24"/>
          <w:szCs w:val="24"/>
        </w:rPr>
      </w:pPr>
    </w:p>
    <w:p w14:paraId="1E5123B1" w14:textId="77777777" w:rsidR="000673B6" w:rsidRPr="00BC56AF" w:rsidRDefault="000673B6" w:rsidP="00C46C2A">
      <w:pPr>
        <w:rPr>
          <w:sz w:val="24"/>
          <w:szCs w:val="24"/>
        </w:rPr>
      </w:pPr>
      <w:r w:rsidRPr="00BC56AF">
        <w:rPr>
          <w:sz w:val="24"/>
          <w:szCs w:val="24"/>
        </w:rPr>
        <w:t>Diagenetic alteration of bulk δ</w:t>
      </w:r>
      <w:r w:rsidRPr="00BC56AF">
        <w:rPr>
          <w:sz w:val="24"/>
          <w:szCs w:val="24"/>
          <w:vertAlign w:val="superscript"/>
        </w:rPr>
        <w:t>15</w:t>
      </w:r>
      <w:r w:rsidRPr="00BC56AF">
        <w:rPr>
          <w:sz w:val="24"/>
          <w:szCs w:val="24"/>
        </w:rPr>
        <w:t>N is considered minimal in these settings. High sedimentation rates in marginal environments generally preserve primary δ</w:t>
      </w:r>
      <w:r w:rsidRPr="00BC56AF">
        <w:rPr>
          <w:sz w:val="24"/>
          <w:szCs w:val="24"/>
          <w:vertAlign w:val="superscript"/>
        </w:rPr>
        <w:t>15</w:t>
      </w:r>
      <w:r w:rsidRPr="00BC56AF">
        <w:rPr>
          <w:sz w:val="24"/>
          <w:szCs w:val="24"/>
        </w:rPr>
        <w:t>N signals</w:t>
      </w:r>
      <w:r w:rsidRPr="00BC56AF">
        <w:rPr>
          <w:noProof/>
          <w:sz w:val="24"/>
          <w:szCs w:val="24"/>
          <w:vertAlign w:val="superscript"/>
        </w:rPr>
        <w:t>38</w:t>
      </w:r>
      <w:r w:rsidRPr="00BC56AF">
        <w:rPr>
          <w:sz w:val="24"/>
          <w:szCs w:val="24"/>
        </w:rPr>
        <w:t>.  Organic matter degradation typically would have driven δ</w:t>
      </w:r>
      <w:r w:rsidRPr="00BC56AF">
        <w:rPr>
          <w:sz w:val="24"/>
          <w:szCs w:val="24"/>
          <w:vertAlign w:val="superscript"/>
        </w:rPr>
        <w:t>15</w:t>
      </w:r>
      <w:r w:rsidRPr="00BC56AF">
        <w:rPr>
          <w:sz w:val="24"/>
          <w:szCs w:val="24"/>
        </w:rPr>
        <w:t>N towards more positive values</w:t>
      </w:r>
      <w:r w:rsidRPr="00BC56AF">
        <w:rPr>
          <w:noProof/>
          <w:sz w:val="24"/>
          <w:szCs w:val="24"/>
          <w:vertAlign w:val="superscript"/>
        </w:rPr>
        <w:t>39</w:t>
      </w:r>
      <w:r w:rsidRPr="00BC56AF">
        <w:rPr>
          <w:sz w:val="24"/>
          <w:szCs w:val="24"/>
        </w:rPr>
        <w:t>. This is opposite to the negative excursions observed here, although we cannot exclude some minor overprinting from diagenesis which would result in an overestimation of absolute values (i.e., true values being lower than measured δ</w:t>
      </w:r>
      <w:r w:rsidRPr="00BC56AF">
        <w:rPr>
          <w:sz w:val="24"/>
          <w:szCs w:val="24"/>
          <w:vertAlign w:val="superscript"/>
        </w:rPr>
        <w:t>15</w:t>
      </w:r>
      <w:r w:rsidRPr="00BC56AF">
        <w:rPr>
          <w:sz w:val="24"/>
          <w:szCs w:val="24"/>
        </w:rPr>
        <w:t>N values) and/or an underestimation of the magnitude of the excursion. Although the Kheu River samples exhibit relatively higher maturity, which may have affected BHT preservation, the organic matter across all sites is generally thermally immature for bulk geochemical analyses</w:t>
      </w:r>
      <w:r w:rsidRPr="00BC56AF">
        <w:rPr>
          <w:noProof/>
          <w:sz w:val="24"/>
          <w:szCs w:val="24"/>
          <w:vertAlign w:val="superscript"/>
        </w:rPr>
        <w:t>8,10,40</w:t>
      </w:r>
      <w:r w:rsidRPr="00BC56AF">
        <w:rPr>
          <w:sz w:val="24"/>
          <w:szCs w:val="24"/>
        </w:rPr>
        <w:t>, suggesting minimal diagenetic overprint. Elevated C/N ratios at all sites (</w:t>
      </w:r>
      <w:r>
        <w:rPr>
          <w:sz w:val="24"/>
          <w:szCs w:val="24"/>
        </w:rPr>
        <w:t>Supplementary</w:t>
      </w:r>
      <w:r w:rsidRPr="003D153C">
        <w:rPr>
          <w:sz w:val="24"/>
          <w:szCs w:val="24"/>
        </w:rPr>
        <w:t xml:space="preserve"> Fig. </w:t>
      </w:r>
      <w:r>
        <w:rPr>
          <w:sz w:val="24"/>
          <w:szCs w:val="24"/>
        </w:rPr>
        <w:t>3</w:t>
      </w:r>
      <w:r w:rsidRPr="00BC56AF">
        <w:rPr>
          <w:sz w:val="24"/>
          <w:szCs w:val="24"/>
        </w:rPr>
        <w:t>) likely reflect preferential degradation of nitrogen-rich labile compounds, a common feature of ancient black shales</w:t>
      </w:r>
      <w:r w:rsidRPr="00BC56AF">
        <w:rPr>
          <w:noProof/>
          <w:sz w:val="24"/>
          <w:szCs w:val="24"/>
          <w:vertAlign w:val="superscript"/>
        </w:rPr>
        <w:t>39,41,42</w:t>
      </w:r>
      <w:r w:rsidRPr="00BC56AF">
        <w:rPr>
          <w:sz w:val="24"/>
          <w:szCs w:val="24"/>
        </w:rPr>
        <w:t xml:space="preserve">. Additionally, sulfurization may have enhanced organic carbon preservation, resulting in C/N &gt; 20 (ref. </w:t>
      </w:r>
      <w:r w:rsidRPr="00BC56AF">
        <w:rPr>
          <w:noProof/>
          <w:sz w:val="24"/>
          <w:szCs w:val="24"/>
          <w:vertAlign w:val="superscript"/>
        </w:rPr>
        <w:t>41</w:t>
      </w:r>
      <w:r w:rsidRPr="00BC56AF">
        <w:rPr>
          <w:sz w:val="24"/>
          <w:szCs w:val="24"/>
        </w:rPr>
        <w:t>). Strong TOC–TN correlations (</w:t>
      </w:r>
      <w:r w:rsidRPr="00BC56AF">
        <w:rPr>
          <w:i/>
          <w:iCs/>
          <w:sz w:val="24"/>
          <w:szCs w:val="24"/>
        </w:rPr>
        <w:t xml:space="preserve">p </w:t>
      </w:r>
      <w:r w:rsidRPr="00BC56AF">
        <w:rPr>
          <w:sz w:val="24"/>
          <w:szCs w:val="24"/>
        </w:rPr>
        <w:t>&lt;0.002) across most sites, except IODP 1403 (</w:t>
      </w:r>
      <w:r>
        <w:rPr>
          <w:sz w:val="24"/>
          <w:szCs w:val="24"/>
        </w:rPr>
        <w:t>Supplementary</w:t>
      </w:r>
      <w:r w:rsidRPr="003D153C">
        <w:rPr>
          <w:sz w:val="24"/>
          <w:szCs w:val="24"/>
        </w:rPr>
        <w:t xml:space="preserve"> Fig. </w:t>
      </w:r>
      <w:r>
        <w:rPr>
          <w:sz w:val="24"/>
          <w:szCs w:val="24"/>
        </w:rPr>
        <w:t>4</w:t>
      </w:r>
      <w:r w:rsidRPr="00BC56AF">
        <w:rPr>
          <w:sz w:val="24"/>
          <w:szCs w:val="24"/>
        </w:rPr>
        <w:t>), suggest largely uniform nitrogen sources and a minor contribution from inorganic NH</w:t>
      </w:r>
      <w:r w:rsidRPr="00BC56AF">
        <w:rPr>
          <w:sz w:val="24"/>
          <w:szCs w:val="24"/>
          <w:vertAlign w:val="subscript"/>
        </w:rPr>
        <w:t>4</w:t>
      </w:r>
      <w:r w:rsidRPr="00BC56AF">
        <w:rPr>
          <w:sz w:val="24"/>
          <w:szCs w:val="24"/>
          <w:vertAlign w:val="superscript"/>
        </w:rPr>
        <w:t xml:space="preserve">+ </w:t>
      </w:r>
      <w:r w:rsidRPr="00BC56AF">
        <w:rPr>
          <w:sz w:val="24"/>
          <w:szCs w:val="24"/>
        </w:rPr>
        <w:t xml:space="preserve">(ref. </w:t>
      </w:r>
      <w:r w:rsidRPr="00BC56AF">
        <w:rPr>
          <w:noProof/>
          <w:sz w:val="24"/>
          <w:szCs w:val="24"/>
          <w:vertAlign w:val="superscript"/>
        </w:rPr>
        <w:t>41</w:t>
      </w:r>
      <w:r w:rsidRPr="00BC56AF">
        <w:rPr>
          <w:sz w:val="24"/>
          <w:szCs w:val="24"/>
        </w:rPr>
        <w:t>). In contrast, low TOC content (TOC &lt; 0.2%</w:t>
      </w:r>
      <w:r w:rsidRPr="00BC56AF">
        <w:rPr>
          <w:noProof/>
          <w:sz w:val="24"/>
          <w:szCs w:val="24"/>
          <w:vertAlign w:val="superscript"/>
        </w:rPr>
        <w:t>43</w:t>
      </w:r>
      <w:r w:rsidRPr="00BC56AF">
        <w:rPr>
          <w:sz w:val="24"/>
          <w:szCs w:val="24"/>
        </w:rPr>
        <w:t>) and weak TOC-TN correlations in IODP 1403 indicates substantial oxidation of organic matter, which likely altered its original nitrogen isotopic composition. Therefore, we conclude that the observed δ</w:t>
      </w:r>
      <w:r w:rsidRPr="00BC56AF">
        <w:rPr>
          <w:sz w:val="24"/>
          <w:szCs w:val="24"/>
          <w:vertAlign w:val="superscript"/>
        </w:rPr>
        <w:t>15</w:t>
      </w:r>
      <w:r w:rsidRPr="00BC56AF">
        <w:rPr>
          <w:sz w:val="24"/>
          <w:szCs w:val="24"/>
        </w:rPr>
        <w:t>N data are dominantly recording the primary δ</w:t>
      </w:r>
      <w:r w:rsidRPr="00BC56AF">
        <w:rPr>
          <w:sz w:val="24"/>
          <w:szCs w:val="24"/>
          <w:vertAlign w:val="superscript"/>
        </w:rPr>
        <w:t>15</w:t>
      </w:r>
      <w:r w:rsidRPr="00BC56AF">
        <w:rPr>
          <w:sz w:val="24"/>
          <w:szCs w:val="24"/>
        </w:rPr>
        <w:t>N values of phytoplankton-derived organic matter at all sites except IODP 1403.</w:t>
      </w:r>
    </w:p>
    <w:p w14:paraId="29D2EF94" w14:textId="77777777" w:rsidR="000673B6" w:rsidRPr="00BC56AF" w:rsidRDefault="000673B6" w:rsidP="00C46C2A">
      <w:pPr>
        <w:rPr>
          <w:sz w:val="24"/>
          <w:szCs w:val="24"/>
        </w:rPr>
      </w:pPr>
    </w:p>
    <w:p w14:paraId="1C3DD609" w14:textId="77777777" w:rsidR="000673B6" w:rsidRPr="00BC56AF" w:rsidRDefault="000673B6" w:rsidP="00C46C2A">
      <w:pPr>
        <w:pStyle w:val="SMSubheading"/>
        <w:rPr>
          <w:szCs w:val="24"/>
          <w:u w:val="single"/>
        </w:rPr>
      </w:pPr>
      <w:r w:rsidRPr="00BC56AF">
        <w:rPr>
          <w:szCs w:val="24"/>
          <w:u w:val="single"/>
        </w:rPr>
        <w:t>Sensitivity test</w:t>
      </w:r>
    </w:p>
    <w:p w14:paraId="0B48E5DF" w14:textId="77777777" w:rsidR="000673B6" w:rsidRPr="00BC56AF" w:rsidRDefault="000673B6" w:rsidP="00C46C2A">
      <w:pPr>
        <w:rPr>
          <w:sz w:val="24"/>
          <w:szCs w:val="24"/>
        </w:rPr>
      </w:pPr>
      <w:r w:rsidRPr="00BC56AF">
        <w:rPr>
          <w:sz w:val="24"/>
          <w:szCs w:val="24"/>
        </w:rPr>
        <w:t>In this section, we examined how the marine fixed nitrogen inventory responded during the PETM and how this response depends on ocean phosphate and CO</w:t>
      </w:r>
      <w:r w:rsidRPr="00BC56AF">
        <w:rPr>
          <w:sz w:val="24"/>
          <w:szCs w:val="24"/>
          <w:vertAlign w:val="subscript"/>
        </w:rPr>
        <w:t>2</w:t>
      </w:r>
      <w:r w:rsidRPr="00BC56AF">
        <w:rPr>
          <w:sz w:val="24"/>
          <w:szCs w:val="24"/>
        </w:rPr>
        <w:t xml:space="preserve"> levels in cGENIE. Under PETM-like conditions (~0.75× pre-industrial phosphate), cGENIE simulations indicate that the global fixed nitrogen inventory increased relative to pre-PETM conditions, primarily due to phosphate-driven stimulation of N</w:t>
      </w:r>
      <w:r w:rsidRPr="00BC56AF">
        <w:rPr>
          <w:sz w:val="24"/>
          <w:szCs w:val="24"/>
          <w:vertAlign w:val="subscript"/>
        </w:rPr>
        <w:t>2</w:t>
      </w:r>
      <w:r w:rsidRPr="00BC56AF">
        <w:rPr>
          <w:sz w:val="24"/>
          <w:szCs w:val="24"/>
        </w:rPr>
        <w:t xml:space="preserve"> fixation (Table 1). Unlike Oceanic Anoxic Event 2 (OAE2)</w:t>
      </w:r>
      <w:r w:rsidRPr="00BC56AF">
        <w:rPr>
          <w:noProof/>
          <w:sz w:val="24"/>
          <w:szCs w:val="24"/>
          <w:vertAlign w:val="superscript"/>
        </w:rPr>
        <w:t>44</w:t>
      </w:r>
      <w:r w:rsidRPr="00BC56AF">
        <w:rPr>
          <w:sz w:val="24"/>
          <w:szCs w:val="24"/>
        </w:rPr>
        <w:t>, the PETM did not result in a collapse of the marine fixed nitrogen reservoir. Instead, the fixed nitrogen pool continued to grow, likely because oxygen minimum zones were spatially more restricted than during OAE2, constraining global nitrogen loss at relatively low levels (Table 1). Model results show that anoxia expanded to ~1.3% of global ocean volume (10 µM O2 threshold), far smaller than the ~17% estimated for OAE2 (Table 1). Nitrate remained the dominant form of fixed nitrogen globally (Table 1), except in the Para-Tethys where strong deoxygenation and high denitrification losses favored ammonium accumulation (</w:t>
      </w:r>
      <w:r>
        <w:rPr>
          <w:sz w:val="24"/>
          <w:szCs w:val="24"/>
        </w:rPr>
        <w:t>Supplementary</w:t>
      </w:r>
      <w:r w:rsidRPr="00DB17BF">
        <w:rPr>
          <w:sz w:val="24"/>
          <w:szCs w:val="24"/>
        </w:rPr>
        <w:t xml:space="preserve"> Fig. </w:t>
      </w:r>
      <w:r>
        <w:rPr>
          <w:sz w:val="24"/>
          <w:szCs w:val="24"/>
        </w:rPr>
        <w:t>2</w:t>
      </w:r>
      <w:r w:rsidRPr="00BC56AF">
        <w:rPr>
          <w:sz w:val="24"/>
          <w:szCs w:val="24"/>
        </w:rPr>
        <w:t>).</w:t>
      </w:r>
    </w:p>
    <w:p w14:paraId="06A7643F" w14:textId="77777777" w:rsidR="000673B6" w:rsidRPr="00BC56AF" w:rsidRDefault="000673B6" w:rsidP="00C46C2A">
      <w:pPr>
        <w:rPr>
          <w:sz w:val="24"/>
          <w:szCs w:val="24"/>
        </w:rPr>
      </w:pPr>
      <w:r w:rsidRPr="00BC56AF">
        <w:rPr>
          <w:sz w:val="24"/>
          <w:szCs w:val="24"/>
        </w:rPr>
        <w:t>To investigate the response of fixed nitrogen inventory on variable phosphate levels under an Eocene-like configuration, we conducted sensitivity tests. The results reveal a non-linear response of the fixed nitrogen inventory with elevated phosphate inventory (</w:t>
      </w:r>
      <w:r>
        <w:rPr>
          <w:sz w:val="24"/>
          <w:szCs w:val="24"/>
        </w:rPr>
        <w:t>Supplementary</w:t>
      </w:r>
      <w:r w:rsidRPr="00DB17BF">
        <w:rPr>
          <w:sz w:val="24"/>
          <w:szCs w:val="24"/>
        </w:rPr>
        <w:t xml:space="preserve"> Fig. </w:t>
      </w:r>
      <w:r>
        <w:rPr>
          <w:sz w:val="24"/>
          <w:szCs w:val="24"/>
        </w:rPr>
        <w:t>2</w:t>
      </w:r>
      <w:r w:rsidRPr="00BC56AF">
        <w:rPr>
          <w:sz w:val="24"/>
          <w:szCs w:val="24"/>
        </w:rPr>
        <w:t>). At moderate phosphate inventory (0.5–1.5× pre-</w:t>
      </w:r>
      <w:r w:rsidRPr="00BC56AF">
        <w:rPr>
          <w:sz w:val="24"/>
          <w:szCs w:val="24"/>
        </w:rPr>
        <w:lastRenderedPageBreak/>
        <w:t>industrial), enhanced N</w:t>
      </w:r>
      <w:r w:rsidRPr="00BC56AF">
        <w:rPr>
          <w:sz w:val="24"/>
          <w:szCs w:val="24"/>
          <w:vertAlign w:val="subscript"/>
        </w:rPr>
        <w:t>2</w:t>
      </w:r>
      <w:r w:rsidRPr="00BC56AF">
        <w:rPr>
          <w:sz w:val="24"/>
          <w:szCs w:val="24"/>
        </w:rPr>
        <w:t xml:space="preserve"> fixation outweighed nitrogen loss, producing a net gain in the nitrogen inventory. Above ~1.5×, the inventory plateaued, and at &gt;2×, accelerated nitrogen removal led to net losses and declining nitrate concentrations. Model experiments further show that global nitrate levels would have peaked at ~1× pre-industrial phosphate, but at &gt;2×, ammonium would have overtaken nitrate as the dominant fixed nitrogen species in an Eocene-like ocean.</w:t>
      </w:r>
    </w:p>
    <w:p w14:paraId="5EBD7C42" w14:textId="77777777" w:rsidR="000673B6" w:rsidRPr="00BC56AF" w:rsidRDefault="000673B6" w:rsidP="00C46C2A">
      <w:pPr>
        <w:rPr>
          <w:sz w:val="24"/>
          <w:szCs w:val="24"/>
        </w:rPr>
      </w:pPr>
      <w:r w:rsidRPr="00BC56AF">
        <w:rPr>
          <w:sz w:val="24"/>
          <w:szCs w:val="24"/>
        </w:rPr>
        <w:br w:type="page"/>
      </w:r>
    </w:p>
    <w:p w14:paraId="2654D2BC" w14:textId="77777777" w:rsidR="000673B6" w:rsidRPr="00BC56AF" w:rsidRDefault="000673B6" w:rsidP="00C46C2A">
      <w:pPr>
        <w:rPr>
          <w:sz w:val="24"/>
          <w:szCs w:val="24"/>
        </w:rPr>
      </w:pPr>
    </w:p>
    <w:p w14:paraId="1F253936" w14:textId="77777777" w:rsidR="000673B6" w:rsidRPr="00BC56AF" w:rsidRDefault="000673B6" w:rsidP="00C46C2A">
      <w:pPr>
        <w:rPr>
          <w:sz w:val="24"/>
          <w:szCs w:val="24"/>
        </w:rPr>
      </w:pPr>
      <w:r w:rsidRPr="00BC56AF">
        <w:rPr>
          <w:noProof/>
          <w:sz w:val="24"/>
          <w:szCs w:val="24"/>
        </w:rPr>
        <w:drawing>
          <wp:inline distT="0" distB="0" distL="0" distR="0" wp14:anchorId="2759D520" wp14:editId="3C51F7C7">
            <wp:extent cx="5274310" cy="5085881"/>
            <wp:effectExtent l="0" t="0" r="2540" b="635"/>
            <wp:docPr id="344004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04809" name="图片 1"/>
                    <pic:cNvPicPr/>
                  </pic:nvPicPr>
                  <pic:blipFill>
                    <a:blip r:embed="rId6"/>
                    <a:stretch>
                      <a:fillRect/>
                    </a:stretch>
                  </pic:blipFill>
                  <pic:spPr>
                    <a:xfrm>
                      <a:off x="0" y="0"/>
                      <a:ext cx="5274310" cy="5085881"/>
                    </a:xfrm>
                    <a:prstGeom prst="rect">
                      <a:avLst/>
                    </a:prstGeom>
                  </pic:spPr>
                </pic:pic>
              </a:graphicData>
            </a:graphic>
          </wp:inline>
        </w:drawing>
      </w:r>
    </w:p>
    <w:p w14:paraId="721087F5" w14:textId="77777777" w:rsidR="000673B6" w:rsidRPr="00BC56AF" w:rsidRDefault="000673B6" w:rsidP="00C46C2A">
      <w:pPr>
        <w:pStyle w:val="SMHeading"/>
        <w:rPr>
          <w:b w:val="0"/>
          <w:bCs w:val="0"/>
        </w:rPr>
      </w:pPr>
      <w:r w:rsidRPr="002D00A1">
        <w:t xml:space="preserve">Supplementary </w:t>
      </w:r>
      <w:r w:rsidRPr="00BC56AF">
        <w:t>Fig. 1.</w:t>
      </w:r>
      <w:r w:rsidRPr="00BC56AF">
        <w:rPr>
          <w:lang w:eastAsia="zh-CN"/>
        </w:rPr>
        <w:t xml:space="preserve"> </w:t>
      </w:r>
      <w:r w:rsidRPr="00BC56AF">
        <w:t xml:space="preserve">Proxy records indicating changes in the marine nitrogen cycle during the PETM. </w:t>
      </w:r>
      <w:r w:rsidRPr="00BC56AF">
        <w:rPr>
          <w:lang w:eastAsia="zh-CN"/>
        </w:rPr>
        <w:t>A</w:t>
      </w:r>
      <w:r w:rsidRPr="00BC56AF">
        <w:rPr>
          <w:b w:val="0"/>
          <w:bCs w:val="0"/>
          <w:lang w:eastAsia="zh-CN"/>
        </w:rPr>
        <w:t>,</w:t>
      </w:r>
      <w:r w:rsidRPr="00BC56AF">
        <w:rPr>
          <w:b w:val="0"/>
          <w:bCs w:val="0"/>
        </w:rPr>
        <w:t xml:space="preserve"> </w:t>
      </w:r>
      <w:r w:rsidRPr="00BC56AF">
        <w:rPr>
          <w:b w:val="0"/>
          <w:bCs w:val="0"/>
          <w:lang w:eastAsia="zh-CN"/>
        </w:rPr>
        <w:t>S</w:t>
      </w:r>
      <w:r w:rsidRPr="00BC56AF">
        <w:rPr>
          <w:b w:val="0"/>
          <w:bCs w:val="0"/>
        </w:rPr>
        <w:t>ampling locations and plate configuration during the late Paleocene (ca. 55 Ma)</w:t>
      </w:r>
      <w:r w:rsidRPr="00BC56AF">
        <w:rPr>
          <w:b w:val="0"/>
          <w:bCs w:val="0"/>
          <w:noProof/>
          <w:vertAlign w:val="superscript"/>
        </w:rPr>
        <w:t>45</w:t>
      </w:r>
      <w:r w:rsidRPr="00BC56AF">
        <w:rPr>
          <w:b w:val="0"/>
          <w:bCs w:val="0"/>
        </w:rPr>
        <w:t xml:space="preserve">. </w:t>
      </w:r>
      <w:r w:rsidRPr="00BC56AF">
        <w:rPr>
          <w:lang w:eastAsia="zh-CN"/>
        </w:rPr>
        <w:t>B</w:t>
      </w:r>
      <w:r w:rsidRPr="00BC56AF">
        <w:rPr>
          <w:b w:val="0"/>
          <w:bCs w:val="0"/>
          <w:lang w:eastAsia="zh-CN"/>
        </w:rPr>
        <w:t>,</w:t>
      </w:r>
      <w:r w:rsidRPr="00BC56AF">
        <w:rPr>
          <w:b w:val="0"/>
          <w:bCs w:val="0"/>
        </w:rPr>
        <w:t xml:space="preserve"> Normalized Crenarchaeol mass accumulation rate (MAR</w:t>
      </w:r>
      <w:r w:rsidRPr="00BC56AF">
        <w:rPr>
          <w:b w:val="0"/>
          <w:bCs w:val="0"/>
          <w:vertAlign w:val="subscript"/>
        </w:rPr>
        <w:t>cren</w:t>
      </w:r>
      <w:r w:rsidRPr="00BC56AF">
        <w:rPr>
          <w:b w:val="0"/>
          <w:bCs w:val="0"/>
        </w:rPr>
        <w:t>), biomarker of ammonia-oxidizing archaea and a proxy for nitrification, normalized to the maximum value at each site</w:t>
      </w:r>
      <w:r w:rsidRPr="00BC56AF">
        <w:rPr>
          <w:b w:val="0"/>
          <w:bCs w:val="0"/>
          <w:lang w:eastAsia="zh-CN"/>
        </w:rPr>
        <w:t>.</w:t>
      </w:r>
      <w:r w:rsidRPr="00BC56AF">
        <w:rPr>
          <w:b w:val="0"/>
          <w:bCs w:val="0"/>
        </w:rPr>
        <w:t xml:space="preserve"> </w:t>
      </w:r>
      <w:r w:rsidRPr="00BC56AF">
        <w:rPr>
          <w:lang w:eastAsia="zh-CN"/>
        </w:rPr>
        <w:t>C</w:t>
      </w:r>
      <w:r w:rsidRPr="00BC56AF">
        <w:rPr>
          <w:b w:val="0"/>
          <w:bCs w:val="0"/>
          <w:lang w:eastAsia="zh-CN"/>
        </w:rPr>
        <w:t>,</w:t>
      </w:r>
      <w:r w:rsidRPr="00BC56AF">
        <w:rPr>
          <w:b w:val="0"/>
          <w:bCs w:val="0"/>
        </w:rPr>
        <w:t xml:space="preserve"> Bacteriohopanetetrol-</w:t>
      </w:r>
      <w:r w:rsidRPr="00BC56AF">
        <w:rPr>
          <w:b w:val="0"/>
          <w:bCs w:val="0"/>
          <w:i/>
          <w:iCs/>
        </w:rPr>
        <w:t>x</w:t>
      </w:r>
      <w:r w:rsidRPr="00BC56AF">
        <w:rPr>
          <w:b w:val="0"/>
          <w:bCs w:val="0"/>
        </w:rPr>
        <w:t xml:space="preserve"> (BHT-</w:t>
      </w:r>
      <w:r w:rsidRPr="00BC56AF">
        <w:rPr>
          <w:b w:val="0"/>
          <w:bCs w:val="0"/>
          <w:i/>
          <w:iCs/>
        </w:rPr>
        <w:t>x</w:t>
      </w:r>
      <w:r w:rsidRPr="00BC56AF">
        <w:rPr>
          <w:b w:val="0"/>
          <w:bCs w:val="0"/>
        </w:rPr>
        <w:t>) ratio, a biomarker produced by anaerobic ammonium-oxidizing bacteria and a proxy for low O</w:t>
      </w:r>
      <w:r w:rsidRPr="00BC56AF">
        <w:rPr>
          <w:b w:val="0"/>
          <w:bCs w:val="0"/>
          <w:vertAlign w:val="subscript"/>
        </w:rPr>
        <w:t>2</w:t>
      </w:r>
      <w:r w:rsidRPr="00BC56AF">
        <w:rPr>
          <w:b w:val="0"/>
          <w:bCs w:val="0"/>
        </w:rPr>
        <w:t xml:space="preserve"> concentrations (BHT-</w:t>
      </w:r>
      <w:r w:rsidRPr="00BC56AF">
        <w:rPr>
          <w:b w:val="0"/>
          <w:bCs w:val="0"/>
          <w:i/>
          <w:iCs/>
        </w:rPr>
        <w:t>x</w:t>
      </w:r>
      <w:r w:rsidRPr="00BC56AF">
        <w:rPr>
          <w:b w:val="0"/>
          <w:bCs w:val="0"/>
        </w:rPr>
        <w:t xml:space="preserve"> ratio &gt;0.2 suggests &lt;50 µm O</w:t>
      </w:r>
      <w:r w:rsidRPr="00BC56AF">
        <w:rPr>
          <w:b w:val="0"/>
          <w:bCs w:val="0"/>
          <w:vertAlign w:val="subscript"/>
        </w:rPr>
        <w:t>2</w:t>
      </w:r>
      <w:r w:rsidRPr="00BC56AF">
        <w:rPr>
          <w:b w:val="0"/>
          <w:bCs w:val="0"/>
        </w:rPr>
        <w:t>)</w:t>
      </w:r>
      <w:r w:rsidRPr="00BC56AF">
        <w:rPr>
          <w:b w:val="0"/>
          <w:bCs w:val="0"/>
          <w:lang w:eastAsia="zh-CN"/>
        </w:rPr>
        <w:t>.</w:t>
      </w:r>
      <w:r w:rsidRPr="00BC56AF">
        <w:rPr>
          <w:b w:val="0"/>
          <w:bCs w:val="0"/>
        </w:rPr>
        <w:t xml:space="preserve"> </w:t>
      </w:r>
      <w:r w:rsidRPr="00BC56AF">
        <w:rPr>
          <w:lang w:eastAsia="zh-CN"/>
        </w:rPr>
        <w:t>D</w:t>
      </w:r>
      <w:r w:rsidRPr="00BC56AF">
        <w:rPr>
          <w:b w:val="0"/>
          <w:bCs w:val="0"/>
          <w:lang w:eastAsia="zh-CN"/>
        </w:rPr>
        <w:t>,</w:t>
      </w:r>
      <w:r w:rsidRPr="00BC56AF">
        <w:rPr>
          <w:b w:val="0"/>
          <w:bCs w:val="0"/>
        </w:rPr>
        <w:t xml:space="preserve"> </w:t>
      </w:r>
      <w:r w:rsidRPr="00BC56AF">
        <w:rPr>
          <w:b w:val="0"/>
          <w:bCs w:val="0"/>
          <w:lang w:eastAsia="zh-CN"/>
        </w:rPr>
        <w:t>B</w:t>
      </w:r>
      <w:r w:rsidRPr="00BC56AF">
        <w:rPr>
          <w:b w:val="0"/>
          <w:bCs w:val="0"/>
        </w:rPr>
        <w:t>ulk sediment δ</w:t>
      </w:r>
      <w:r w:rsidRPr="00BC56AF">
        <w:rPr>
          <w:b w:val="0"/>
          <w:bCs w:val="0"/>
          <w:vertAlign w:val="superscript"/>
        </w:rPr>
        <w:t>15</w:t>
      </w:r>
      <w:r w:rsidRPr="00BC56AF">
        <w:rPr>
          <w:b w:val="0"/>
          <w:bCs w:val="0"/>
        </w:rPr>
        <w:t>N (δ</w:t>
      </w:r>
      <w:r w:rsidRPr="00BC56AF">
        <w:rPr>
          <w:b w:val="0"/>
          <w:bCs w:val="0"/>
          <w:vertAlign w:val="superscript"/>
        </w:rPr>
        <w:t>15</w:t>
      </w:r>
      <w:r w:rsidRPr="00BC56AF">
        <w:rPr>
          <w:b w:val="0"/>
          <w:bCs w:val="0"/>
        </w:rPr>
        <w:t>N</w:t>
      </w:r>
      <w:r w:rsidRPr="00BC56AF">
        <w:rPr>
          <w:b w:val="0"/>
          <w:bCs w:val="0"/>
          <w:vertAlign w:val="subscript"/>
        </w:rPr>
        <w:t>bulk</w:t>
      </w:r>
      <w:r w:rsidRPr="00BC56AF">
        <w:rPr>
          <w:b w:val="0"/>
          <w:bCs w:val="0"/>
        </w:rPr>
        <w:t>). δ</w:t>
      </w:r>
      <w:r w:rsidRPr="00BC56AF">
        <w:rPr>
          <w:b w:val="0"/>
          <w:bCs w:val="0"/>
          <w:vertAlign w:val="superscript"/>
        </w:rPr>
        <w:t>15</w:t>
      </w:r>
      <w:r w:rsidRPr="00BC56AF">
        <w:rPr>
          <w:b w:val="0"/>
          <w:bCs w:val="0"/>
        </w:rPr>
        <w:t>N</w:t>
      </w:r>
      <w:r w:rsidRPr="00BC56AF">
        <w:rPr>
          <w:b w:val="0"/>
          <w:bCs w:val="0"/>
          <w:vertAlign w:val="subscript"/>
        </w:rPr>
        <w:t>bulk</w:t>
      </w:r>
      <w:r w:rsidRPr="00BC56AF">
        <w:rPr>
          <w:b w:val="0"/>
          <w:bCs w:val="0"/>
        </w:rPr>
        <w:t xml:space="preserve"> data for the Kheu River site are from ref. </w:t>
      </w:r>
      <w:r w:rsidRPr="00BC56AF">
        <w:rPr>
          <w:b w:val="0"/>
          <w:bCs w:val="0"/>
          <w:noProof/>
          <w:vertAlign w:val="superscript"/>
        </w:rPr>
        <w:t>42</w:t>
      </w:r>
      <w:r w:rsidRPr="00BC56AF">
        <w:rPr>
          <w:b w:val="0"/>
          <w:bCs w:val="0"/>
        </w:rPr>
        <w:t>; Sites are grouped into three categories (anoxic, suboxic and oxic) based on integrated assessment of BHT-</w:t>
      </w:r>
      <w:r w:rsidRPr="00BC56AF">
        <w:rPr>
          <w:b w:val="0"/>
          <w:bCs w:val="0"/>
          <w:i/>
          <w:iCs/>
        </w:rPr>
        <w:t>x</w:t>
      </w:r>
      <w:r w:rsidRPr="00BC56AF">
        <w:rPr>
          <w:b w:val="0"/>
          <w:bCs w:val="0"/>
        </w:rPr>
        <w:t xml:space="preserve"> ratio, δ1</w:t>
      </w:r>
      <w:r w:rsidRPr="00BC56AF">
        <w:rPr>
          <w:b w:val="0"/>
          <w:bCs w:val="0"/>
          <w:vertAlign w:val="superscript"/>
        </w:rPr>
        <w:t>5</w:t>
      </w:r>
      <w:r w:rsidRPr="00BC56AF">
        <w:rPr>
          <w:b w:val="0"/>
          <w:bCs w:val="0"/>
        </w:rPr>
        <w:t>N</w:t>
      </w:r>
      <w:r w:rsidRPr="00BC56AF">
        <w:rPr>
          <w:b w:val="0"/>
          <w:bCs w:val="0"/>
          <w:vertAlign w:val="subscript"/>
        </w:rPr>
        <w:t>bulk</w:t>
      </w:r>
      <w:r w:rsidRPr="00BC56AF">
        <w:rPr>
          <w:b w:val="0"/>
          <w:bCs w:val="0"/>
        </w:rPr>
        <w:t xml:space="preserve"> values and cGENIE-simulated oxygen levels (anoxic: [O</w:t>
      </w:r>
      <w:r w:rsidRPr="00BC56AF">
        <w:rPr>
          <w:b w:val="0"/>
          <w:bCs w:val="0"/>
          <w:vertAlign w:val="subscript"/>
        </w:rPr>
        <w:t>2</w:t>
      </w:r>
      <w:r w:rsidRPr="00BC56AF">
        <w:rPr>
          <w:b w:val="0"/>
          <w:bCs w:val="0"/>
        </w:rPr>
        <w:t>]&lt;10 μM; hypoxic: 10&lt;[O</w:t>
      </w:r>
      <w:r w:rsidRPr="00BC56AF">
        <w:rPr>
          <w:b w:val="0"/>
          <w:bCs w:val="0"/>
          <w:vertAlign w:val="subscript"/>
        </w:rPr>
        <w:t>2</w:t>
      </w:r>
      <w:r w:rsidRPr="00BC56AF">
        <w:rPr>
          <w:b w:val="0"/>
          <w:bCs w:val="0"/>
        </w:rPr>
        <w:t>]&lt;60 μM; oxic: [O</w:t>
      </w:r>
      <w:r w:rsidRPr="00BC56AF">
        <w:rPr>
          <w:b w:val="0"/>
          <w:bCs w:val="0"/>
          <w:vertAlign w:val="subscript"/>
        </w:rPr>
        <w:t>2</w:t>
      </w:r>
      <w:r w:rsidRPr="00BC56AF">
        <w:rPr>
          <w:b w:val="0"/>
          <w:bCs w:val="0"/>
        </w:rPr>
        <w:t xml:space="preserve">]&gt;60 μM). Solid curves represent 3-point running averages. The grey shadings indicate approximate duration of the event (~170 kyr). Abbreviations: </w:t>
      </w:r>
      <w:r w:rsidRPr="00BC56AF">
        <w:rPr>
          <w:b w:val="0"/>
          <w:bCs w:val="0"/>
          <w:lang w:eastAsia="zh-CN"/>
        </w:rPr>
        <w:t>p</w:t>
      </w:r>
      <w:r w:rsidRPr="00BC56AF">
        <w:rPr>
          <w:b w:val="0"/>
          <w:bCs w:val="0"/>
        </w:rPr>
        <w:t>re: pre-PETM; post: post-PETM.</w:t>
      </w:r>
    </w:p>
    <w:p w14:paraId="7F3CBCCF" w14:textId="77777777" w:rsidR="000673B6" w:rsidRPr="00BC56AF" w:rsidRDefault="000673B6">
      <w:pPr>
        <w:rPr>
          <w:rFonts w:eastAsia="Times New Roman"/>
          <w:color w:val="262626"/>
          <w:kern w:val="28"/>
          <w:sz w:val="24"/>
          <w:szCs w:val="24"/>
        </w:rPr>
      </w:pPr>
      <w:r w:rsidRPr="00BC56AF">
        <w:rPr>
          <w:b/>
          <w:bCs/>
          <w:color w:val="262626"/>
        </w:rPr>
        <w:br w:type="page"/>
      </w:r>
    </w:p>
    <w:p w14:paraId="58244650" w14:textId="77777777" w:rsidR="000673B6" w:rsidRPr="00BC56AF" w:rsidRDefault="000673B6" w:rsidP="000952CF">
      <w:pPr>
        <w:rPr>
          <w:sz w:val="24"/>
          <w:szCs w:val="24"/>
        </w:rPr>
      </w:pPr>
      <w:r w:rsidRPr="00BC56AF">
        <w:rPr>
          <w:noProof/>
          <w:sz w:val="24"/>
          <w:szCs w:val="24"/>
        </w:rPr>
        <w:lastRenderedPageBreak/>
        <w:drawing>
          <wp:inline distT="0" distB="0" distL="0" distR="0" wp14:anchorId="2F9B6E40" wp14:editId="78E168BC">
            <wp:extent cx="5274310" cy="5788486"/>
            <wp:effectExtent l="0" t="0" r="2540" b="3175"/>
            <wp:docPr id="9535509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50976" name="图片 6"/>
                    <pic:cNvPicPr/>
                  </pic:nvPicPr>
                  <pic:blipFill>
                    <a:blip r:embed="rId7"/>
                    <a:stretch>
                      <a:fillRect/>
                    </a:stretch>
                  </pic:blipFill>
                  <pic:spPr>
                    <a:xfrm>
                      <a:off x="0" y="0"/>
                      <a:ext cx="5274310" cy="5788486"/>
                    </a:xfrm>
                    <a:prstGeom prst="rect">
                      <a:avLst/>
                    </a:prstGeom>
                  </pic:spPr>
                </pic:pic>
              </a:graphicData>
            </a:graphic>
          </wp:inline>
        </w:drawing>
      </w:r>
    </w:p>
    <w:p w14:paraId="02AA414F" w14:textId="77777777" w:rsidR="000673B6" w:rsidRPr="00BC56AF" w:rsidRDefault="000673B6" w:rsidP="000952CF">
      <w:pPr>
        <w:pStyle w:val="SMHeading"/>
        <w:rPr>
          <w:b w:val="0"/>
          <w:bCs w:val="0"/>
        </w:rPr>
      </w:pPr>
      <w:r w:rsidRPr="002D00A1">
        <w:t xml:space="preserve">Supplementary </w:t>
      </w:r>
      <w:r w:rsidRPr="00BC56AF">
        <w:t xml:space="preserve">Fig. </w:t>
      </w:r>
      <w:r>
        <w:rPr>
          <w:lang w:eastAsia="zh-CN"/>
        </w:rPr>
        <w:t>2</w:t>
      </w:r>
      <w:r w:rsidRPr="00BC56AF">
        <w:t>.</w:t>
      </w:r>
      <w:r w:rsidRPr="00BC56AF">
        <w:rPr>
          <w:lang w:eastAsia="zh-CN"/>
        </w:rPr>
        <w:t xml:space="preserve"> </w:t>
      </w:r>
      <w:r w:rsidRPr="00BC56AF">
        <w:t>Sensitivity of the marine nitrogen cycle to phosphate and carbon forcing. Modelled response of global biogeochemical fields to varying phosphate and atmospheric CO</w:t>
      </w:r>
      <w:r w:rsidRPr="00BC56AF">
        <w:rPr>
          <w:vertAlign w:val="subscript"/>
        </w:rPr>
        <w:t>2</w:t>
      </w:r>
      <w:r w:rsidRPr="00BC56AF">
        <w:t xml:space="preserve"> concentrations.</w:t>
      </w:r>
      <w:r w:rsidRPr="00BC56AF">
        <w:rPr>
          <w:b w:val="0"/>
          <w:bCs w:val="0"/>
        </w:rPr>
        <w:t xml:space="preserve"> </w:t>
      </w:r>
      <w:r w:rsidRPr="00BC56AF">
        <w:rPr>
          <w:lang w:eastAsia="zh-CN"/>
        </w:rPr>
        <w:t>A</w:t>
      </w:r>
      <w:r w:rsidRPr="00BC56AF">
        <w:rPr>
          <w:b w:val="0"/>
          <w:bCs w:val="0"/>
          <w:lang w:eastAsia="zh-CN"/>
        </w:rPr>
        <w:t>,</w:t>
      </w:r>
      <w:r w:rsidRPr="00BC56AF">
        <w:rPr>
          <w:b w:val="0"/>
          <w:bCs w:val="0"/>
        </w:rPr>
        <w:t xml:space="preserve"> Ammonium (red), nitrate (green), and total fixed nitrogen ([NH</w:t>
      </w:r>
      <w:r w:rsidRPr="00BC56AF">
        <w:rPr>
          <w:b w:val="0"/>
          <w:bCs w:val="0"/>
          <w:vertAlign w:val="subscript"/>
        </w:rPr>
        <w:t>4</w:t>
      </w:r>
      <w:proofErr w:type="gramStart"/>
      <w:r w:rsidRPr="00BC56AF">
        <w:rPr>
          <w:b w:val="0"/>
          <w:bCs w:val="0"/>
          <w:vertAlign w:val="superscript"/>
        </w:rPr>
        <w:t>+</w:t>
      </w:r>
      <w:r w:rsidRPr="00BC56AF">
        <w:rPr>
          <w:b w:val="0"/>
          <w:bCs w:val="0"/>
        </w:rPr>
        <w:t>]+</w:t>
      </w:r>
      <w:proofErr w:type="gramEnd"/>
      <w:r w:rsidRPr="00BC56AF">
        <w:rPr>
          <w:b w:val="0"/>
          <w:bCs w:val="0"/>
        </w:rPr>
        <w:t>[NO</w:t>
      </w:r>
      <w:r w:rsidRPr="00BC56AF">
        <w:rPr>
          <w:b w:val="0"/>
          <w:bCs w:val="0"/>
          <w:vertAlign w:val="subscript"/>
        </w:rPr>
        <w:t>3</w:t>
      </w:r>
      <w:r w:rsidRPr="00BC56AF">
        <w:rPr>
          <w:b w:val="0"/>
          <w:bCs w:val="0"/>
          <w:vertAlign w:val="superscript"/>
        </w:rPr>
        <w:t>-</w:t>
      </w:r>
      <w:r w:rsidRPr="00BC56AF">
        <w:rPr>
          <w:b w:val="0"/>
          <w:bCs w:val="0"/>
        </w:rPr>
        <w:t>], in blue) concentrations. Results are shown as surface plots across a parameter space of phosphate supply (x-axis) and CO</w:t>
      </w:r>
      <w:r w:rsidRPr="00BC56AF">
        <w:rPr>
          <w:b w:val="0"/>
          <w:bCs w:val="0"/>
          <w:vertAlign w:val="subscript"/>
        </w:rPr>
        <w:t>2</w:t>
      </w:r>
      <w:r w:rsidRPr="00BC56AF">
        <w:rPr>
          <w:b w:val="0"/>
          <w:bCs w:val="0"/>
        </w:rPr>
        <w:t xml:space="preserve"> forcing (y-axis), with shading indicating the magnitude of each variable.  </w:t>
      </w:r>
      <w:proofErr w:type="gramStart"/>
      <w:r w:rsidRPr="00BC56AF">
        <w:rPr>
          <w:lang w:eastAsia="zh-CN"/>
        </w:rPr>
        <w:t>B</w:t>
      </w:r>
      <w:r w:rsidRPr="00BC56AF">
        <w:rPr>
          <w:b w:val="0"/>
          <w:bCs w:val="0"/>
          <w:lang w:eastAsia="zh-CN"/>
        </w:rPr>
        <w:t>,</w:t>
      </w:r>
      <w:r w:rsidRPr="00BC56AF">
        <w:rPr>
          <w:b w:val="0"/>
          <w:bCs w:val="0"/>
        </w:rPr>
        <w:t xml:space="preserve">  Nitrification</w:t>
      </w:r>
      <w:proofErr w:type="gramEnd"/>
      <w:r w:rsidRPr="00BC56AF">
        <w:rPr>
          <w:b w:val="0"/>
          <w:bCs w:val="0"/>
        </w:rPr>
        <w:t xml:space="preserve"> (purple), denitrification (orange), and minimum oxygen concentrations (grey). </w:t>
      </w:r>
    </w:p>
    <w:p w14:paraId="589829CC" w14:textId="77777777" w:rsidR="000673B6" w:rsidRPr="00BC56AF" w:rsidRDefault="000673B6">
      <w:pPr>
        <w:rPr>
          <w:rFonts w:eastAsia="Times New Roman"/>
          <w:color w:val="262626"/>
          <w:kern w:val="28"/>
          <w:sz w:val="24"/>
          <w:szCs w:val="24"/>
        </w:rPr>
      </w:pPr>
      <w:r w:rsidRPr="00BC56AF">
        <w:rPr>
          <w:b/>
          <w:bCs/>
          <w:color w:val="262626"/>
        </w:rPr>
        <w:br w:type="page"/>
      </w:r>
    </w:p>
    <w:p w14:paraId="6088567E" w14:textId="77777777" w:rsidR="000673B6" w:rsidRPr="00BC56AF" w:rsidRDefault="000673B6" w:rsidP="000952CF">
      <w:pPr>
        <w:rPr>
          <w:sz w:val="24"/>
          <w:szCs w:val="24"/>
        </w:rPr>
      </w:pPr>
      <w:r w:rsidRPr="00BC56AF">
        <w:rPr>
          <w:noProof/>
          <w:sz w:val="24"/>
          <w:szCs w:val="24"/>
        </w:rPr>
        <w:lastRenderedPageBreak/>
        <w:drawing>
          <wp:inline distT="0" distB="0" distL="0" distR="0" wp14:anchorId="7A7BEC2E" wp14:editId="7F209286">
            <wp:extent cx="5274310" cy="3676015"/>
            <wp:effectExtent l="0" t="0" r="2540" b="635"/>
            <wp:docPr id="10079356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5609" name="图片 10079356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696B1961" w14:textId="77777777" w:rsidR="000673B6" w:rsidRPr="00BC56AF" w:rsidRDefault="000673B6" w:rsidP="000952CF">
      <w:pPr>
        <w:pStyle w:val="SMHeading"/>
        <w:rPr>
          <w:b w:val="0"/>
          <w:bCs w:val="0"/>
        </w:rPr>
      </w:pPr>
      <w:r w:rsidRPr="002D00A1">
        <w:t xml:space="preserve">Supplementary </w:t>
      </w:r>
      <w:r w:rsidRPr="00BC56AF">
        <w:t xml:space="preserve">Fig. </w:t>
      </w:r>
      <w:r>
        <w:rPr>
          <w:lang w:eastAsia="zh-CN"/>
        </w:rPr>
        <w:t>3</w:t>
      </w:r>
      <w:r w:rsidRPr="00BC56AF">
        <w:t>.</w:t>
      </w:r>
      <w:r w:rsidRPr="00BC56AF">
        <w:rPr>
          <w:lang w:eastAsia="zh-CN"/>
        </w:rPr>
        <w:t xml:space="preserve"> </w:t>
      </w:r>
      <w:r w:rsidRPr="00BC56AF">
        <w:t>C/N</w:t>
      </w:r>
      <w:r w:rsidRPr="00BC56AF">
        <w:rPr>
          <w:lang w:eastAsia="zh-CN"/>
        </w:rPr>
        <w:t xml:space="preserve"> (mol/mol)</w:t>
      </w:r>
      <w:r w:rsidRPr="00BC56AF">
        <w:t xml:space="preserve"> across globally distributed sites spanning the PETM. </w:t>
      </w:r>
      <w:r w:rsidRPr="00BC56AF">
        <w:rPr>
          <w:b w:val="0"/>
          <w:bCs w:val="0"/>
        </w:rPr>
        <w:t>The Pal</w:t>
      </w:r>
      <w:r w:rsidRPr="00BC56AF">
        <w:rPr>
          <w:b w:val="0"/>
          <w:bCs w:val="0"/>
          <w:lang w:eastAsia="zh-CN"/>
        </w:rPr>
        <w:t>e</w:t>
      </w:r>
      <w:r w:rsidRPr="00BC56AF">
        <w:rPr>
          <w:b w:val="0"/>
          <w:bCs w:val="0"/>
        </w:rPr>
        <w:t>ocene–Eocene Thermal Maximum (PETM) interval is highlighted in grey.</w:t>
      </w:r>
    </w:p>
    <w:p w14:paraId="4CB996DF" w14:textId="77777777" w:rsidR="000673B6" w:rsidRPr="00BC56AF" w:rsidRDefault="000673B6" w:rsidP="000952CF">
      <w:pPr>
        <w:rPr>
          <w:sz w:val="24"/>
          <w:szCs w:val="24"/>
        </w:rPr>
      </w:pPr>
    </w:p>
    <w:p w14:paraId="06DDD3CA" w14:textId="77777777" w:rsidR="000673B6" w:rsidRPr="00BC56AF" w:rsidRDefault="000673B6" w:rsidP="000952CF">
      <w:pPr>
        <w:rPr>
          <w:sz w:val="24"/>
          <w:szCs w:val="24"/>
        </w:rPr>
      </w:pPr>
      <w:r w:rsidRPr="00BC56AF">
        <w:rPr>
          <w:sz w:val="24"/>
          <w:szCs w:val="24"/>
        </w:rPr>
        <w:br w:type="page"/>
      </w:r>
    </w:p>
    <w:p w14:paraId="071299A5" w14:textId="77777777" w:rsidR="000673B6" w:rsidRPr="00BC56AF" w:rsidRDefault="000673B6" w:rsidP="000952CF">
      <w:pPr>
        <w:rPr>
          <w:sz w:val="24"/>
          <w:szCs w:val="24"/>
        </w:rPr>
      </w:pPr>
      <w:r w:rsidRPr="00BC56AF">
        <w:rPr>
          <w:noProof/>
          <w:sz w:val="24"/>
          <w:szCs w:val="24"/>
        </w:rPr>
        <w:lastRenderedPageBreak/>
        <w:drawing>
          <wp:inline distT="0" distB="0" distL="0" distR="0" wp14:anchorId="1FA21B96" wp14:editId="29091B8A">
            <wp:extent cx="5274310" cy="2621280"/>
            <wp:effectExtent l="0" t="0" r="2540" b="7620"/>
            <wp:docPr id="730484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495" name="图片 730484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14:paraId="6F9CF753" w14:textId="77777777" w:rsidR="000673B6" w:rsidRPr="00BC56AF" w:rsidRDefault="000673B6" w:rsidP="000952CF">
      <w:pPr>
        <w:pStyle w:val="SMHeading"/>
        <w:rPr>
          <w:b w:val="0"/>
          <w:bCs w:val="0"/>
        </w:rPr>
      </w:pPr>
      <w:r w:rsidRPr="002D00A1">
        <w:t xml:space="preserve">Supplementary </w:t>
      </w:r>
      <w:r w:rsidRPr="00BC56AF">
        <w:t xml:space="preserve">Fig. </w:t>
      </w:r>
      <w:r>
        <w:rPr>
          <w:lang w:eastAsia="zh-CN"/>
        </w:rPr>
        <w:t>4</w:t>
      </w:r>
      <w:r w:rsidRPr="00BC56AF">
        <w:t>.</w:t>
      </w:r>
      <w:r w:rsidRPr="00BC56AF">
        <w:rPr>
          <w:lang w:eastAsia="zh-CN"/>
        </w:rPr>
        <w:t xml:space="preserve"> </w:t>
      </w:r>
      <w:r w:rsidRPr="00BC56AF">
        <w:t xml:space="preserve">Cross-plots of bulk sediment TOC and TN from eight sites. </w:t>
      </w:r>
      <w:r w:rsidRPr="00BC56AF">
        <w:rPr>
          <w:b w:val="0"/>
          <w:bCs w:val="0"/>
        </w:rPr>
        <w:t>Black lines indicate least-squares linear regressions.</w:t>
      </w:r>
    </w:p>
    <w:p w14:paraId="73C927AE" w14:textId="77777777" w:rsidR="000673B6" w:rsidRPr="00BC56AF" w:rsidRDefault="000673B6" w:rsidP="000952CF">
      <w:pPr>
        <w:rPr>
          <w:sz w:val="24"/>
          <w:szCs w:val="24"/>
        </w:rPr>
      </w:pPr>
    </w:p>
    <w:p w14:paraId="07043A39" w14:textId="77777777" w:rsidR="000673B6" w:rsidRPr="00BC56AF" w:rsidRDefault="000673B6" w:rsidP="000952CF">
      <w:pPr>
        <w:rPr>
          <w:sz w:val="24"/>
          <w:szCs w:val="24"/>
        </w:rPr>
      </w:pPr>
      <w:r w:rsidRPr="00BC56AF">
        <w:rPr>
          <w:sz w:val="24"/>
          <w:szCs w:val="24"/>
        </w:rPr>
        <w:br w:type="page"/>
      </w:r>
    </w:p>
    <w:p w14:paraId="483A417F" w14:textId="77777777" w:rsidR="000673B6" w:rsidRPr="00BC56AF" w:rsidRDefault="000673B6" w:rsidP="000952CF">
      <w:pPr>
        <w:rPr>
          <w:sz w:val="24"/>
          <w:szCs w:val="24"/>
        </w:rPr>
      </w:pPr>
      <w:r w:rsidRPr="00BC56AF">
        <w:rPr>
          <w:noProof/>
          <w:sz w:val="24"/>
          <w:szCs w:val="24"/>
        </w:rPr>
        <w:lastRenderedPageBreak/>
        <w:drawing>
          <wp:inline distT="0" distB="0" distL="0" distR="0" wp14:anchorId="5D725300" wp14:editId="05E706FD">
            <wp:extent cx="5274310" cy="5274310"/>
            <wp:effectExtent l="0" t="0" r="2540" b="2540"/>
            <wp:docPr id="17846534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3405" name="图片 10"/>
                    <pic:cNvPicPr/>
                  </pic:nvPicPr>
                  <pic:blipFill>
                    <a:blip r:embed="rId10"/>
                    <a:stretch>
                      <a:fillRect/>
                    </a:stretch>
                  </pic:blipFill>
                  <pic:spPr>
                    <a:xfrm>
                      <a:off x="0" y="0"/>
                      <a:ext cx="5274310" cy="5274310"/>
                    </a:xfrm>
                    <a:prstGeom prst="rect">
                      <a:avLst/>
                    </a:prstGeom>
                  </pic:spPr>
                </pic:pic>
              </a:graphicData>
            </a:graphic>
          </wp:inline>
        </w:drawing>
      </w:r>
    </w:p>
    <w:p w14:paraId="7DEF8617" w14:textId="77777777" w:rsidR="000673B6" w:rsidRPr="00BC56AF" w:rsidRDefault="000673B6" w:rsidP="000952CF">
      <w:pPr>
        <w:pStyle w:val="SMHeading"/>
      </w:pPr>
      <w:r w:rsidRPr="002D00A1">
        <w:t xml:space="preserve">Supplementary </w:t>
      </w:r>
      <w:r w:rsidRPr="00BC56AF">
        <w:t xml:space="preserve">Fig. </w:t>
      </w:r>
      <w:r>
        <w:rPr>
          <w:lang w:eastAsia="zh-CN"/>
        </w:rPr>
        <w:t>5</w:t>
      </w:r>
      <w:r w:rsidRPr="00BC56AF">
        <w:t>.</w:t>
      </w:r>
      <w:r w:rsidRPr="00BC56AF">
        <w:rPr>
          <w:lang w:eastAsia="zh-CN"/>
        </w:rPr>
        <w:t xml:space="preserve"> </w:t>
      </w:r>
      <w:r w:rsidRPr="00BC56AF">
        <w:t>Linear sedimentation rates (LSRs) estimates from this study for Kheu River, Fur Fm, Qimugen Fm, and from previous studies for IODP 302</w:t>
      </w:r>
      <w:r w:rsidRPr="00BC56AF">
        <w:rPr>
          <w:noProof/>
          <w:vertAlign w:val="superscript"/>
        </w:rPr>
        <w:t>46</w:t>
      </w:r>
      <w:r w:rsidRPr="00BC56AF">
        <w:t>, ODP 1172</w:t>
      </w:r>
      <w:r w:rsidRPr="00BC56AF">
        <w:rPr>
          <w:noProof/>
          <w:vertAlign w:val="superscript"/>
        </w:rPr>
        <w:t>8,47</w:t>
      </w:r>
      <w:r w:rsidRPr="00BC56AF">
        <w:t>, ODP174AX Ancora</w:t>
      </w:r>
      <w:r w:rsidRPr="00BC56AF">
        <w:rPr>
          <w:noProof/>
          <w:vertAlign w:val="superscript"/>
        </w:rPr>
        <w:t>8</w:t>
      </w:r>
      <w:r w:rsidRPr="00BC56AF">
        <w:t>, IODP 1403</w:t>
      </w:r>
      <w:r w:rsidRPr="00BC56AF">
        <w:rPr>
          <w:noProof/>
          <w:vertAlign w:val="superscript"/>
        </w:rPr>
        <w:t>43</w:t>
      </w:r>
      <w:r w:rsidRPr="00BC56AF">
        <w:t>, ODP 959</w:t>
      </w:r>
      <w:r w:rsidRPr="00BC56AF">
        <w:rPr>
          <w:noProof/>
          <w:vertAlign w:val="superscript"/>
        </w:rPr>
        <w:t>48</w:t>
      </w:r>
      <w:r w:rsidRPr="00BC56AF">
        <w:t>.</w:t>
      </w:r>
    </w:p>
    <w:p w14:paraId="68F82234" w14:textId="77777777" w:rsidR="000673B6" w:rsidRPr="00BC56AF" w:rsidRDefault="000673B6" w:rsidP="000952CF">
      <w:pPr>
        <w:rPr>
          <w:sz w:val="24"/>
          <w:szCs w:val="24"/>
        </w:rPr>
      </w:pPr>
      <w:r w:rsidRPr="00BC56AF">
        <w:rPr>
          <w:sz w:val="24"/>
          <w:szCs w:val="24"/>
        </w:rPr>
        <w:br w:type="page"/>
      </w:r>
    </w:p>
    <w:p w14:paraId="12451CDB" w14:textId="77777777" w:rsidR="000673B6" w:rsidRPr="00BC56AF" w:rsidRDefault="000673B6" w:rsidP="000952CF">
      <w:pPr>
        <w:rPr>
          <w:sz w:val="24"/>
          <w:szCs w:val="24"/>
        </w:rPr>
      </w:pPr>
      <w:r w:rsidRPr="00BC56AF">
        <w:rPr>
          <w:sz w:val="24"/>
          <w:szCs w:val="24"/>
        </w:rPr>
        <w:lastRenderedPageBreak/>
        <w:br w:type="page"/>
      </w:r>
    </w:p>
    <w:p w14:paraId="0070A99F" w14:textId="77777777" w:rsidR="000673B6" w:rsidRPr="00BC56AF" w:rsidRDefault="000673B6" w:rsidP="00BC56AF">
      <w:pPr>
        <w:rPr>
          <w:b/>
          <w:bCs/>
          <w:sz w:val="24"/>
          <w:szCs w:val="24"/>
        </w:rPr>
      </w:pPr>
      <w:r w:rsidRPr="00BC56AF">
        <w:rPr>
          <w:b/>
          <w:bCs/>
          <w:sz w:val="24"/>
          <w:szCs w:val="24"/>
        </w:rPr>
        <w:lastRenderedPageBreak/>
        <w:t>References</w:t>
      </w:r>
    </w:p>
    <w:p w14:paraId="7D27E4BE" w14:textId="77777777" w:rsidR="000673B6" w:rsidRDefault="000673B6" w:rsidP="00BC56AF">
      <w:pPr>
        <w:rPr>
          <w:sz w:val="24"/>
          <w:szCs w:val="24"/>
        </w:rPr>
      </w:pPr>
    </w:p>
    <w:p w14:paraId="7E7F3EC3" w14:textId="77777777" w:rsidR="000673B6" w:rsidRPr="00BC56AF" w:rsidRDefault="000673B6" w:rsidP="00BC56AF">
      <w:pPr>
        <w:pStyle w:val="EndNoteBibliography"/>
        <w:ind w:left="720" w:hanging="720"/>
      </w:pPr>
      <w:r w:rsidRPr="00BC56AF">
        <w:t>1</w:t>
      </w:r>
      <w:r w:rsidRPr="00BC56AF">
        <w:tab/>
        <w:t xml:space="preserve">Schouten, S., Hopmans, E. C., Schefuß, E. &amp; Damsté, J. S. S. Distributional variations in marine crenarchaeotal membrane lipids: a new tool for reconstructing ancient sea water temperatures? </w:t>
      </w:r>
      <w:r w:rsidRPr="00BC56AF">
        <w:rPr>
          <w:i/>
        </w:rPr>
        <w:t>Earth and Planetary Science Letters</w:t>
      </w:r>
      <w:r w:rsidRPr="00BC56AF">
        <w:t xml:space="preserve"> </w:t>
      </w:r>
      <w:r w:rsidRPr="00BC56AF">
        <w:rPr>
          <w:b/>
        </w:rPr>
        <w:t>204</w:t>
      </w:r>
      <w:r w:rsidRPr="00BC56AF">
        <w:t>, 265–274 (2002).</w:t>
      </w:r>
    </w:p>
    <w:p w14:paraId="7297C03D" w14:textId="77777777" w:rsidR="000673B6" w:rsidRPr="00BC56AF" w:rsidRDefault="000673B6" w:rsidP="00BC56AF">
      <w:pPr>
        <w:pStyle w:val="EndNoteBibliography"/>
        <w:ind w:left="720" w:hanging="720"/>
      </w:pPr>
      <w:r w:rsidRPr="00BC56AF">
        <w:t>2</w:t>
      </w:r>
      <w:r w:rsidRPr="00BC56AF">
        <w:tab/>
        <w:t>Elling, F. J., Könneke, M., Mußmann, M., Greve, A. &amp; Hinrichs, K.-U. Influence of temperature, pH, and salinity on membrane lipid composition and TEX</w:t>
      </w:r>
      <w:r w:rsidRPr="00BC56AF">
        <w:rPr>
          <w:vertAlign w:val="subscript"/>
        </w:rPr>
        <w:t>86</w:t>
      </w:r>
      <w:r w:rsidRPr="00BC56AF">
        <w:t xml:space="preserve"> of marine planktonic thaumarchaeal isolates. </w:t>
      </w:r>
      <w:r w:rsidRPr="00BC56AF">
        <w:rPr>
          <w:i/>
        </w:rPr>
        <w:t>Geochimica et Cosmochimica Acta</w:t>
      </w:r>
      <w:r w:rsidRPr="00BC56AF">
        <w:t xml:space="preserve"> </w:t>
      </w:r>
      <w:r w:rsidRPr="00BC56AF">
        <w:rPr>
          <w:b/>
        </w:rPr>
        <w:t>171</w:t>
      </w:r>
      <w:r w:rsidRPr="00BC56AF">
        <w:t>, 238–255, doi:10.1016/j.gca.2015.09.004 (2015).</w:t>
      </w:r>
    </w:p>
    <w:p w14:paraId="42B6D8AC" w14:textId="77777777" w:rsidR="000673B6" w:rsidRPr="00BC56AF" w:rsidRDefault="000673B6" w:rsidP="00BC56AF">
      <w:pPr>
        <w:pStyle w:val="EndNoteBibliography"/>
        <w:ind w:left="720" w:hanging="720"/>
      </w:pPr>
      <w:r w:rsidRPr="00BC56AF">
        <w:t>3</w:t>
      </w:r>
      <w:r w:rsidRPr="00BC56AF">
        <w:tab/>
        <w:t>Qin, W.</w:t>
      </w:r>
      <w:r w:rsidRPr="00BC56AF">
        <w:rPr>
          <w:i/>
        </w:rPr>
        <w:t xml:space="preserve"> et al.</w:t>
      </w:r>
      <w:r w:rsidRPr="00BC56AF">
        <w:t xml:space="preserve"> Confounding effects of oxygen and temperature on the TEX</w:t>
      </w:r>
      <w:r w:rsidRPr="00BC56AF">
        <w:rPr>
          <w:vertAlign w:val="subscript"/>
        </w:rPr>
        <w:t>86</w:t>
      </w:r>
      <w:r w:rsidRPr="00BC56AF">
        <w:t xml:space="preserve"> signature of marine Thaumarchaeota. </w:t>
      </w:r>
      <w:r w:rsidRPr="00BC56AF">
        <w:rPr>
          <w:i/>
        </w:rPr>
        <w:t>Proceedings of the National Academy of Sciences of the United States of America</w:t>
      </w:r>
      <w:r w:rsidRPr="00BC56AF">
        <w:t xml:space="preserve"> </w:t>
      </w:r>
      <w:r w:rsidRPr="00BC56AF">
        <w:rPr>
          <w:b/>
        </w:rPr>
        <w:t>112</w:t>
      </w:r>
      <w:r w:rsidRPr="00BC56AF">
        <w:t>, 10979–10984, doi:10.1073/pnas.1501568112 (2015).</w:t>
      </w:r>
    </w:p>
    <w:p w14:paraId="7BA329B4" w14:textId="77777777" w:rsidR="000673B6" w:rsidRPr="00BC56AF" w:rsidRDefault="000673B6" w:rsidP="00BC56AF">
      <w:pPr>
        <w:pStyle w:val="EndNoteBibliography"/>
        <w:ind w:left="720" w:hanging="720"/>
      </w:pPr>
      <w:r w:rsidRPr="00BC56AF">
        <w:t>4</w:t>
      </w:r>
      <w:r w:rsidRPr="00BC56AF">
        <w:tab/>
        <w:t>Schouten, S.</w:t>
      </w:r>
      <w:r w:rsidRPr="00BC56AF">
        <w:rPr>
          <w:i/>
        </w:rPr>
        <w:t xml:space="preserve"> et al.</w:t>
      </w:r>
      <w:r w:rsidRPr="00BC56AF">
        <w:t xml:space="preserve"> Intact polar and core glycerol dibiphytanyl glycerol tetraether lipids in the Arabian Sea oxygen minimum zone: I. Selective preservation and degradation in the water column and consequences for the TEX</w:t>
      </w:r>
      <w:r w:rsidRPr="00BC56AF">
        <w:rPr>
          <w:vertAlign w:val="subscript"/>
        </w:rPr>
        <w:t>86</w:t>
      </w:r>
      <w:r w:rsidRPr="00BC56AF">
        <w:t xml:space="preserve">. </w:t>
      </w:r>
      <w:r w:rsidRPr="00BC56AF">
        <w:rPr>
          <w:i/>
        </w:rPr>
        <w:t>Geochimica et Cosmochimica Acta</w:t>
      </w:r>
      <w:r w:rsidRPr="00BC56AF">
        <w:t xml:space="preserve"> </w:t>
      </w:r>
      <w:r w:rsidRPr="00BC56AF">
        <w:rPr>
          <w:b/>
        </w:rPr>
        <w:t>98</w:t>
      </w:r>
      <w:r w:rsidRPr="00BC56AF">
        <w:t>, 228–243, doi:10.1016/j.gca.2012.05.002 (2012).</w:t>
      </w:r>
    </w:p>
    <w:p w14:paraId="3D83DBD2" w14:textId="77777777" w:rsidR="000673B6" w:rsidRPr="00BC56AF" w:rsidRDefault="000673B6" w:rsidP="00BC56AF">
      <w:pPr>
        <w:pStyle w:val="EndNoteBibliography"/>
        <w:ind w:left="720" w:hanging="720"/>
      </w:pPr>
      <w:r w:rsidRPr="00BC56AF">
        <w:rPr>
          <w:rFonts w:hint="eastAsia"/>
        </w:rPr>
        <w:t>5</w:t>
      </w:r>
      <w:r w:rsidRPr="00BC56AF">
        <w:rPr>
          <w:rFonts w:hint="eastAsia"/>
        </w:rPr>
        <w:tab/>
        <w:t xml:space="preserve">Pitcher, A., Wuchter, C., Siedenberg, K., Schouten, S. &amp; Sinninghe Damsté, J. S. Crenarchaeol tracks winter blooms of ammonia‐oxidizing Thaumarchaeota in the coastal North Sea. </w:t>
      </w:r>
      <w:r w:rsidRPr="00BC56AF">
        <w:rPr>
          <w:rFonts w:hint="eastAsia"/>
          <w:i/>
        </w:rPr>
        <w:t>Limnolo</w:t>
      </w:r>
      <w:r w:rsidRPr="00BC56AF">
        <w:rPr>
          <w:i/>
        </w:rPr>
        <w:t>gy and Oceanography</w:t>
      </w:r>
      <w:r w:rsidRPr="00BC56AF">
        <w:t xml:space="preserve"> </w:t>
      </w:r>
      <w:r w:rsidRPr="00BC56AF">
        <w:rPr>
          <w:b/>
        </w:rPr>
        <w:t>56</w:t>
      </w:r>
      <w:r w:rsidRPr="00BC56AF">
        <w:t>, 2308–2318 (2011).</w:t>
      </w:r>
    </w:p>
    <w:p w14:paraId="0694E3D4" w14:textId="77777777" w:rsidR="000673B6" w:rsidRPr="00BC56AF" w:rsidRDefault="000673B6" w:rsidP="00BC56AF">
      <w:pPr>
        <w:pStyle w:val="EndNoteBibliography"/>
        <w:ind w:left="720" w:hanging="720"/>
      </w:pPr>
      <w:r w:rsidRPr="00BC56AF">
        <w:t>6</w:t>
      </w:r>
      <w:r w:rsidRPr="00BC56AF">
        <w:tab/>
        <w:t>Dickson, A. J.</w:t>
      </w:r>
      <w:r w:rsidRPr="00BC56AF">
        <w:rPr>
          <w:i/>
        </w:rPr>
        <w:t xml:space="preserve"> et al.</w:t>
      </w:r>
      <w:r w:rsidRPr="00BC56AF">
        <w:t xml:space="preserve"> The spread of marine anoxia on the northern Tethys margin during the Paleocene-Eocene Thermal Maximum. </w:t>
      </w:r>
      <w:r w:rsidRPr="00BC56AF">
        <w:rPr>
          <w:i/>
        </w:rPr>
        <w:t>Paleoceanography</w:t>
      </w:r>
      <w:r w:rsidRPr="00BC56AF">
        <w:t xml:space="preserve"> </w:t>
      </w:r>
      <w:r w:rsidRPr="00BC56AF">
        <w:rPr>
          <w:b/>
        </w:rPr>
        <w:t>29</w:t>
      </w:r>
      <w:r w:rsidRPr="00BC56AF">
        <w:t>, 471–488, doi:10.1002/2014pa002629 (2014).</w:t>
      </w:r>
    </w:p>
    <w:p w14:paraId="18F4FC02" w14:textId="77777777" w:rsidR="000673B6" w:rsidRPr="00BC56AF" w:rsidRDefault="000673B6" w:rsidP="00BC56AF">
      <w:pPr>
        <w:pStyle w:val="EndNoteBibliography"/>
        <w:ind w:left="720" w:hanging="720"/>
      </w:pPr>
      <w:r w:rsidRPr="00BC56AF">
        <w:t>7</w:t>
      </w:r>
      <w:r w:rsidRPr="00BC56AF">
        <w:tab/>
        <w:t>John, C. M.</w:t>
      </w:r>
      <w:r w:rsidRPr="00BC56AF">
        <w:rPr>
          <w:i/>
        </w:rPr>
        <w:t xml:space="preserve"> et al.</w:t>
      </w:r>
      <w:r w:rsidRPr="00BC56AF">
        <w:t xml:space="preserve"> No</w:t>
      </w:r>
      <w:r w:rsidRPr="00BC56AF">
        <w:rPr>
          <w:rFonts w:hint="eastAsia"/>
        </w:rPr>
        <w:t xml:space="preserve">rth American continental margin records of the Paleocene‐Eocene thermal maximum: Implications for global carbon and hydrological cycling. </w:t>
      </w:r>
      <w:r w:rsidRPr="00BC56AF">
        <w:rPr>
          <w:rFonts w:hint="eastAsia"/>
          <w:i/>
        </w:rPr>
        <w:t>Paleoceanography</w:t>
      </w:r>
      <w:r w:rsidRPr="00BC56AF">
        <w:rPr>
          <w:rFonts w:hint="eastAsia"/>
        </w:rPr>
        <w:t xml:space="preserve"> </w:t>
      </w:r>
      <w:r w:rsidRPr="00BC56AF">
        <w:rPr>
          <w:rFonts w:hint="eastAsia"/>
          <w:b/>
        </w:rPr>
        <w:t>23</w:t>
      </w:r>
      <w:r w:rsidRPr="00BC56AF">
        <w:rPr>
          <w:rFonts w:hint="eastAsia"/>
        </w:rPr>
        <w:t xml:space="preserve"> (2008).</w:t>
      </w:r>
    </w:p>
    <w:p w14:paraId="097490DA" w14:textId="77777777" w:rsidR="000673B6" w:rsidRPr="00BC56AF" w:rsidRDefault="000673B6" w:rsidP="00BC56AF">
      <w:pPr>
        <w:pStyle w:val="EndNoteBibliography"/>
        <w:ind w:left="720" w:hanging="720"/>
      </w:pPr>
      <w:r w:rsidRPr="00BC56AF">
        <w:t>8</w:t>
      </w:r>
      <w:r w:rsidRPr="00BC56AF">
        <w:tab/>
        <w:t>Hollingsworth, E. H.</w:t>
      </w:r>
      <w:r w:rsidRPr="00BC56AF">
        <w:rPr>
          <w:i/>
        </w:rPr>
        <w:t xml:space="preserve"> et al.</w:t>
      </w:r>
      <w:r w:rsidRPr="00BC56AF">
        <w:t xml:space="preserve"> Spatial and Temporal Patterns in Petrogenic Organic Carbon </w:t>
      </w:r>
      <w:r w:rsidRPr="00BC56AF">
        <w:rPr>
          <w:rFonts w:hint="eastAsia"/>
        </w:rPr>
        <w:t xml:space="preserve">Mobilization During the Paleocene‐Eocene Thermal Maximum. </w:t>
      </w:r>
      <w:r w:rsidRPr="00BC56AF">
        <w:rPr>
          <w:rFonts w:hint="eastAsia"/>
          <w:i/>
        </w:rPr>
        <w:t>Paleoceanography and Paleoclimatology</w:t>
      </w:r>
      <w:r w:rsidRPr="00BC56AF">
        <w:rPr>
          <w:rFonts w:hint="eastAsia"/>
        </w:rPr>
        <w:t xml:space="preserve"> </w:t>
      </w:r>
      <w:r w:rsidRPr="00BC56AF">
        <w:rPr>
          <w:rFonts w:hint="eastAsia"/>
          <w:b/>
        </w:rPr>
        <w:t>39</w:t>
      </w:r>
      <w:r w:rsidRPr="00BC56AF">
        <w:rPr>
          <w:rFonts w:hint="eastAsia"/>
        </w:rPr>
        <w:t>, doi:10.1029/2023pa004773 (2024).</w:t>
      </w:r>
    </w:p>
    <w:p w14:paraId="57E5B08B" w14:textId="77777777" w:rsidR="000673B6" w:rsidRPr="00BC56AF" w:rsidRDefault="000673B6" w:rsidP="00BC56AF">
      <w:pPr>
        <w:pStyle w:val="EndNoteBibliography"/>
        <w:ind w:left="720" w:hanging="720"/>
      </w:pPr>
      <w:r w:rsidRPr="00BC56AF">
        <w:t>9</w:t>
      </w:r>
      <w:r w:rsidRPr="00BC56AF">
        <w:tab/>
        <w:t>Jones, M. T.</w:t>
      </w:r>
      <w:r w:rsidRPr="00BC56AF">
        <w:rPr>
          <w:i/>
        </w:rPr>
        <w:t xml:space="preserve"> et al.</w:t>
      </w:r>
      <w:r w:rsidRPr="00BC56AF">
        <w:t xml:space="preserve"> New constraints on the absolute age and duration of the Paleocene – Eocene Thermal Maximum (PETM) from ash layer +19 in Denmark. </w:t>
      </w:r>
      <w:r w:rsidRPr="00BC56AF">
        <w:rPr>
          <w:i/>
        </w:rPr>
        <w:t>Earth and Planetary Science Letters</w:t>
      </w:r>
      <w:r w:rsidRPr="00BC56AF">
        <w:t xml:space="preserve"> </w:t>
      </w:r>
      <w:r w:rsidRPr="00BC56AF">
        <w:rPr>
          <w:b/>
        </w:rPr>
        <w:t>671</w:t>
      </w:r>
      <w:r w:rsidRPr="00BC56AF">
        <w:t>, doi:10.1016/j.epsl.2025.119643 (2025).</w:t>
      </w:r>
    </w:p>
    <w:p w14:paraId="21B2AAED" w14:textId="77777777" w:rsidR="000673B6" w:rsidRPr="00BC56AF" w:rsidRDefault="000673B6" w:rsidP="00BC56AF">
      <w:pPr>
        <w:pStyle w:val="EndNoteBibliography"/>
        <w:ind w:left="720" w:hanging="720"/>
      </w:pPr>
      <w:r w:rsidRPr="00BC56AF">
        <w:t>10</w:t>
      </w:r>
      <w:r w:rsidRPr="00BC56AF">
        <w:tab/>
        <w:t>Stokke, E. W., Jones, M. T., Tierney, J. E., Svensen, H. H. &amp; Whiteside, J. H. Temperature changes across the Paleocene-Eocene Thermal Maximum–a new high-resolution TEX</w:t>
      </w:r>
      <w:r w:rsidRPr="00BC56AF">
        <w:rPr>
          <w:vertAlign w:val="subscript"/>
        </w:rPr>
        <w:t>86</w:t>
      </w:r>
      <w:r w:rsidRPr="00BC56AF">
        <w:t xml:space="preserve"> temperature record from the Eastern North Sea Basin. </w:t>
      </w:r>
      <w:r w:rsidRPr="00BC56AF">
        <w:rPr>
          <w:i/>
        </w:rPr>
        <w:t>Earth and Planetary Science Letters</w:t>
      </w:r>
      <w:r w:rsidRPr="00BC56AF">
        <w:t xml:space="preserve"> </w:t>
      </w:r>
      <w:r w:rsidRPr="00BC56AF">
        <w:rPr>
          <w:b/>
        </w:rPr>
        <w:t>544</w:t>
      </w:r>
      <w:r w:rsidRPr="00BC56AF">
        <w:t>, 116388 (2020).</w:t>
      </w:r>
    </w:p>
    <w:p w14:paraId="5E540530" w14:textId="77777777" w:rsidR="000673B6" w:rsidRPr="00BC56AF" w:rsidRDefault="000673B6" w:rsidP="00BC56AF">
      <w:pPr>
        <w:pStyle w:val="EndNoteBibliography"/>
        <w:ind w:left="720" w:hanging="720"/>
      </w:pPr>
      <w:r w:rsidRPr="00BC56AF">
        <w:rPr>
          <w:rFonts w:hint="eastAsia"/>
        </w:rPr>
        <w:t>11</w:t>
      </w:r>
      <w:r w:rsidRPr="00BC56AF">
        <w:rPr>
          <w:rFonts w:hint="eastAsia"/>
        </w:rPr>
        <w:tab/>
        <w:t>Kaya, M. Y.</w:t>
      </w:r>
      <w:r w:rsidRPr="00BC56AF">
        <w:rPr>
          <w:rFonts w:hint="eastAsia"/>
          <w:i/>
        </w:rPr>
        <w:t xml:space="preserve"> et al.</w:t>
      </w:r>
      <w:r w:rsidRPr="00BC56AF">
        <w:rPr>
          <w:rFonts w:hint="eastAsia"/>
        </w:rPr>
        <w:t xml:space="preserve"> Paleogene evolution and demise of the proto‐Paratethys Sea in Central Asia (Tarim and Tajik basi</w:t>
      </w:r>
      <w:r w:rsidRPr="00BC56AF">
        <w:t xml:space="preserve">ns): Role of intensified tectonic activity at ca. 41 Ma. </w:t>
      </w:r>
      <w:r w:rsidRPr="00BC56AF">
        <w:rPr>
          <w:i/>
        </w:rPr>
        <w:t>Basin Research</w:t>
      </w:r>
      <w:r w:rsidRPr="00BC56AF">
        <w:t xml:space="preserve"> </w:t>
      </w:r>
      <w:r w:rsidRPr="00BC56AF">
        <w:rPr>
          <w:b/>
        </w:rPr>
        <w:t>31</w:t>
      </w:r>
      <w:r w:rsidRPr="00BC56AF">
        <w:t>, 461–486 (2019).</w:t>
      </w:r>
    </w:p>
    <w:p w14:paraId="5857DA07" w14:textId="77777777" w:rsidR="000673B6" w:rsidRPr="00BC56AF" w:rsidRDefault="000673B6" w:rsidP="00BC56AF">
      <w:pPr>
        <w:pStyle w:val="EndNoteBibliography"/>
        <w:ind w:left="720" w:hanging="720"/>
      </w:pPr>
      <w:r w:rsidRPr="00BC56AF">
        <w:lastRenderedPageBreak/>
        <w:t>12</w:t>
      </w:r>
      <w:r w:rsidRPr="00BC56AF">
        <w:tab/>
        <w:t>Kaya, M. Y.</w:t>
      </w:r>
      <w:r w:rsidRPr="00BC56AF">
        <w:rPr>
          <w:i/>
        </w:rPr>
        <w:t xml:space="preserve"> et al.</w:t>
      </w:r>
      <w:r w:rsidRPr="00BC56AF">
        <w:t xml:space="preserve"> The Eurasian epicontinental sea was an important carbon sink during the Palaeocene-Eocene thermal maximum. </w:t>
      </w:r>
      <w:r w:rsidRPr="00BC56AF">
        <w:rPr>
          <w:i/>
        </w:rPr>
        <w:t>Communications Earth &amp; Environment</w:t>
      </w:r>
      <w:r w:rsidRPr="00BC56AF">
        <w:t xml:space="preserve"> </w:t>
      </w:r>
      <w:r w:rsidRPr="00BC56AF">
        <w:rPr>
          <w:b/>
        </w:rPr>
        <w:t>3</w:t>
      </w:r>
      <w:r w:rsidRPr="00BC56AF">
        <w:t>, 124, doi:10.1038/s43247-022-00451-4 (2022).</w:t>
      </w:r>
    </w:p>
    <w:p w14:paraId="3D542558" w14:textId="77777777" w:rsidR="000673B6" w:rsidRPr="00BC56AF" w:rsidRDefault="000673B6" w:rsidP="00BC56AF">
      <w:pPr>
        <w:pStyle w:val="EndNoteBibliography"/>
        <w:ind w:left="720" w:hanging="720"/>
      </w:pPr>
      <w:r w:rsidRPr="00BC56AF">
        <w:t>13</w:t>
      </w:r>
      <w:r w:rsidRPr="00BC56AF">
        <w:tab/>
        <w:t>Schwartz-Narbonne, R.</w:t>
      </w:r>
      <w:r w:rsidRPr="00BC56AF">
        <w:rPr>
          <w:i/>
        </w:rPr>
        <w:t xml:space="preserve"> et al.</w:t>
      </w:r>
      <w:r w:rsidRPr="00BC56AF">
        <w:t xml:space="preserve"> A unique bacteriohopanetetrol stereoisomer of marine anammox. </w:t>
      </w:r>
      <w:r w:rsidRPr="00BC56AF">
        <w:rPr>
          <w:i/>
        </w:rPr>
        <w:t>Organic Geochemistry</w:t>
      </w:r>
      <w:r w:rsidRPr="00BC56AF">
        <w:t xml:space="preserve"> </w:t>
      </w:r>
      <w:r w:rsidRPr="00BC56AF">
        <w:rPr>
          <w:b/>
        </w:rPr>
        <w:t>143</w:t>
      </w:r>
      <w:r w:rsidRPr="00BC56AF">
        <w:t>, doi:10.1016/j.orggeochem.2020.103994 (2020).</w:t>
      </w:r>
    </w:p>
    <w:p w14:paraId="602982E6" w14:textId="77777777" w:rsidR="000673B6" w:rsidRPr="00BC56AF" w:rsidRDefault="000673B6" w:rsidP="00BC56AF">
      <w:pPr>
        <w:pStyle w:val="EndNoteBibliography"/>
        <w:ind w:left="720" w:hanging="720"/>
      </w:pPr>
      <w:r w:rsidRPr="00BC56AF">
        <w:t>14</w:t>
      </w:r>
      <w:r w:rsidRPr="00BC56AF">
        <w:tab/>
        <w:t>Rush, D.</w:t>
      </w:r>
      <w:r w:rsidRPr="00BC56AF">
        <w:rPr>
          <w:i/>
        </w:rPr>
        <w:t xml:space="preserve"> et al.</w:t>
      </w:r>
      <w:r w:rsidRPr="00BC56AF">
        <w:t xml:space="preserve"> Anaerobic ammonium-oxidising bacteria: A biological source of the bacteriohopanetetrol stereoisomer in marine sediments. </w:t>
      </w:r>
      <w:r w:rsidRPr="00BC56AF">
        <w:rPr>
          <w:i/>
        </w:rPr>
        <w:t>Geochimica et Cosmochimica Acta</w:t>
      </w:r>
      <w:r w:rsidRPr="00BC56AF">
        <w:t xml:space="preserve"> </w:t>
      </w:r>
      <w:r w:rsidRPr="00BC56AF">
        <w:rPr>
          <w:b/>
        </w:rPr>
        <w:t>140</w:t>
      </w:r>
      <w:r w:rsidRPr="00BC56AF">
        <w:t>, 50–64, doi:10.1016/j.gca.2014.05.014 (2014).</w:t>
      </w:r>
    </w:p>
    <w:p w14:paraId="338F9AE8" w14:textId="77777777" w:rsidR="000673B6" w:rsidRPr="00BC56AF" w:rsidRDefault="000673B6" w:rsidP="00BC56AF">
      <w:pPr>
        <w:pStyle w:val="EndNoteBibliography"/>
        <w:ind w:left="720" w:hanging="720"/>
      </w:pPr>
      <w:r w:rsidRPr="00BC56AF">
        <w:t>15</w:t>
      </w:r>
      <w:r w:rsidRPr="00BC56AF">
        <w:tab/>
        <w:t xml:space="preserve">Sáenz, J. P., Wakeham, S. G., Eglinton, T. I. &amp; Summons, R. E. New constraints on the provenance of hopanoids in the marine geologic record: Bacteriohopanepolyols in marine suboxic and anoxic environments. </w:t>
      </w:r>
      <w:r w:rsidRPr="00BC56AF">
        <w:rPr>
          <w:i/>
        </w:rPr>
        <w:t>Organic Geochemistry</w:t>
      </w:r>
      <w:r w:rsidRPr="00BC56AF">
        <w:t xml:space="preserve"> </w:t>
      </w:r>
      <w:r w:rsidRPr="00BC56AF">
        <w:rPr>
          <w:b/>
        </w:rPr>
        <w:t>42</w:t>
      </w:r>
      <w:r w:rsidRPr="00BC56AF">
        <w:t>, 1351–1362, doi:10.1016/j.orggeochem.2011.08.016 (2011).</w:t>
      </w:r>
    </w:p>
    <w:p w14:paraId="27367898" w14:textId="77777777" w:rsidR="000673B6" w:rsidRPr="00BC56AF" w:rsidRDefault="000673B6" w:rsidP="00BC56AF">
      <w:pPr>
        <w:pStyle w:val="EndNoteBibliography"/>
        <w:ind w:left="720" w:hanging="720"/>
      </w:pPr>
      <w:r w:rsidRPr="00BC56AF">
        <w:t>16</w:t>
      </w:r>
      <w:r w:rsidRPr="00BC56AF">
        <w:tab/>
        <w:t>van Kemenade , Z. R.</w:t>
      </w:r>
      <w:r w:rsidRPr="00BC56AF">
        <w:rPr>
          <w:i/>
        </w:rPr>
        <w:t xml:space="preserve"> et al.</w:t>
      </w:r>
      <w:r w:rsidRPr="00BC56AF">
        <w:t xml:space="preserve"> Bacteriohopanetetrol-</w:t>
      </w:r>
      <w:r w:rsidRPr="00BC56AF">
        <w:rPr>
          <w:i/>
        </w:rPr>
        <w:t>x</w:t>
      </w:r>
      <w:r w:rsidRPr="00BC56AF">
        <w:t xml:space="preserve">: constraining its application as a lipid biomarker for marine anammox using the water column oxygen gradient of the Benguela upwelling system. </w:t>
      </w:r>
      <w:r w:rsidRPr="00BC56AF">
        <w:rPr>
          <w:i/>
        </w:rPr>
        <w:t>Biogeosciences</w:t>
      </w:r>
      <w:r w:rsidRPr="00BC56AF">
        <w:t xml:space="preserve"> </w:t>
      </w:r>
      <w:r w:rsidRPr="00BC56AF">
        <w:rPr>
          <w:b/>
        </w:rPr>
        <w:t>19</w:t>
      </w:r>
      <w:r w:rsidRPr="00BC56AF">
        <w:t>, 201–221, doi:10.5194/bg-19-201-2022 (2022).</w:t>
      </w:r>
    </w:p>
    <w:p w14:paraId="6FBD2F8A" w14:textId="77777777" w:rsidR="000673B6" w:rsidRPr="00BC56AF" w:rsidRDefault="000673B6" w:rsidP="00BC56AF">
      <w:pPr>
        <w:pStyle w:val="EndNoteBibliography"/>
        <w:ind w:left="720" w:hanging="720"/>
      </w:pPr>
      <w:r w:rsidRPr="00BC56AF">
        <w:t>17</w:t>
      </w:r>
      <w:r w:rsidRPr="00BC56AF">
        <w:tab/>
        <w:t>van Kemenade, Z. R.</w:t>
      </w:r>
      <w:r w:rsidRPr="00BC56AF">
        <w:rPr>
          <w:i/>
        </w:rPr>
        <w:t xml:space="preserve"> et al.</w:t>
      </w:r>
      <w:r w:rsidRPr="00BC56AF">
        <w:t xml:space="preserve"> Marine nitrogen cycling dynamics under altering redox conditions: Insights from deposition of sapropels S1 and the ambiguous S2 in the Eastern Mediterranean Sea. </w:t>
      </w:r>
      <w:r w:rsidRPr="00BC56AF">
        <w:rPr>
          <w:i/>
        </w:rPr>
        <w:t>Geochimica et Cosmochimica Acta</w:t>
      </w:r>
      <w:r w:rsidRPr="00BC56AF">
        <w:t xml:space="preserve"> </w:t>
      </w:r>
      <w:r w:rsidRPr="00BC56AF">
        <w:rPr>
          <w:b/>
        </w:rPr>
        <w:t>354</w:t>
      </w:r>
      <w:r w:rsidRPr="00BC56AF">
        <w:t>, 197–210, doi:10.1016/j.gca.2023.06.018 (2023).</w:t>
      </w:r>
    </w:p>
    <w:p w14:paraId="47D5B68C" w14:textId="77777777" w:rsidR="000673B6" w:rsidRPr="00BC56AF" w:rsidRDefault="000673B6" w:rsidP="00BC56AF">
      <w:pPr>
        <w:pStyle w:val="EndNoteBibliography"/>
        <w:ind w:left="720" w:hanging="720"/>
      </w:pPr>
      <w:r w:rsidRPr="00BC56AF">
        <w:t>18</w:t>
      </w:r>
      <w:r w:rsidRPr="00BC56AF">
        <w:tab/>
        <w:t xml:space="preserve">Kusch, S. &amp; Rush, D. Revisiting the precursors of the most abundant natural products on Earth: A look back at 30+ years of bacteriohopanepolyol (BHP) research and ahead to new frontiers. </w:t>
      </w:r>
      <w:r w:rsidRPr="00BC56AF">
        <w:rPr>
          <w:i/>
        </w:rPr>
        <w:t>Organic Geochemistry</w:t>
      </w:r>
      <w:r w:rsidRPr="00BC56AF">
        <w:t xml:space="preserve"> </w:t>
      </w:r>
      <w:r w:rsidRPr="00BC56AF">
        <w:rPr>
          <w:b/>
        </w:rPr>
        <w:t>172</w:t>
      </w:r>
      <w:r w:rsidRPr="00BC56AF">
        <w:t>, 104469, doi:10.1016/j.orggeochem.2022.104469 (2022).</w:t>
      </w:r>
    </w:p>
    <w:p w14:paraId="6CC8E49C" w14:textId="77777777" w:rsidR="000673B6" w:rsidRPr="00BC56AF" w:rsidRDefault="000673B6" w:rsidP="00BC56AF">
      <w:pPr>
        <w:pStyle w:val="EndNoteBibliography"/>
        <w:ind w:left="720" w:hanging="720"/>
      </w:pPr>
      <w:r w:rsidRPr="00BC56AF">
        <w:t>19</w:t>
      </w:r>
      <w:r w:rsidRPr="00BC56AF">
        <w:tab/>
        <w:t>Rush, D.</w:t>
      </w:r>
      <w:r w:rsidRPr="00BC56AF">
        <w:rPr>
          <w:i/>
        </w:rPr>
        <w:t xml:space="preserve"> et al.</w:t>
      </w:r>
      <w:r w:rsidRPr="00BC56AF">
        <w:t xml:space="preserve"> Biomarker evidence for the occurrence of anaerobic ammonium oxidation in the eastern Mediterranean Sea during Quaternary and Pliocene sapropel formation. </w:t>
      </w:r>
      <w:r w:rsidRPr="00BC56AF">
        <w:rPr>
          <w:i/>
        </w:rPr>
        <w:t>Biogeosciences</w:t>
      </w:r>
      <w:r w:rsidRPr="00BC56AF">
        <w:t xml:space="preserve"> </w:t>
      </w:r>
      <w:r w:rsidRPr="00BC56AF">
        <w:rPr>
          <w:b/>
        </w:rPr>
        <w:t>16</w:t>
      </w:r>
      <w:r w:rsidRPr="00BC56AF">
        <w:t>, 2467–2479, doi:10.5194/bg-16-2467-2019 (2019).</w:t>
      </w:r>
    </w:p>
    <w:p w14:paraId="71F72702" w14:textId="77777777" w:rsidR="000673B6" w:rsidRPr="00BC56AF" w:rsidRDefault="000673B6" w:rsidP="00BC56AF">
      <w:pPr>
        <w:pStyle w:val="EndNoteBibliography"/>
        <w:ind w:left="720" w:hanging="720"/>
      </w:pPr>
      <w:r w:rsidRPr="00BC56AF">
        <w:t>20</w:t>
      </w:r>
      <w:r w:rsidRPr="00BC56AF">
        <w:tab/>
        <w:t>Elling, F. J.</w:t>
      </w:r>
      <w:r w:rsidRPr="00BC56AF">
        <w:rPr>
          <w:i/>
        </w:rPr>
        <w:t xml:space="preserve"> et al.</w:t>
      </w:r>
      <w:r w:rsidRPr="00BC56AF">
        <w:t xml:space="preserve"> Linking diatom-diazotroph symbioses to nitrogen cycle perturbations and deep-water anoxia: Insights from Mediterranean sapropel events. </w:t>
      </w:r>
      <w:r w:rsidRPr="00BC56AF">
        <w:rPr>
          <w:i/>
        </w:rPr>
        <w:t>Earth and Planetary Science Letters</w:t>
      </w:r>
      <w:r w:rsidRPr="00BC56AF">
        <w:t xml:space="preserve"> </w:t>
      </w:r>
      <w:r w:rsidRPr="00BC56AF">
        <w:rPr>
          <w:b/>
        </w:rPr>
        <w:t>571</w:t>
      </w:r>
      <w:r w:rsidRPr="00BC56AF">
        <w:t>, 117110, doi:10.1016/j.epsl.2021.117110 (2021).</w:t>
      </w:r>
    </w:p>
    <w:p w14:paraId="31A07F20" w14:textId="77777777" w:rsidR="000673B6" w:rsidRPr="00BC56AF" w:rsidRDefault="000673B6" w:rsidP="00BC56AF">
      <w:pPr>
        <w:pStyle w:val="EndNoteBibliography"/>
        <w:ind w:left="720" w:hanging="720"/>
      </w:pPr>
      <w:r w:rsidRPr="00BC56AF">
        <w:t>21</w:t>
      </w:r>
      <w:r w:rsidRPr="00BC56AF">
        <w:tab/>
        <w:t>Matys, E.</w:t>
      </w:r>
      <w:r w:rsidRPr="00BC56AF">
        <w:rPr>
          <w:i/>
        </w:rPr>
        <w:t xml:space="preserve"> et al.</w:t>
      </w:r>
      <w:r w:rsidRPr="00BC56AF">
        <w:t xml:space="preserve"> Bacteriohopanepolyols along redox gradients in the Humboldt Current System off northern Chile. </w:t>
      </w:r>
      <w:r w:rsidRPr="00BC56AF">
        <w:rPr>
          <w:i/>
        </w:rPr>
        <w:t>Geobiology</w:t>
      </w:r>
      <w:r w:rsidRPr="00BC56AF">
        <w:t xml:space="preserve"> </w:t>
      </w:r>
      <w:r w:rsidRPr="00BC56AF">
        <w:rPr>
          <w:b/>
        </w:rPr>
        <w:t>15</w:t>
      </w:r>
      <w:r w:rsidRPr="00BC56AF">
        <w:t>, 844–857 (2017).</w:t>
      </w:r>
    </w:p>
    <w:p w14:paraId="7539AACA" w14:textId="77777777" w:rsidR="000673B6" w:rsidRPr="00BC56AF" w:rsidRDefault="000673B6" w:rsidP="00BC56AF">
      <w:pPr>
        <w:pStyle w:val="EndNoteBibliography"/>
        <w:ind w:left="720" w:hanging="720"/>
      </w:pPr>
      <w:r w:rsidRPr="00BC56AF">
        <w:t>22</w:t>
      </w:r>
      <w:r w:rsidRPr="00BC56AF">
        <w:tab/>
        <w:t>Kuypers, M. M.</w:t>
      </w:r>
      <w:r w:rsidRPr="00BC56AF">
        <w:rPr>
          <w:i/>
        </w:rPr>
        <w:t xml:space="preserve"> et al.</w:t>
      </w:r>
      <w:r w:rsidRPr="00BC56AF">
        <w:t xml:space="preserve"> Anaerobic ammonium oxidation by anammox bacteria in the Black Sea. </w:t>
      </w:r>
      <w:r w:rsidRPr="00BC56AF">
        <w:rPr>
          <w:i/>
        </w:rPr>
        <w:t>Nature</w:t>
      </w:r>
      <w:r w:rsidRPr="00BC56AF">
        <w:t xml:space="preserve"> </w:t>
      </w:r>
      <w:r w:rsidRPr="00BC56AF">
        <w:rPr>
          <w:b/>
        </w:rPr>
        <w:t>422</w:t>
      </w:r>
      <w:r w:rsidRPr="00BC56AF">
        <w:t>, 608–611 (2003).</w:t>
      </w:r>
    </w:p>
    <w:p w14:paraId="405A021E" w14:textId="77777777" w:rsidR="000673B6" w:rsidRPr="00BC56AF" w:rsidRDefault="000673B6" w:rsidP="00BC56AF">
      <w:pPr>
        <w:pStyle w:val="EndNoteBibliography"/>
        <w:ind w:left="720" w:hanging="720"/>
      </w:pPr>
      <w:r w:rsidRPr="00BC56AF">
        <w:t>23</w:t>
      </w:r>
      <w:r w:rsidRPr="00BC56AF">
        <w:tab/>
        <w:t>Hawley, A. K.</w:t>
      </w:r>
      <w:r w:rsidRPr="00BC56AF">
        <w:rPr>
          <w:i/>
        </w:rPr>
        <w:t xml:space="preserve"> et al.</w:t>
      </w:r>
      <w:r w:rsidRPr="00BC56AF">
        <w:t xml:space="preserve"> Diverse Marinimicrobia bacteria may mediate coupled biogeochemical cycles along eco-thermodynamic gradients. </w:t>
      </w:r>
      <w:r w:rsidRPr="00BC56AF">
        <w:rPr>
          <w:i/>
        </w:rPr>
        <w:t>Nature Communications</w:t>
      </w:r>
      <w:r w:rsidRPr="00BC56AF">
        <w:t xml:space="preserve"> </w:t>
      </w:r>
      <w:r w:rsidRPr="00BC56AF">
        <w:rPr>
          <w:b/>
        </w:rPr>
        <w:t>8</w:t>
      </w:r>
      <w:r w:rsidRPr="00BC56AF">
        <w:t>, 1507 (2017).</w:t>
      </w:r>
    </w:p>
    <w:p w14:paraId="581000C1" w14:textId="77777777" w:rsidR="000673B6" w:rsidRPr="00BC56AF" w:rsidRDefault="000673B6" w:rsidP="00BC56AF">
      <w:pPr>
        <w:pStyle w:val="EndNoteBibliography"/>
        <w:ind w:left="720" w:hanging="720"/>
      </w:pPr>
      <w:r w:rsidRPr="00BC56AF">
        <w:t>24</w:t>
      </w:r>
      <w:r w:rsidRPr="00BC56AF">
        <w:tab/>
        <w:t>Chen, Y.</w:t>
      </w:r>
      <w:r w:rsidRPr="00BC56AF">
        <w:rPr>
          <w:i/>
        </w:rPr>
        <w:t xml:space="preserve"> et al.</w:t>
      </w:r>
      <w:r w:rsidRPr="00BC56AF">
        <w:t xml:space="preserve"> Nitrite cycle indicated by dual isotopes in the northern South China Sea. </w:t>
      </w:r>
      <w:r w:rsidRPr="00BC56AF">
        <w:rPr>
          <w:i/>
        </w:rPr>
        <w:t>Journal of Geophysical Research: Biogeosciences</w:t>
      </w:r>
      <w:r w:rsidRPr="00BC56AF">
        <w:t xml:space="preserve"> </w:t>
      </w:r>
      <w:r w:rsidRPr="00BC56AF">
        <w:rPr>
          <w:b/>
        </w:rPr>
        <w:t>126</w:t>
      </w:r>
      <w:r w:rsidRPr="00BC56AF">
        <w:t>, e2020JG006129 (2021).</w:t>
      </w:r>
    </w:p>
    <w:p w14:paraId="78F9CD5E" w14:textId="77777777" w:rsidR="000673B6" w:rsidRPr="00BC56AF" w:rsidRDefault="000673B6" w:rsidP="00BC56AF">
      <w:pPr>
        <w:pStyle w:val="EndNoteBibliography"/>
        <w:ind w:left="720" w:hanging="720"/>
      </w:pPr>
      <w:r w:rsidRPr="00BC56AF">
        <w:lastRenderedPageBreak/>
        <w:t>25</w:t>
      </w:r>
      <w:r w:rsidRPr="00BC56AF">
        <w:tab/>
        <w:t>Chen, Y.</w:t>
      </w:r>
      <w:r w:rsidRPr="00BC56AF">
        <w:rPr>
          <w:i/>
        </w:rPr>
        <w:t xml:space="preserve"> et al.</w:t>
      </w:r>
      <w:r w:rsidRPr="00BC56AF">
        <w:t xml:space="preserve"> Dual isotopes of nitrite in the Amundsen Sea in summer. </w:t>
      </w:r>
      <w:r w:rsidRPr="00BC56AF">
        <w:rPr>
          <w:i/>
        </w:rPr>
        <w:t>Science of the Total Environment</w:t>
      </w:r>
      <w:r w:rsidRPr="00BC56AF">
        <w:t xml:space="preserve"> </w:t>
      </w:r>
      <w:r w:rsidRPr="00BC56AF">
        <w:rPr>
          <w:b/>
        </w:rPr>
        <w:t>843</w:t>
      </w:r>
      <w:r w:rsidRPr="00BC56AF">
        <w:t>, 157055 (2022).</w:t>
      </w:r>
    </w:p>
    <w:p w14:paraId="22488683" w14:textId="77777777" w:rsidR="000673B6" w:rsidRPr="00BC56AF" w:rsidRDefault="000673B6" w:rsidP="00BC56AF">
      <w:pPr>
        <w:pStyle w:val="EndNoteBibliography"/>
        <w:ind w:left="720" w:hanging="720"/>
      </w:pPr>
      <w:r w:rsidRPr="00BC56AF">
        <w:t>26</w:t>
      </w:r>
      <w:r w:rsidRPr="00BC56AF">
        <w:tab/>
        <w:t>Peng, X.</w:t>
      </w:r>
      <w:r w:rsidRPr="00BC56AF">
        <w:rPr>
          <w:i/>
        </w:rPr>
        <w:t xml:space="preserve"> et al.</w:t>
      </w:r>
      <w:r w:rsidRPr="00BC56AF">
        <w:t xml:space="preserve"> Ammonia and nitrite oxidation in the Eastern Tropical North Pacific. </w:t>
      </w:r>
      <w:r w:rsidRPr="00BC56AF">
        <w:rPr>
          <w:i/>
        </w:rPr>
        <w:t>Global Biogeochemical Cycles</w:t>
      </w:r>
      <w:r w:rsidRPr="00BC56AF">
        <w:t xml:space="preserve"> </w:t>
      </w:r>
      <w:r w:rsidRPr="00BC56AF">
        <w:rPr>
          <w:b/>
        </w:rPr>
        <w:t>29</w:t>
      </w:r>
      <w:r w:rsidRPr="00BC56AF">
        <w:t>, 2034–2049 (2015).</w:t>
      </w:r>
    </w:p>
    <w:p w14:paraId="535D10B4" w14:textId="77777777" w:rsidR="000673B6" w:rsidRPr="00BC56AF" w:rsidRDefault="000673B6" w:rsidP="00BC56AF">
      <w:pPr>
        <w:pStyle w:val="EndNoteBibliography"/>
        <w:ind w:left="720" w:hanging="720"/>
      </w:pPr>
      <w:r w:rsidRPr="00BC56AF">
        <w:t>27</w:t>
      </w:r>
      <w:r w:rsidRPr="00BC56AF">
        <w:tab/>
        <w:t xml:space="preserve">Kusch, S., Wakeham, S. G. &amp; Sepúlveda, J. Bacteriohopanepolyols across the Black Sea redoxcline trace diverse bacterial metabolisms. </w:t>
      </w:r>
      <w:r w:rsidRPr="00BC56AF">
        <w:rPr>
          <w:i/>
        </w:rPr>
        <w:t>Organic Geochemistry</w:t>
      </w:r>
      <w:r w:rsidRPr="00BC56AF">
        <w:t xml:space="preserve"> </w:t>
      </w:r>
      <w:r w:rsidRPr="00BC56AF">
        <w:rPr>
          <w:b/>
        </w:rPr>
        <w:t>172</w:t>
      </w:r>
      <w:r w:rsidRPr="00BC56AF">
        <w:t>, doi:10.1016/j.orggeochem.2022.104462 (2022).</w:t>
      </w:r>
    </w:p>
    <w:p w14:paraId="34569D50" w14:textId="77777777" w:rsidR="000673B6" w:rsidRPr="00BC56AF" w:rsidRDefault="000673B6" w:rsidP="00BC56AF">
      <w:pPr>
        <w:pStyle w:val="EndNoteBibliography"/>
        <w:ind w:left="720" w:hanging="720"/>
      </w:pPr>
      <w:r w:rsidRPr="00BC56AF">
        <w:t>28</w:t>
      </w:r>
      <w:r w:rsidRPr="00BC56AF">
        <w:tab/>
        <w:t>Lam, P.</w:t>
      </w:r>
      <w:r w:rsidRPr="00BC56AF">
        <w:rPr>
          <w:i/>
        </w:rPr>
        <w:t xml:space="preserve"> et al.</w:t>
      </w:r>
      <w:r w:rsidRPr="00BC56AF">
        <w:t xml:space="preserve"> Linking crenarchaeal and bacterial nitrification to anammox in the Black Sea. </w:t>
      </w:r>
      <w:r w:rsidRPr="00BC56AF">
        <w:rPr>
          <w:i/>
        </w:rPr>
        <w:t>Proceedings of the National Academy of Sciences</w:t>
      </w:r>
      <w:r w:rsidRPr="00BC56AF">
        <w:t xml:space="preserve"> </w:t>
      </w:r>
      <w:r w:rsidRPr="00BC56AF">
        <w:rPr>
          <w:b/>
        </w:rPr>
        <w:t>104</w:t>
      </w:r>
      <w:r w:rsidRPr="00BC56AF">
        <w:t>, 7104–7109 (2007).</w:t>
      </w:r>
    </w:p>
    <w:p w14:paraId="79DDCA52" w14:textId="77777777" w:rsidR="000673B6" w:rsidRPr="00BC56AF" w:rsidRDefault="000673B6" w:rsidP="00BC56AF">
      <w:pPr>
        <w:pStyle w:val="EndNoteBibliography"/>
        <w:ind w:left="720" w:hanging="720"/>
      </w:pPr>
      <w:r w:rsidRPr="00BC56AF">
        <w:t>29</w:t>
      </w:r>
      <w:r w:rsidRPr="00BC56AF">
        <w:tab/>
        <w:t>Oakley, B. B.</w:t>
      </w:r>
      <w:r w:rsidRPr="00BC56AF">
        <w:rPr>
          <w:i/>
        </w:rPr>
        <w:t xml:space="preserve"> et al.</w:t>
      </w:r>
      <w:r w:rsidRPr="00BC56AF">
        <w:t xml:space="preserve"> Analysis of nitrite reductase (</w:t>
      </w:r>
      <w:r w:rsidRPr="00BC56AF">
        <w:rPr>
          <w:i/>
        </w:rPr>
        <w:t>nirK</w:t>
      </w:r>
      <w:r w:rsidRPr="00BC56AF">
        <w:t xml:space="preserve"> and </w:t>
      </w:r>
      <w:r w:rsidRPr="00BC56AF">
        <w:rPr>
          <w:i/>
        </w:rPr>
        <w:t>nirS</w:t>
      </w:r>
      <w:r w:rsidRPr="00BC56AF">
        <w:t xml:space="preserve">) genes and cultivation reveal depauperate community of denitrifying bacteria in the Black Sea suboxic zone. </w:t>
      </w:r>
      <w:r w:rsidRPr="00BC56AF">
        <w:rPr>
          <w:i/>
        </w:rPr>
        <w:t>Environmental microbiology</w:t>
      </w:r>
      <w:r w:rsidRPr="00BC56AF">
        <w:t xml:space="preserve"> </w:t>
      </w:r>
      <w:r w:rsidRPr="00BC56AF">
        <w:rPr>
          <w:b/>
        </w:rPr>
        <w:t>9</w:t>
      </w:r>
      <w:r w:rsidRPr="00BC56AF">
        <w:t>, 118–130 (2007).</w:t>
      </w:r>
    </w:p>
    <w:p w14:paraId="4CA797D6" w14:textId="77777777" w:rsidR="000673B6" w:rsidRPr="00BC56AF" w:rsidRDefault="000673B6" w:rsidP="00BC56AF">
      <w:pPr>
        <w:pStyle w:val="EndNoteBibliography"/>
        <w:ind w:left="720" w:hanging="720"/>
      </w:pPr>
      <w:r w:rsidRPr="00BC56AF">
        <w:t>30</w:t>
      </w:r>
      <w:r w:rsidRPr="00BC56AF">
        <w:tab/>
        <w:t xml:space="preserve">Galbraith, E. D., Sigman, D. M., Robinson, R. S., Pedersen, T. F. &amp; Capone, D. Nitrogen in past marine environments. </w:t>
      </w:r>
      <w:r w:rsidRPr="00BC56AF">
        <w:rPr>
          <w:i/>
        </w:rPr>
        <w:t>Nitrogen in the marine environment</w:t>
      </w:r>
      <w:r w:rsidRPr="00BC56AF">
        <w:t xml:space="preserve"> </w:t>
      </w:r>
      <w:r w:rsidRPr="00BC56AF">
        <w:rPr>
          <w:b/>
        </w:rPr>
        <w:t>2</w:t>
      </w:r>
      <w:r w:rsidRPr="00BC56AF">
        <w:t>, 1497–1535 (2008).</w:t>
      </w:r>
    </w:p>
    <w:p w14:paraId="5478C3E2" w14:textId="77777777" w:rsidR="000673B6" w:rsidRPr="00BC56AF" w:rsidRDefault="000673B6" w:rsidP="00BC56AF">
      <w:pPr>
        <w:pStyle w:val="EndNoteBibliography"/>
        <w:ind w:left="720" w:hanging="720"/>
      </w:pPr>
      <w:r w:rsidRPr="00BC56AF">
        <w:t>31</w:t>
      </w:r>
      <w:r w:rsidRPr="00BC56AF">
        <w:tab/>
        <w:t xml:space="preserve">M. Papadomanolaki, N., K. Lenstra, W., Wolthers, M. &amp; P. Slomp, C. Enhanced phosphorus recycling during past oceanic anoxia amplified by low rates of apatite authigenesis. </w:t>
      </w:r>
      <w:r w:rsidRPr="00BC56AF">
        <w:rPr>
          <w:i/>
        </w:rPr>
        <w:t>Science Advances</w:t>
      </w:r>
      <w:r w:rsidRPr="00BC56AF">
        <w:t xml:space="preserve"> </w:t>
      </w:r>
      <w:r w:rsidRPr="00BC56AF">
        <w:rPr>
          <w:b/>
        </w:rPr>
        <w:t>8</w:t>
      </w:r>
      <w:r w:rsidRPr="00BC56AF">
        <w:t>, eabn2370, doi:10.1126/sciadv.abn2370 (2022).</w:t>
      </w:r>
    </w:p>
    <w:p w14:paraId="37FF9875" w14:textId="77777777" w:rsidR="000673B6" w:rsidRPr="00BC56AF" w:rsidRDefault="000673B6" w:rsidP="00BC56AF">
      <w:pPr>
        <w:pStyle w:val="EndNoteBibliography"/>
        <w:ind w:left="720" w:hanging="720"/>
      </w:pPr>
      <w:r w:rsidRPr="00BC56AF">
        <w:t>32</w:t>
      </w:r>
      <w:r w:rsidRPr="00BC56AF">
        <w:tab/>
        <w:t xml:space="preserve">Rafter, P. A., Bagnell, A., Marconi, D. &amp; DeVries, T. Global trends in marine nitrate N isotopes from observations and a neural network-based climatology. </w:t>
      </w:r>
      <w:r w:rsidRPr="00BC56AF">
        <w:rPr>
          <w:i/>
        </w:rPr>
        <w:t>Biogeosciences</w:t>
      </w:r>
      <w:r w:rsidRPr="00BC56AF">
        <w:t xml:space="preserve"> </w:t>
      </w:r>
      <w:r w:rsidRPr="00BC56AF">
        <w:rPr>
          <w:b/>
        </w:rPr>
        <w:t>16</w:t>
      </w:r>
      <w:r w:rsidRPr="00BC56AF">
        <w:t>, 2617–2633 (2019).</w:t>
      </w:r>
    </w:p>
    <w:p w14:paraId="638894CC" w14:textId="77777777" w:rsidR="000673B6" w:rsidRPr="00BC56AF" w:rsidRDefault="000673B6" w:rsidP="00BC56AF">
      <w:pPr>
        <w:pStyle w:val="EndNoteBibliography"/>
        <w:ind w:left="720" w:hanging="720"/>
      </w:pPr>
      <w:r w:rsidRPr="00BC56AF">
        <w:t>33</w:t>
      </w:r>
      <w:r w:rsidRPr="00BC56AF">
        <w:tab/>
        <w:t>Sluijs, A.</w:t>
      </w:r>
      <w:r w:rsidRPr="00BC56AF">
        <w:rPr>
          <w:i/>
        </w:rPr>
        <w:t xml:space="preserve"> et al.</w:t>
      </w:r>
      <w:r w:rsidRPr="00BC56AF">
        <w:t xml:space="preserve"> Subtropical Arctic Ocean temperatures during the Palaeocene/Eocene thermal maximum. </w:t>
      </w:r>
      <w:r w:rsidRPr="00BC56AF">
        <w:rPr>
          <w:i/>
        </w:rPr>
        <w:t>Nature</w:t>
      </w:r>
      <w:r w:rsidRPr="00BC56AF">
        <w:t xml:space="preserve"> </w:t>
      </w:r>
      <w:r w:rsidRPr="00BC56AF">
        <w:rPr>
          <w:b/>
        </w:rPr>
        <w:t>441</w:t>
      </w:r>
      <w:r w:rsidRPr="00BC56AF">
        <w:t>, 610–613, doi:10.1038/nature04668 (2006).</w:t>
      </w:r>
    </w:p>
    <w:p w14:paraId="09C13D37" w14:textId="77777777" w:rsidR="000673B6" w:rsidRPr="00BC56AF" w:rsidRDefault="000673B6" w:rsidP="00BC56AF">
      <w:pPr>
        <w:pStyle w:val="EndNoteBibliography"/>
        <w:ind w:left="720" w:hanging="720"/>
      </w:pPr>
      <w:r w:rsidRPr="00BC56AF">
        <w:t>34</w:t>
      </w:r>
      <w:r w:rsidRPr="00BC56AF">
        <w:tab/>
        <w:t>Pagani, M.</w:t>
      </w:r>
      <w:r w:rsidRPr="00BC56AF">
        <w:rPr>
          <w:i/>
        </w:rPr>
        <w:t xml:space="preserve"> et al.</w:t>
      </w:r>
      <w:r w:rsidRPr="00BC56AF">
        <w:t xml:space="preserve"> Arctic hydrology during global warming at the Palaeocene/Eocene thermal maximum. </w:t>
      </w:r>
      <w:r w:rsidRPr="00BC56AF">
        <w:rPr>
          <w:i/>
        </w:rPr>
        <w:t>Nature</w:t>
      </w:r>
      <w:r w:rsidRPr="00BC56AF">
        <w:t xml:space="preserve"> </w:t>
      </w:r>
      <w:r w:rsidRPr="00BC56AF">
        <w:rPr>
          <w:b/>
        </w:rPr>
        <w:t>442</w:t>
      </w:r>
      <w:r w:rsidRPr="00BC56AF">
        <w:t>, 671–675 (2006).</w:t>
      </w:r>
    </w:p>
    <w:p w14:paraId="5556180F" w14:textId="77777777" w:rsidR="000673B6" w:rsidRPr="00BC56AF" w:rsidRDefault="000673B6" w:rsidP="00BC56AF">
      <w:pPr>
        <w:pStyle w:val="EndNoteBibliography"/>
        <w:ind w:left="720" w:hanging="720"/>
      </w:pPr>
      <w:r w:rsidRPr="00BC56AF">
        <w:t>35</w:t>
      </w:r>
      <w:r w:rsidRPr="00BC56AF">
        <w:tab/>
        <w:t xml:space="preserve">Stanev, E. V. Black sea dynamics. </w:t>
      </w:r>
      <w:r w:rsidRPr="00BC56AF">
        <w:rPr>
          <w:i/>
        </w:rPr>
        <w:t>Oceanography</w:t>
      </w:r>
      <w:r w:rsidRPr="00BC56AF">
        <w:t xml:space="preserve"> </w:t>
      </w:r>
      <w:r w:rsidRPr="00BC56AF">
        <w:rPr>
          <w:b/>
        </w:rPr>
        <w:t>18</w:t>
      </w:r>
      <w:r w:rsidRPr="00BC56AF">
        <w:t>, 56–75 (2005).</w:t>
      </w:r>
    </w:p>
    <w:p w14:paraId="62E5D050" w14:textId="77777777" w:rsidR="000673B6" w:rsidRPr="00BC56AF" w:rsidRDefault="000673B6" w:rsidP="00BC56AF">
      <w:pPr>
        <w:pStyle w:val="EndNoteBibliography"/>
        <w:ind w:left="720" w:hanging="720"/>
      </w:pPr>
      <w:r w:rsidRPr="00BC56AF">
        <w:t>36</w:t>
      </w:r>
      <w:r w:rsidRPr="00BC56AF">
        <w:tab/>
        <w:t xml:space="preserve">McCarthy, J. J., Yilmaz, A., Coban-Yildiz, Y. &amp; Nevins, J. L. Nitrogen cycling in the offshore waters of the Black Sea. </w:t>
      </w:r>
      <w:r w:rsidRPr="00BC56AF">
        <w:rPr>
          <w:i/>
        </w:rPr>
        <w:t>Estuarine, Coastal and Shelf Science</w:t>
      </w:r>
      <w:r w:rsidRPr="00BC56AF">
        <w:t xml:space="preserve"> </w:t>
      </w:r>
      <w:r w:rsidRPr="00BC56AF">
        <w:rPr>
          <w:b/>
        </w:rPr>
        <w:t>74</w:t>
      </w:r>
      <w:r w:rsidRPr="00BC56AF">
        <w:t>, 493–514 (2007).</w:t>
      </w:r>
    </w:p>
    <w:p w14:paraId="2575773D" w14:textId="77777777" w:rsidR="000673B6" w:rsidRPr="00BC56AF" w:rsidRDefault="000673B6" w:rsidP="00BC56AF">
      <w:pPr>
        <w:pStyle w:val="EndNoteBibliography"/>
        <w:ind w:left="720" w:hanging="720"/>
      </w:pPr>
      <w:r w:rsidRPr="00BC56AF">
        <w:t>37</w:t>
      </w:r>
      <w:r w:rsidRPr="00BC56AF">
        <w:tab/>
        <w:t>Fulton, J. M., Arthur, M. A. &amp; Freeman, K. H. Black Sea nitrogen cycling and the preservation of phytoplankton δ</w:t>
      </w:r>
      <w:r w:rsidRPr="00BC56AF">
        <w:rPr>
          <w:vertAlign w:val="superscript"/>
        </w:rPr>
        <w:t>15</w:t>
      </w:r>
      <w:r w:rsidRPr="00BC56AF">
        <w:t xml:space="preserve">N signals during the Holocene. </w:t>
      </w:r>
      <w:r w:rsidRPr="00BC56AF">
        <w:rPr>
          <w:i/>
        </w:rPr>
        <w:t>Global Biogeochemical Cycles</w:t>
      </w:r>
      <w:r w:rsidRPr="00BC56AF">
        <w:t xml:space="preserve"> </w:t>
      </w:r>
      <w:r w:rsidRPr="00BC56AF">
        <w:rPr>
          <w:b/>
        </w:rPr>
        <w:t>26</w:t>
      </w:r>
      <w:r w:rsidRPr="00BC56AF">
        <w:t>, n/a–n/a, doi:10.1029/2011gb004196 (2012).</w:t>
      </w:r>
    </w:p>
    <w:p w14:paraId="266C2166" w14:textId="77777777" w:rsidR="000673B6" w:rsidRPr="00BC56AF" w:rsidRDefault="000673B6" w:rsidP="00BC56AF">
      <w:pPr>
        <w:pStyle w:val="EndNoteBibliography"/>
        <w:ind w:left="720" w:hanging="720"/>
      </w:pPr>
      <w:r w:rsidRPr="00BC56AF">
        <w:t>38</w:t>
      </w:r>
      <w:r w:rsidRPr="00BC56AF">
        <w:tab/>
        <w:t>Robinson, R. S.</w:t>
      </w:r>
      <w:r w:rsidRPr="00BC56AF">
        <w:rPr>
          <w:i/>
        </w:rPr>
        <w:t xml:space="preserve"> et al.</w:t>
      </w:r>
      <w:r w:rsidRPr="00BC56AF">
        <w:t xml:space="preserve"> A review of nitrogen isotopic alteration in marine sediments. </w:t>
      </w:r>
      <w:r w:rsidRPr="00BC56AF">
        <w:rPr>
          <w:i/>
        </w:rPr>
        <w:t>Paleoceanography</w:t>
      </w:r>
      <w:r w:rsidRPr="00BC56AF">
        <w:t xml:space="preserve"> </w:t>
      </w:r>
      <w:r w:rsidRPr="00BC56AF">
        <w:rPr>
          <w:b/>
        </w:rPr>
        <w:t>27</w:t>
      </w:r>
      <w:r w:rsidRPr="00BC56AF">
        <w:t>, doi:10.1029/2012pa002321 (2012).</w:t>
      </w:r>
    </w:p>
    <w:p w14:paraId="1D4A0F69" w14:textId="77777777" w:rsidR="000673B6" w:rsidRPr="00BC56AF" w:rsidRDefault="000673B6" w:rsidP="00BC56AF">
      <w:pPr>
        <w:pStyle w:val="EndNoteBibliography"/>
        <w:ind w:left="720" w:hanging="720"/>
      </w:pPr>
      <w:r w:rsidRPr="00BC56AF">
        <w:t>39</w:t>
      </w:r>
      <w:r w:rsidRPr="00BC56AF">
        <w:tab/>
        <w:t xml:space="preserve">Freudenthal, T., Wagner, T., Wenzhöfer, F., Zabel, M. &amp; Wefer, G. Early diagenesis of organic matter from sediments of the eastern subtropical Atlantic: evidence from stable nitrogen and carbon isotopes. </w:t>
      </w:r>
      <w:r w:rsidRPr="00BC56AF">
        <w:rPr>
          <w:i/>
        </w:rPr>
        <w:t>Geochimica et Cosmochimica Acta</w:t>
      </w:r>
      <w:r w:rsidRPr="00BC56AF">
        <w:t xml:space="preserve"> </w:t>
      </w:r>
      <w:r w:rsidRPr="00BC56AF">
        <w:rPr>
          <w:b/>
        </w:rPr>
        <w:t>65</w:t>
      </w:r>
      <w:r w:rsidRPr="00BC56AF">
        <w:t>, 1795–1808 (2001).</w:t>
      </w:r>
    </w:p>
    <w:p w14:paraId="3D3E0251" w14:textId="77777777" w:rsidR="000673B6" w:rsidRPr="00BC56AF" w:rsidRDefault="000673B6" w:rsidP="00BC56AF">
      <w:pPr>
        <w:pStyle w:val="EndNoteBibliography"/>
        <w:ind w:left="720" w:hanging="720"/>
      </w:pPr>
      <w:r w:rsidRPr="00BC56AF">
        <w:t>40</w:t>
      </w:r>
      <w:r w:rsidRPr="00BC56AF">
        <w:tab/>
        <w:t>Fokkema, C. D.</w:t>
      </w:r>
      <w:r w:rsidRPr="00BC56AF">
        <w:rPr>
          <w:i/>
        </w:rPr>
        <w:t xml:space="preserve"> et al.</w:t>
      </w:r>
      <w:r w:rsidRPr="00BC56AF">
        <w:t xml:space="preserve"> Polar amplification of orbital-scale climate variability in the early Eocene greenhouse world. </w:t>
      </w:r>
      <w:r w:rsidRPr="00BC56AF">
        <w:rPr>
          <w:i/>
        </w:rPr>
        <w:t>Climate of the Past Discussions</w:t>
      </w:r>
      <w:r w:rsidRPr="00BC56AF">
        <w:t xml:space="preserve"> </w:t>
      </w:r>
      <w:r w:rsidRPr="00BC56AF">
        <w:rPr>
          <w:b/>
        </w:rPr>
        <w:t>2023</w:t>
      </w:r>
      <w:r w:rsidRPr="00BC56AF">
        <w:t>, 1–26 (2023).</w:t>
      </w:r>
    </w:p>
    <w:p w14:paraId="0EEBA8BB" w14:textId="77777777" w:rsidR="000673B6" w:rsidRPr="00BC56AF" w:rsidRDefault="000673B6" w:rsidP="00BC56AF">
      <w:pPr>
        <w:pStyle w:val="EndNoteBibliography"/>
        <w:ind w:left="720" w:hanging="720"/>
      </w:pPr>
      <w:r w:rsidRPr="00BC56AF">
        <w:lastRenderedPageBreak/>
        <w:t>41</w:t>
      </w:r>
      <w:r w:rsidRPr="00BC56AF">
        <w:tab/>
        <w:t xml:space="preserve">Junium, C. K. &amp; Arthur, M. A. Nitrogen cycling during the Cretaceous, Cenomanian-Turonian Oceanic Anoxic Event II. </w:t>
      </w:r>
      <w:r w:rsidRPr="00BC56AF">
        <w:rPr>
          <w:i/>
        </w:rPr>
        <w:t>Geochemistry, Geophysics, Geosystems</w:t>
      </w:r>
      <w:r w:rsidRPr="00BC56AF">
        <w:t xml:space="preserve"> </w:t>
      </w:r>
      <w:r w:rsidRPr="00BC56AF">
        <w:rPr>
          <w:b/>
        </w:rPr>
        <w:t>8</w:t>
      </w:r>
      <w:r w:rsidRPr="00BC56AF">
        <w:t>, n/a–n/a, doi:10.1029/2006gc001328 (2007).</w:t>
      </w:r>
    </w:p>
    <w:p w14:paraId="01B4D678" w14:textId="77777777" w:rsidR="000673B6" w:rsidRPr="00BC56AF" w:rsidRDefault="000673B6" w:rsidP="00BC56AF">
      <w:pPr>
        <w:pStyle w:val="EndNoteBibliography"/>
        <w:ind w:left="720" w:hanging="720"/>
      </w:pPr>
      <w:r w:rsidRPr="00BC56AF">
        <w:t>42</w:t>
      </w:r>
      <w:r w:rsidRPr="00BC56AF">
        <w:tab/>
        <w:t xml:space="preserve">Junium, C. K., Dickson, A. J. &amp; Uveges, B. T. Perturbation to the nitrogen cycle during rapid Early Eocene global warming. </w:t>
      </w:r>
      <w:r w:rsidRPr="00BC56AF">
        <w:rPr>
          <w:i/>
        </w:rPr>
        <w:t>Nat Commun</w:t>
      </w:r>
      <w:r w:rsidRPr="00BC56AF">
        <w:t xml:space="preserve"> </w:t>
      </w:r>
      <w:r w:rsidRPr="00BC56AF">
        <w:rPr>
          <w:b/>
        </w:rPr>
        <w:t>9</w:t>
      </w:r>
      <w:r w:rsidRPr="00BC56AF">
        <w:t>, 3186, doi:10.1038/s41467-018-05486-w (2018).</w:t>
      </w:r>
    </w:p>
    <w:p w14:paraId="1194667B" w14:textId="77777777" w:rsidR="000673B6" w:rsidRPr="00BC56AF" w:rsidRDefault="000673B6" w:rsidP="00BC56AF">
      <w:pPr>
        <w:pStyle w:val="EndNoteBibliography"/>
        <w:ind w:left="720" w:hanging="720"/>
      </w:pPr>
      <w:r w:rsidRPr="00BC56AF">
        <w:t>43</w:t>
      </w:r>
      <w:r w:rsidRPr="00BC56AF">
        <w:tab/>
        <w:t>Penman, D. E.</w:t>
      </w:r>
      <w:r w:rsidRPr="00BC56AF">
        <w:rPr>
          <w:i/>
        </w:rPr>
        <w:t xml:space="preserve"> et al.</w:t>
      </w:r>
      <w:r w:rsidRPr="00BC56AF">
        <w:t xml:space="preserve"> An abyssal carbonate compensation depth overshoot in the aftermath of the Palaeocene–Eocene Thermal Maximum. </w:t>
      </w:r>
      <w:r w:rsidRPr="00BC56AF">
        <w:rPr>
          <w:i/>
        </w:rPr>
        <w:t>Nature Geoscience</w:t>
      </w:r>
      <w:r w:rsidRPr="00BC56AF">
        <w:t xml:space="preserve"> </w:t>
      </w:r>
      <w:r w:rsidRPr="00BC56AF">
        <w:rPr>
          <w:b/>
        </w:rPr>
        <w:t>9</w:t>
      </w:r>
      <w:r w:rsidRPr="00BC56AF">
        <w:t>, 575–580 (2016).</w:t>
      </w:r>
    </w:p>
    <w:p w14:paraId="052C2899" w14:textId="77777777" w:rsidR="000673B6" w:rsidRPr="00BC56AF" w:rsidRDefault="000673B6" w:rsidP="00BC56AF">
      <w:pPr>
        <w:pStyle w:val="EndNoteBibliography"/>
        <w:ind w:left="720" w:hanging="720"/>
      </w:pPr>
      <w:r w:rsidRPr="00BC56AF">
        <w:t>44</w:t>
      </w:r>
      <w:r w:rsidRPr="00BC56AF">
        <w:tab/>
        <w:t>Naafs, B. D. A.</w:t>
      </w:r>
      <w:r w:rsidRPr="00BC56AF">
        <w:rPr>
          <w:i/>
        </w:rPr>
        <w:t xml:space="preserve"> et al.</w:t>
      </w:r>
      <w:r w:rsidRPr="00BC56AF">
        <w:t xml:space="preserve"> Fundamentally different global marine nitrogen cycling in response to severe ocean deoxygenation. </w:t>
      </w:r>
      <w:r w:rsidRPr="00BC56AF">
        <w:rPr>
          <w:i/>
        </w:rPr>
        <w:t>Proceedings of the National Academy of Sciences</w:t>
      </w:r>
      <w:r w:rsidRPr="00BC56AF">
        <w:t xml:space="preserve"> </w:t>
      </w:r>
      <w:r w:rsidRPr="00BC56AF">
        <w:rPr>
          <w:b/>
        </w:rPr>
        <w:t>116</w:t>
      </w:r>
      <w:r w:rsidRPr="00BC56AF">
        <w:t>, 24979–24984, doi:10.1073/pnas.1905553116 (2019).</w:t>
      </w:r>
    </w:p>
    <w:p w14:paraId="0A1E2AA3" w14:textId="77777777" w:rsidR="000673B6" w:rsidRPr="00BC56AF" w:rsidRDefault="000673B6" w:rsidP="00BC56AF">
      <w:pPr>
        <w:pStyle w:val="EndNoteBibliography"/>
        <w:ind w:left="720" w:hanging="720"/>
      </w:pPr>
      <w:r w:rsidRPr="00BC56AF">
        <w:t>45</w:t>
      </w:r>
      <w:r w:rsidRPr="00BC56AF">
        <w:tab/>
        <w:t>Steinig, S.</w:t>
      </w:r>
      <w:r w:rsidRPr="00BC56AF">
        <w:rPr>
          <w:i/>
        </w:rPr>
        <w:t xml:space="preserve"> et al.</w:t>
      </w:r>
      <w:r w:rsidRPr="00BC56AF">
        <w:t xml:space="preserve"> DeepMIP-Eocene-p1: multi-model dataset and interactive web application for Eocene climate research. </w:t>
      </w:r>
      <w:r w:rsidRPr="00BC56AF">
        <w:rPr>
          <w:i/>
        </w:rPr>
        <w:t>Scientific Data</w:t>
      </w:r>
      <w:r w:rsidRPr="00BC56AF">
        <w:t xml:space="preserve"> </w:t>
      </w:r>
      <w:r w:rsidRPr="00BC56AF">
        <w:rPr>
          <w:b/>
        </w:rPr>
        <w:t>11</w:t>
      </w:r>
      <w:r w:rsidRPr="00BC56AF">
        <w:t>, 970 (2024).</w:t>
      </w:r>
    </w:p>
    <w:p w14:paraId="42565368" w14:textId="77777777" w:rsidR="000673B6" w:rsidRPr="00BC56AF" w:rsidRDefault="000673B6" w:rsidP="00BC56AF">
      <w:pPr>
        <w:pStyle w:val="EndNoteBibliography"/>
        <w:ind w:left="720" w:hanging="720"/>
      </w:pPr>
      <w:r w:rsidRPr="00BC56AF">
        <w:t>46</w:t>
      </w:r>
      <w:r w:rsidRPr="00BC56AF">
        <w:tab/>
        <w:t>Sluijs,</w:t>
      </w:r>
      <w:r w:rsidRPr="00BC56AF">
        <w:rPr>
          <w:rFonts w:hint="eastAsia"/>
        </w:rPr>
        <w:t xml:space="preserve"> A.</w:t>
      </w:r>
      <w:r w:rsidRPr="00BC56AF">
        <w:rPr>
          <w:rFonts w:hint="eastAsia"/>
          <w:i/>
        </w:rPr>
        <w:t xml:space="preserve"> et al.</w:t>
      </w:r>
      <w:r w:rsidRPr="00BC56AF">
        <w:rPr>
          <w:rFonts w:hint="eastAsia"/>
        </w:rPr>
        <w:t xml:space="preserve"> Arctic late Paleocene–early Eocene paleoenvironments with special emphasis on the Paleocene‐Eocene thermal maximum (Lomonosov Ridge, Integrated Ocean Drilling Program Expedition 302). </w:t>
      </w:r>
      <w:r w:rsidRPr="00BC56AF">
        <w:rPr>
          <w:rFonts w:hint="eastAsia"/>
          <w:i/>
        </w:rPr>
        <w:t>Paleoceanography</w:t>
      </w:r>
      <w:r w:rsidRPr="00BC56AF">
        <w:rPr>
          <w:rFonts w:hint="eastAsia"/>
        </w:rPr>
        <w:t xml:space="preserve"> </w:t>
      </w:r>
      <w:r w:rsidRPr="00BC56AF">
        <w:rPr>
          <w:rFonts w:hint="eastAsia"/>
          <w:b/>
        </w:rPr>
        <w:t>23</w:t>
      </w:r>
      <w:r w:rsidRPr="00BC56AF">
        <w:rPr>
          <w:rFonts w:hint="eastAsia"/>
        </w:rPr>
        <w:t xml:space="preserve"> (2008).</w:t>
      </w:r>
    </w:p>
    <w:p w14:paraId="04CA8C5C" w14:textId="77777777" w:rsidR="000673B6" w:rsidRPr="00BC56AF" w:rsidRDefault="000673B6" w:rsidP="00BC56AF">
      <w:pPr>
        <w:pStyle w:val="EndNoteBibliography"/>
        <w:ind w:left="720" w:hanging="720"/>
      </w:pPr>
      <w:r w:rsidRPr="00BC56AF">
        <w:t>47</w:t>
      </w:r>
      <w:r w:rsidRPr="00BC56AF">
        <w:tab/>
        <w:t>Sluijs, A.</w:t>
      </w:r>
      <w:r w:rsidRPr="00BC56AF">
        <w:rPr>
          <w:i/>
        </w:rPr>
        <w:t xml:space="preserve"> et al.</w:t>
      </w:r>
      <w:r w:rsidRPr="00BC56AF">
        <w:t xml:space="preserve"> Southern ocean warming, sea level and hydrological change during the Paleocene-Eocene thermal maximum. </w:t>
      </w:r>
      <w:r w:rsidRPr="00BC56AF">
        <w:rPr>
          <w:i/>
        </w:rPr>
        <w:t>Climate of the Past</w:t>
      </w:r>
      <w:r w:rsidRPr="00BC56AF">
        <w:t xml:space="preserve"> </w:t>
      </w:r>
      <w:r w:rsidRPr="00BC56AF">
        <w:rPr>
          <w:b/>
        </w:rPr>
        <w:t>7</w:t>
      </w:r>
      <w:r w:rsidRPr="00BC56AF">
        <w:t>, 47–61 (2011).</w:t>
      </w:r>
    </w:p>
    <w:p w14:paraId="69775526" w14:textId="77777777" w:rsidR="000673B6" w:rsidRPr="00BC56AF" w:rsidRDefault="000673B6" w:rsidP="00BC56AF">
      <w:pPr>
        <w:pStyle w:val="EndNoteBibliography"/>
        <w:ind w:left="720" w:hanging="720"/>
      </w:pPr>
      <w:r w:rsidRPr="00BC56AF">
        <w:t>48</w:t>
      </w:r>
      <w:r w:rsidRPr="00BC56AF">
        <w:tab/>
        <w:t>Frieling, J.</w:t>
      </w:r>
      <w:r w:rsidRPr="00BC56AF">
        <w:rPr>
          <w:i/>
        </w:rPr>
        <w:t xml:space="preserve"> et al.</w:t>
      </w:r>
      <w:r w:rsidRPr="00BC56AF">
        <w:t xml:space="preserve"> Tropical Atlantic climate and ecosystem regime shifts during the Paleocene–Eocene Thermal Maximum. </w:t>
      </w:r>
      <w:r w:rsidRPr="00BC56AF">
        <w:rPr>
          <w:i/>
        </w:rPr>
        <w:t>Climate of the Past</w:t>
      </w:r>
      <w:r w:rsidRPr="00BC56AF">
        <w:t xml:space="preserve"> </w:t>
      </w:r>
      <w:r w:rsidRPr="00BC56AF">
        <w:rPr>
          <w:b/>
        </w:rPr>
        <w:t>14</w:t>
      </w:r>
      <w:r w:rsidRPr="00BC56AF">
        <w:t>, 39–55 (2018).</w:t>
      </w:r>
    </w:p>
    <w:p w14:paraId="220A87B2" w14:textId="77777777" w:rsidR="000673B6" w:rsidRPr="00BC56AF" w:rsidRDefault="000673B6" w:rsidP="00BC56AF">
      <w:pPr>
        <w:pStyle w:val="EndNoteBibliography"/>
        <w:ind w:left="720" w:hanging="720"/>
      </w:pPr>
      <w:r w:rsidRPr="00BC56AF">
        <w:t>49</w:t>
      </w:r>
      <w:r w:rsidRPr="00BC56AF">
        <w:tab/>
        <w:t>Herold, N.</w:t>
      </w:r>
      <w:r w:rsidRPr="00BC56AF">
        <w:rPr>
          <w:i/>
        </w:rPr>
        <w:t xml:space="preserve"> et al.</w:t>
      </w:r>
      <w:r w:rsidRPr="00BC56AF">
        <w:t xml:space="preserve"> A suite of early Eocene (~ 55 Ma) climate model boundary conditions. </w:t>
      </w:r>
      <w:r w:rsidRPr="00BC56AF">
        <w:rPr>
          <w:i/>
        </w:rPr>
        <w:t>Geoscientific Model Development</w:t>
      </w:r>
      <w:r w:rsidRPr="00BC56AF">
        <w:t xml:space="preserve"> </w:t>
      </w:r>
      <w:r w:rsidRPr="00BC56AF">
        <w:rPr>
          <w:b/>
        </w:rPr>
        <w:t>7</w:t>
      </w:r>
      <w:r w:rsidRPr="00BC56AF">
        <w:t>, 2077–2090 (2014).</w:t>
      </w:r>
    </w:p>
    <w:p w14:paraId="090478EE" w14:textId="77777777" w:rsidR="000673B6" w:rsidRPr="00BC56AF" w:rsidRDefault="000673B6" w:rsidP="00BC56AF">
      <w:pPr>
        <w:pStyle w:val="EndNoteBibliography"/>
        <w:ind w:left="720" w:hanging="720"/>
      </w:pPr>
      <w:r w:rsidRPr="00BC56AF">
        <w:t>50</w:t>
      </w:r>
      <w:r w:rsidRPr="00BC56AF">
        <w:tab/>
        <w:t>Hollis, C. J.</w:t>
      </w:r>
      <w:r w:rsidRPr="00BC56AF">
        <w:rPr>
          <w:i/>
        </w:rPr>
        <w:t xml:space="preserve"> et al.</w:t>
      </w:r>
      <w:r w:rsidRPr="00BC56AF">
        <w:t xml:space="preserve"> The DeepMIP contribution to PMIP4: Methodologies for selection, compilation and analysis of latest Paleocene and early Eocene climate proxy data, incorporating version 0.1 of the DeepMIP database. </w:t>
      </w:r>
      <w:r w:rsidRPr="00BC56AF">
        <w:rPr>
          <w:i/>
        </w:rPr>
        <w:t>Geoscientific Model Development</w:t>
      </w:r>
      <w:r w:rsidRPr="00BC56AF">
        <w:t xml:space="preserve"> </w:t>
      </w:r>
      <w:r w:rsidRPr="00BC56AF">
        <w:rPr>
          <w:b/>
        </w:rPr>
        <w:t>12</w:t>
      </w:r>
      <w:r w:rsidRPr="00BC56AF">
        <w:t>, 3149–3206 (2019).</w:t>
      </w:r>
    </w:p>
    <w:p w14:paraId="0B9FFDF5" w14:textId="77777777" w:rsidR="000673B6" w:rsidRPr="00BC56AF" w:rsidRDefault="000673B6" w:rsidP="00BC56AF">
      <w:pPr>
        <w:pStyle w:val="EndNoteBibliography"/>
        <w:ind w:left="720" w:hanging="720"/>
      </w:pPr>
      <w:r w:rsidRPr="00BC56AF">
        <w:t>51</w:t>
      </w:r>
      <w:r w:rsidRPr="00BC56AF">
        <w:tab/>
        <w:t xml:space="preserve">Gavrilo, Y. O., Shcherbinina, E. A. &amp; Oberhänsli, H. Paleocene-Eocene boundary events in the northeastern Peri-Tethys. in </w:t>
      </w:r>
      <w:r w:rsidRPr="00BC56AF">
        <w:rPr>
          <w:i/>
        </w:rPr>
        <w:t>Causes and consequences of globally warm climates in the early Paleogene</w:t>
      </w:r>
      <w:r w:rsidRPr="00BC56AF">
        <w:t xml:space="preserve">   (eds Scott L. Wing, Philip  D. Gingerich, Birger  Schmitz, &amp; Ellen  Thomas)  (2003).</w:t>
      </w:r>
    </w:p>
    <w:p w14:paraId="13DE5C06" w14:textId="77777777" w:rsidR="000673B6" w:rsidRPr="00BC56AF" w:rsidRDefault="000673B6" w:rsidP="00BC56AF">
      <w:pPr>
        <w:pStyle w:val="EndNoteBibliography"/>
        <w:ind w:left="720" w:hanging="720"/>
      </w:pPr>
      <w:r w:rsidRPr="00BC56AF">
        <w:t>52</w:t>
      </w:r>
      <w:r w:rsidRPr="00BC56AF">
        <w:tab/>
        <w:t>Harris, A. D.</w:t>
      </w:r>
      <w:r w:rsidRPr="00BC56AF">
        <w:rPr>
          <w:i/>
        </w:rPr>
        <w:t xml:space="preserve"> et al.</w:t>
      </w:r>
      <w:r w:rsidRPr="00BC56AF">
        <w:t xml:space="preserve"> Integrated stratigraphic studies of Paleocene–lowermost Eocene sequences, New Jersey Coastal Plain: Evidence for glacioeustatic control. </w:t>
      </w:r>
      <w:r w:rsidRPr="00BC56AF">
        <w:rPr>
          <w:i/>
        </w:rPr>
        <w:t>Paleoceanography</w:t>
      </w:r>
      <w:r w:rsidRPr="00BC56AF">
        <w:t xml:space="preserve"> </w:t>
      </w:r>
      <w:r w:rsidRPr="00BC56AF">
        <w:rPr>
          <w:b/>
        </w:rPr>
        <w:t>25</w:t>
      </w:r>
      <w:r w:rsidRPr="00BC56AF">
        <w:t xml:space="preserve"> (2010).</w:t>
      </w:r>
    </w:p>
    <w:p w14:paraId="547D189D" w14:textId="77777777" w:rsidR="000673B6" w:rsidRPr="00BC56AF" w:rsidRDefault="000673B6" w:rsidP="00BC56AF">
      <w:pPr>
        <w:pStyle w:val="EndNoteBibliography"/>
        <w:ind w:left="720" w:hanging="720"/>
      </w:pPr>
      <w:r w:rsidRPr="00BC56AF">
        <w:t>53</w:t>
      </w:r>
      <w:r w:rsidRPr="00BC56AF">
        <w:tab/>
        <w:t xml:space="preserve">Schoon, P. L., Heilmann-Clausen, C., Schultz, B. P., Sinninghe Damsté, J. S. &amp; Schouten, S. Warming and environmental changes in the eastern North Sea Basin during the Palaeocene–Eocene Thermal Maximum as revealed by biomarker lipids. </w:t>
      </w:r>
      <w:r w:rsidRPr="00BC56AF">
        <w:rPr>
          <w:i/>
        </w:rPr>
        <w:t>Organic Geochemistry</w:t>
      </w:r>
      <w:r w:rsidRPr="00BC56AF">
        <w:t xml:space="preserve"> </w:t>
      </w:r>
      <w:r w:rsidRPr="00BC56AF">
        <w:rPr>
          <w:b/>
        </w:rPr>
        <w:t>78</w:t>
      </w:r>
      <w:r w:rsidRPr="00BC56AF">
        <w:t>, 79–88, doi:10.1016/j.orggeochem.2014.11.003 (2015).</w:t>
      </w:r>
    </w:p>
    <w:p w14:paraId="5E260EFB" w14:textId="77777777" w:rsidR="000673B6" w:rsidRPr="00BC56AF" w:rsidRDefault="000673B6" w:rsidP="00BC56AF">
      <w:pPr>
        <w:pStyle w:val="EndNoteBibliography"/>
        <w:ind w:left="720" w:hanging="720"/>
      </w:pPr>
      <w:r w:rsidRPr="00BC56AF">
        <w:lastRenderedPageBreak/>
        <w:t>54</w:t>
      </w:r>
      <w:r w:rsidRPr="00BC56AF">
        <w:tab/>
        <w:t>Jones, M. T.</w:t>
      </w:r>
      <w:r w:rsidRPr="00BC56AF">
        <w:rPr>
          <w:i/>
        </w:rPr>
        <w:t xml:space="preserve"> et al.</w:t>
      </w:r>
      <w:r w:rsidRPr="00BC56AF">
        <w:t xml:space="preserve"> Tracing North Atlantic volcanism and seaway connectivity across the paleocene–eocene thermal maximum (PETM). </w:t>
      </w:r>
      <w:r w:rsidRPr="00BC56AF">
        <w:rPr>
          <w:i/>
        </w:rPr>
        <w:t>Climate of the Past</w:t>
      </w:r>
      <w:r w:rsidRPr="00BC56AF">
        <w:t xml:space="preserve"> </w:t>
      </w:r>
      <w:r w:rsidRPr="00BC56AF">
        <w:rPr>
          <w:b/>
        </w:rPr>
        <w:t>19</w:t>
      </w:r>
      <w:r w:rsidRPr="00BC56AF">
        <w:t>, 1623–1652 (2023).</w:t>
      </w:r>
    </w:p>
    <w:p w14:paraId="7519AC1D" w14:textId="77777777" w:rsidR="000673B6" w:rsidRPr="00BC56AF" w:rsidRDefault="000673B6" w:rsidP="00BC56AF">
      <w:pPr>
        <w:pStyle w:val="EndNoteBibliography"/>
        <w:ind w:left="720" w:hanging="720"/>
      </w:pPr>
      <w:r w:rsidRPr="00BC56AF">
        <w:rPr>
          <w:rFonts w:hint="eastAsia"/>
        </w:rPr>
        <w:t>55</w:t>
      </w:r>
      <w:r w:rsidRPr="00BC56AF">
        <w:rPr>
          <w:rFonts w:hint="eastAsia"/>
        </w:rPr>
        <w:tab/>
        <w:t>Kaya, M. Y.</w:t>
      </w:r>
      <w:r w:rsidRPr="00BC56AF">
        <w:rPr>
          <w:rFonts w:hint="eastAsia"/>
          <w:i/>
        </w:rPr>
        <w:t xml:space="preserve"> et al.</w:t>
      </w:r>
      <w:r w:rsidRPr="00BC56AF">
        <w:rPr>
          <w:rFonts w:hint="eastAsia"/>
        </w:rPr>
        <w:t xml:space="preserve"> Paleogene evolution and demise of the proto‐Paratethys Sea in Central Asia (Tarim and Tajik </w:t>
      </w:r>
      <w:r w:rsidRPr="00BC56AF">
        <w:t xml:space="preserve">basins): Role of intensified tectonic activity at ca. 41 Ma. </w:t>
      </w:r>
      <w:r w:rsidRPr="00BC56AF">
        <w:rPr>
          <w:i/>
        </w:rPr>
        <w:t>Basin Research</w:t>
      </w:r>
      <w:r w:rsidRPr="00BC56AF">
        <w:t xml:space="preserve"> </w:t>
      </w:r>
      <w:r w:rsidRPr="00BC56AF">
        <w:rPr>
          <w:b/>
        </w:rPr>
        <w:t>31</w:t>
      </w:r>
      <w:r w:rsidRPr="00BC56AF">
        <w:t>, 461–486, doi:10.1111/bre.12330 (2019).</w:t>
      </w:r>
    </w:p>
    <w:p w14:paraId="74ECDB2E" w14:textId="77777777" w:rsidR="000673B6" w:rsidRPr="00BC56AF" w:rsidRDefault="000673B6" w:rsidP="00BC56AF">
      <w:pPr>
        <w:rPr>
          <w:sz w:val="24"/>
          <w:szCs w:val="24"/>
        </w:rPr>
      </w:pPr>
    </w:p>
    <w:p w14:paraId="3DA15D49" w14:textId="77777777" w:rsidR="007F2160" w:rsidRDefault="007F2160"/>
    <w:sectPr w:rsidR="007F2160" w:rsidSect="000673B6">
      <w:headerReference w:type="default"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宋体">
    <w:altName w:val="??"/>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7B7C" w14:textId="77777777" w:rsidR="000673B6" w:rsidRPr="00734696" w:rsidRDefault="000673B6">
    <w:pPr>
      <w:pStyle w:val="afa"/>
      <w:jc w:val="center"/>
      <w:rPr>
        <w:caps/>
        <w:color w:val="156082" w:themeColor="accent1"/>
      </w:rPr>
    </w:pPr>
    <w:r w:rsidRPr="00734696">
      <w:rPr>
        <w:caps/>
        <w:color w:val="156082" w:themeColor="accent1"/>
      </w:rPr>
      <w:fldChar w:fldCharType="begin"/>
    </w:r>
    <w:r w:rsidRPr="00734696">
      <w:rPr>
        <w:caps/>
        <w:color w:val="156082" w:themeColor="accent1"/>
      </w:rPr>
      <w:instrText xml:space="preserve"> PAGE   \* MERGEFORMAT </w:instrText>
    </w:r>
    <w:r w:rsidRPr="00734696">
      <w:rPr>
        <w:caps/>
        <w:color w:val="156082" w:themeColor="accent1"/>
      </w:rPr>
      <w:fldChar w:fldCharType="separate"/>
    </w:r>
    <w:r w:rsidRPr="00734696">
      <w:rPr>
        <w:caps/>
        <w:color w:val="156082" w:themeColor="accent1"/>
      </w:rPr>
      <w:t>4</w:t>
    </w:r>
    <w:r w:rsidRPr="00734696">
      <w:rPr>
        <w:caps/>
        <w:color w:val="156082" w:themeColor="accent1"/>
      </w:rPr>
      <w:fldChar w:fldCharType="end"/>
    </w:r>
  </w:p>
  <w:p w14:paraId="52B90E60" w14:textId="77777777" w:rsidR="000673B6" w:rsidRPr="00734696" w:rsidRDefault="000673B6">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3A86" w14:textId="77777777" w:rsidR="000673B6" w:rsidRPr="00734696" w:rsidRDefault="000673B6">
    <w:pPr>
      <w:pStyle w:val="afa"/>
      <w:jc w:val="center"/>
      <w:rPr>
        <w:caps/>
        <w:color w:val="156082" w:themeColor="accent1"/>
      </w:rPr>
    </w:pPr>
    <w:r w:rsidRPr="00734696">
      <w:rPr>
        <w:caps/>
        <w:color w:val="156082" w:themeColor="accent1"/>
      </w:rPr>
      <w:fldChar w:fldCharType="begin"/>
    </w:r>
    <w:r w:rsidRPr="00734696">
      <w:rPr>
        <w:caps/>
        <w:color w:val="156082" w:themeColor="accent1"/>
      </w:rPr>
      <w:instrText xml:space="preserve"> PAGE   \* MERGEFORMAT </w:instrText>
    </w:r>
    <w:r w:rsidRPr="00734696">
      <w:rPr>
        <w:caps/>
        <w:color w:val="156082" w:themeColor="accent1"/>
      </w:rPr>
      <w:fldChar w:fldCharType="separate"/>
    </w:r>
    <w:r w:rsidRPr="00734696">
      <w:rPr>
        <w:caps/>
        <w:color w:val="156082" w:themeColor="accent1"/>
      </w:rPr>
      <w:t>1</w:t>
    </w:r>
    <w:r w:rsidRPr="00734696">
      <w:rPr>
        <w:caps/>
        <w:color w:val="156082" w:themeColor="accent1"/>
      </w:rPr>
      <w:fldChar w:fldCharType="end"/>
    </w:r>
  </w:p>
  <w:p w14:paraId="0D570372" w14:textId="77777777" w:rsidR="000673B6" w:rsidRPr="00734696" w:rsidRDefault="000673B6">
    <w:pPr>
      <w:pStyle w:val="af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DBB8" w14:textId="77777777" w:rsidR="000673B6" w:rsidRPr="00734696" w:rsidRDefault="000673B6" w:rsidP="00BD3B33">
    <w:pPr>
      <w:pStyle w:val="afd"/>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FBBE" w14:textId="77777777" w:rsidR="000673B6" w:rsidRPr="00734696" w:rsidRDefault="000673B6" w:rsidP="00D73714">
    <w:pPr>
      <w:pStyle w:val="afd"/>
    </w:pPr>
    <w:r w:rsidRPr="00734696">
      <w:rPr>
        <w:noProof/>
      </w:rPr>
      <w:drawing>
        <wp:anchor distT="0" distB="0" distL="114300" distR="114300" simplePos="0" relativeHeight="251659264" behindDoc="1" locked="0" layoutInCell="1" allowOverlap="1" wp14:anchorId="3B875E1B" wp14:editId="53320DAB">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1846028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rsidRPr="00734696">
      <w:tab/>
      <w:t>Submitted Manuscript: Confidential</w:t>
    </w:r>
    <w:r w:rsidRPr="00734696">
      <w:tab/>
    </w:r>
  </w:p>
  <w:p w14:paraId="2E884F10" w14:textId="77777777" w:rsidR="000673B6" w:rsidRPr="00734696" w:rsidRDefault="000673B6" w:rsidP="00D73714">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2917756">
    <w:abstractNumId w:val="11"/>
  </w:num>
  <w:num w:numId="2" w16cid:durableId="696739647">
    <w:abstractNumId w:val="9"/>
  </w:num>
  <w:num w:numId="3" w16cid:durableId="808522832">
    <w:abstractNumId w:val="7"/>
  </w:num>
  <w:num w:numId="4" w16cid:durableId="249970173">
    <w:abstractNumId w:val="6"/>
  </w:num>
  <w:num w:numId="5" w16cid:durableId="1380327237">
    <w:abstractNumId w:val="5"/>
  </w:num>
  <w:num w:numId="6" w16cid:durableId="1130320539">
    <w:abstractNumId w:val="4"/>
  </w:num>
  <w:num w:numId="7" w16cid:durableId="2012021292">
    <w:abstractNumId w:val="8"/>
  </w:num>
  <w:num w:numId="8" w16cid:durableId="994185744">
    <w:abstractNumId w:val="3"/>
  </w:num>
  <w:num w:numId="9" w16cid:durableId="888305222">
    <w:abstractNumId w:val="2"/>
  </w:num>
  <w:num w:numId="10" w16cid:durableId="409422401">
    <w:abstractNumId w:val="1"/>
  </w:num>
  <w:num w:numId="11" w16cid:durableId="343632512">
    <w:abstractNumId w:val="0"/>
  </w:num>
  <w:num w:numId="12" w16cid:durableId="143952454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633512611">
    <w:abstractNumId w:val="12"/>
  </w:num>
  <w:num w:numId="14" w16cid:durableId="8765084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673B6"/>
    <w:rsid w:val="000673B6"/>
    <w:rsid w:val="00071672"/>
    <w:rsid w:val="00263B1E"/>
    <w:rsid w:val="002A5783"/>
    <w:rsid w:val="003535D5"/>
    <w:rsid w:val="00380F8F"/>
    <w:rsid w:val="00396CD0"/>
    <w:rsid w:val="003E0003"/>
    <w:rsid w:val="003F21BC"/>
    <w:rsid w:val="004217BD"/>
    <w:rsid w:val="006240EC"/>
    <w:rsid w:val="00740AD2"/>
    <w:rsid w:val="007503A9"/>
    <w:rsid w:val="007F2160"/>
    <w:rsid w:val="00826D93"/>
    <w:rsid w:val="00955B66"/>
    <w:rsid w:val="00F27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6522F"/>
  <w15:chartTrackingRefBased/>
  <w15:docId w15:val="{966EAE0C-0FB1-49D0-8FE5-B3A01D56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73B6"/>
    <w:rPr>
      <w:rFonts w:ascii="Times New Roman" w:hAnsi="Times New Roman" w:cs="Times New Roman"/>
      <w:kern w:val="0"/>
      <w:sz w:val="20"/>
      <w:szCs w:val="20"/>
      <w:lang w:eastAsia="en-US"/>
    </w:rPr>
  </w:style>
  <w:style w:type="paragraph" w:styleId="1">
    <w:name w:val="heading 1"/>
    <w:basedOn w:val="a"/>
    <w:next w:val="a"/>
    <w:link w:val="10"/>
    <w:uiPriority w:val="9"/>
    <w:qFormat/>
    <w:rsid w:val="000673B6"/>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0673B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673B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673B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673B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0673B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673B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673B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673B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rsid w:val="000673B6"/>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0673B6"/>
  </w:style>
  <w:style w:type="character" w:customStyle="1" w:styleId="10">
    <w:name w:val="标题 1 字符"/>
    <w:basedOn w:val="a0"/>
    <w:link w:val="1"/>
    <w:uiPriority w:val="9"/>
    <w:rsid w:val="000673B6"/>
    <w:rPr>
      <w:rFonts w:ascii="Times New Roman" w:hAnsi="Times New Roman" w:cs="Times New Roman"/>
      <w:b/>
      <w:bCs/>
      <w:kern w:val="44"/>
      <w:sz w:val="44"/>
      <w:szCs w:val="44"/>
      <w:lang w:eastAsia="en-US"/>
    </w:rPr>
  </w:style>
  <w:style w:type="character" w:customStyle="1" w:styleId="20">
    <w:name w:val="标题 2 字符"/>
    <w:basedOn w:val="a0"/>
    <w:link w:val="2"/>
    <w:uiPriority w:val="9"/>
    <w:semiHidden/>
    <w:rsid w:val="000673B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673B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673B6"/>
    <w:rPr>
      <w:rFonts w:cstheme="majorBidi"/>
      <w:color w:val="0F4761" w:themeColor="accent1" w:themeShade="BF"/>
      <w:sz w:val="28"/>
      <w:szCs w:val="28"/>
    </w:rPr>
  </w:style>
  <w:style w:type="character" w:customStyle="1" w:styleId="50">
    <w:name w:val="标题 5 字符"/>
    <w:basedOn w:val="a0"/>
    <w:link w:val="5"/>
    <w:uiPriority w:val="9"/>
    <w:semiHidden/>
    <w:rsid w:val="000673B6"/>
    <w:rPr>
      <w:rFonts w:cstheme="majorBidi"/>
      <w:color w:val="0F4761" w:themeColor="accent1" w:themeShade="BF"/>
      <w:sz w:val="24"/>
      <w:szCs w:val="24"/>
    </w:rPr>
  </w:style>
  <w:style w:type="character" w:customStyle="1" w:styleId="60">
    <w:name w:val="标题 6 字符"/>
    <w:basedOn w:val="a0"/>
    <w:link w:val="6"/>
    <w:uiPriority w:val="9"/>
    <w:semiHidden/>
    <w:rsid w:val="000673B6"/>
    <w:rPr>
      <w:rFonts w:cstheme="majorBidi"/>
      <w:b/>
      <w:bCs/>
      <w:color w:val="0F4761" w:themeColor="accent1" w:themeShade="BF"/>
    </w:rPr>
  </w:style>
  <w:style w:type="character" w:customStyle="1" w:styleId="70">
    <w:name w:val="标题 7 字符"/>
    <w:basedOn w:val="a0"/>
    <w:link w:val="7"/>
    <w:uiPriority w:val="9"/>
    <w:semiHidden/>
    <w:rsid w:val="000673B6"/>
    <w:rPr>
      <w:rFonts w:cstheme="majorBidi"/>
      <w:b/>
      <w:bCs/>
      <w:color w:val="595959" w:themeColor="text1" w:themeTint="A6"/>
    </w:rPr>
  </w:style>
  <w:style w:type="character" w:customStyle="1" w:styleId="80">
    <w:name w:val="标题 8 字符"/>
    <w:basedOn w:val="a0"/>
    <w:link w:val="8"/>
    <w:uiPriority w:val="9"/>
    <w:semiHidden/>
    <w:rsid w:val="000673B6"/>
    <w:rPr>
      <w:rFonts w:cstheme="majorBidi"/>
      <w:color w:val="595959" w:themeColor="text1" w:themeTint="A6"/>
    </w:rPr>
  </w:style>
  <w:style w:type="character" w:customStyle="1" w:styleId="90">
    <w:name w:val="标题 9 字符"/>
    <w:basedOn w:val="a0"/>
    <w:link w:val="9"/>
    <w:uiPriority w:val="9"/>
    <w:semiHidden/>
    <w:rsid w:val="000673B6"/>
    <w:rPr>
      <w:rFonts w:eastAsiaTheme="majorEastAsia" w:cstheme="majorBidi"/>
      <w:color w:val="595959" w:themeColor="text1" w:themeTint="A6"/>
    </w:rPr>
  </w:style>
  <w:style w:type="paragraph" w:styleId="a3">
    <w:name w:val="Title"/>
    <w:basedOn w:val="a"/>
    <w:next w:val="a"/>
    <w:link w:val="a4"/>
    <w:uiPriority w:val="10"/>
    <w:qFormat/>
    <w:rsid w:val="000673B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673B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673B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673B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673B6"/>
    <w:pPr>
      <w:spacing w:before="160" w:after="160"/>
      <w:jc w:val="center"/>
    </w:pPr>
    <w:rPr>
      <w:i/>
      <w:iCs/>
      <w:color w:val="404040" w:themeColor="text1" w:themeTint="BF"/>
    </w:rPr>
  </w:style>
  <w:style w:type="character" w:customStyle="1" w:styleId="a8">
    <w:name w:val="引用 字符"/>
    <w:basedOn w:val="a0"/>
    <w:link w:val="a7"/>
    <w:uiPriority w:val="29"/>
    <w:rsid w:val="000673B6"/>
    <w:rPr>
      <w:i/>
      <w:iCs/>
      <w:color w:val="404040" w:themeColor="text1" w:themeTint="BF"/>
    </w:rPr>
  </w:style>
  <w:style w:type="paragraph" w:styleId="a9">
    <w:name w:val="List Paragraph"/>
    <w:basedOn w:val="a"/>
    <w:uiPriority w:val="34"/>
    <w:qFormat/>
    <w:rsid w:val="000673B6"/>
    <w:pPr>
      <w:ind w:left="720"/>
      <w:contextualSpacing/>
    </w:pPr>
  </w:style>
  <w:style w:type="character" w:styleId="aa">
    <w:name w:val="Intense Emphasis"/>
    <w:basedOn w:val="a0"/>
    <w:uiPriority w:val="21"/>
    <w:qFormat/>
    <w:rsid w:val="000673B6"/>
    <w:rPr>
      <w:i/>
      <w:iCs/>
      <w:color w:val="0F4761" w:themeColor="accent1" w:themeShade="BF"/>
    </w:rPr>
  </w:style>
  <w:style w:type="paragraph" w:styleId="ab">
    <w:name w:val="Intense Quote"/>
    <w:basedOn w:val="a"/>
    <w:next w:val="a"/>
    <w:link w:val="ac"/>
    <w:uiPriority w:val="30"/>
    <w:qFormat/>
    <w:rsid w:val="000673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673B6"/>
    <w:rPr>
      <w:i/>
      <w:iCs/>
      <w:color w:val="0F4761" w:themeColor="accent1" w:themeShade="BF"/>
    </w:rPr>
  </w:style>
  <w:style w:type="character" w:styleId="ad">
    <w:name w:val="Intense Reference"/>
    <w:basedOn w:val="a0"/>
    <w:uiPriority w:val="32"/>
    <w:qFormat/>
    <w:rsid w:val="000673B6"/>
    <w:rPr>
      <w:b/>
      <w:bCs/>
      <w:smallCaps/>
      <w:color w:val="0F4761" w:themeColor="accent1" w:themeShade="BF"/>
      <w:spacing w:val="5"/>
    </w:rPr>
  </w:style>
  <w:style w:type="paragraph" w:customStyle="1" w:styleId="BaseText">
    <w:name w:val="Base_Text"/>
    <w:link w:val="BaseText0"/>
    <w:rsid w:val="000673B6"/>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0673B6"/>
  </w:style>
  <w:style w:type="paragraph" w:customStyle="1" w:styleId="BaseHeading">
    <w:name w:val="Base_Heading"/>
    <w:rsid w:val="000673B6"/>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0673B6"/>
  </w:style>
  <w:style w:type="paragraph" w:customStyle="1" w:styleId="AbstractSummary">
    <w:name w:val="Abstract/Summary"/>
    <w:basedOn w:val="BaseText"/>
    <w:rsid w:val="000673B6"/>
  </w:style>
  <w:style w:type="paragraph" w:customStyle="1" w:styleId="Referencesandnotes">
    <w:name w:val="References and notes"/>
    <w:basedOn w:val="BaseText"/>
    <w:rsid w:val="000673B6"/>
    <w:pPr>
      <w:ind w:left="720" w:hanging="720"/>
    </w:pPr>
  </w:style>
  <w:style w:type="paragraph" w:customStyle="1" w:styleId="Acknowledgement">
    <w:name w:val="Acknowledgement"/>
    <w:basedOn w:val="Referencesandnotes"/>
    <w:rsid w:val="000673B6"/>
  </w:style>
  <w:style w:type="paragraph" w:customStyle="1" w:styleId="Subhead">
    <w:name w:val="Subhead"/>
    <w:basedOn w:val="BaseHeading"/>
    <w:rsid w:val="000673B6"/>
    <w:rPr>
      <w:b/>
      <w:bCs/>
      <w:sz w:val="24"/>
      <w:szCs w:val="24"/>
    </w:rPr>
  </w:style>
  <w:style w:type="paragraph" w:customStyle="1" w:styleId="AppendixHead">
    <w:name w:val="AppendixHead"/>
    <w:basedOn w:val="Subhead"/>
    <w:rsid w:val="000673B6"/>
  </w:style>
  <w:style w:type="paragraph" w:customStyle="1" w:styleId="AppendixSubhead">
    <w:name w:val="AppendixSubhead"/>
    <w:basedOn w:val="Subhead"/>
    <w:rsid w:val="000673B6"/>
  </w:style>
  <w:style w:type="paragraph" w:customStyle="1" w:styleId="Articletype">
    <w:name w:val="Article type"/>
    <w:basedOn w:val="BaseText"/>
    <w:rsid w:val="000673B6"/>
  </w:style>
  <w:style w:type="character" w:customStyle="1" w:styleId="aubase">
    <w:name w:val="au_base"/>
    <w:rsid w:val="000673B6"/>
    <w:rPr>
      <w:sz w:val="24"/>
    </w:rPr>
  </w:style>
  <w:style w:type="character" w:customStyle="1" w:styleId="aucollab">
    <w:name w:val="au_collab"/>
    <w:basedOn w:val="aubase"/>
    <w:rsid w:val="000673B6"/>
    <w:rPr>
      <w:sz w:val="24"/>
      <w:bdr w:val="none" w:sz="0" w:space="0" w:color="auto"/>
      <w:shd w:val="clear" w:color="auto" w:fill="C0C0C0"/>
    </w:rPr>
  </w:style>
  <w:style w:type="character" w:customStyle="1" w:styleId="audeg">
    <w:name w:val="au_deg"/>
    <w:basedOn w:val="a0"/>
    <w:rsid w:val="000673B6"/>
    <w:rPr>
      <w:sz w:val="24"/>
      <w:bdr w:val="none" w:sz="0" w:space="0" w:color="auto"/>
      <w:shd w:val="clear" w:color="auto" w:fill="FFFF00"/>
    </w:rPr>
  </w:style>
  <w:style w:type="character" w:customStyle="1" w:styleId="aufname">
    <w:name w:val="au_fname"/>
    <w:basedOn w:val="aubase"/>
    <w:rsid w:val="000673B6"/>
    <w:rPr>
      <w:sz w:val="24"/>
      <w:bdr w:val="none" w:sz="0" w:space="0" w:color="auto"/>
      <w:shd w:val="clear" w:color="auto" w:fill="00FFFF"/>
    </w:rPr>
  </w:style>
  <w:style w:type="character" w:customStyle="1" w:styleId="aurole">
    <w:name w:val="au_role"/>
    <w:basedOn w:val="aubase"/>
    <w:rsid w:val="000673B6"/>
    <w:rPr>
      <w:sz w:val="24"/>
      <w:bdr w:val="none" w:sz="0" w:space="0" w:color="auto"/>
      <w:shd w:val="clear" w:color="auto" w:fill="808000"/>
    </w:rPr>
  </w:style>
  <w:style w:type="character" w:customStyle="1" w:styleId="ausuffix">
    <w:name w:val="au_suffix"/>
    <w:basedOn w:val="aubase"/>
    <w:rsid w:val="000673B6"/>
    <w:rPr>
      <w:sz w:val="24"/>
      <w:bdr w:val="none" w:sz="0" w:space="0" w:color="auto"/>
      <w:shd w:val="clear" w:color="auto" w:fill="FF00FF"/>
    </w:rPr>
  </w:style>
  <w:style w:type="character" w:customStyle="1" w:styleId="ausurname">
    <w:name w:val="au_surname"/>
    <w:basedOn w:val="aubase"/>
    <w:rsid w:val="000673B6"/>
    <w:rPr>
      <w:sz w:val="24"/>
      <w:bdr w:val="none" w:sz="0" w:space="0" w:color="auto"/>
      <w:shd w:val="clear" w:color="auto" w:fill="00FF00"/>
    </w:rPr>
  </w:style>
  <w:style w:type="paragraph" w:customStyle="1" w:styleId="AuthorAttribute">
    <w:name w:val="Author Attribute"/>
    <w:basedOn w:val="BaseText"/>
    <w:rsid w:val="000673B6"/>
    <w:pPr>
      <w:spacing w:before="480"/>
    </w:pPr>
  </w:style>
  <w:style w:type="paragraph" w:customStyle="1" w:styleId="Footnote">
    <w:name w:val="Footnote"/>
    <w:basedOn w:val="BaseText"/>
    <w:rsid w:val="000673B6"/>
  </w:style>
  <w:style w:type="paragraph" w:customStyle="1" w:styleId="AuthorFootnote">
    <w:name w:val="AuthorFootnote"/>
    <w:basedOn w:val="Footnote"/>
    <w:rsid w:val="000673B6"/>
    <w:pPr>
      <w:autoSpaceDE w:val="0"/>
      <w:autoSpaceDN w:val="0"/>
      <w:adjustRightInd w:val="0"/>
    </w:pPr>
    <w:rPr>
      <w:lang w:bidi="he-IL"/>
    </w:rPr>
  </w:style>
  <w:style w:type="paragraph" w:customStyle="1" w:styleId="Authors">
    <w:name w:val="Authors"/>
    <w:basedOn w:val="BaseText"/>
    <w:rsid w:val="000673B6"/>
    <w:pPr>
      <w:spacing w:after="360"/>
      <w:jc w:val="center"/>
    </w:pPr>
  </w:style>
  <w:style w:type="paragraph" w:styleId="ae">
    <w:name w:val="Balloon Text"/>
    <w:basedOn w:val="a"/>
    <w:link w:val="af"/>
    <w:semiHidden/>
    <w:rsid w:val="000673B6"/>
    <w:rPr>
      <w:rFonts w:ascii="Lucida Grande" w:eastAsia="Times New Roman" w:hAnsi="Lucida Grande"/>
      <w:sz w:val="18"/>
      <w:szCs w:val="18"/>
    </w:rPr>
  </w:style>
  <w:style w:type="character" w:customStyle="1" w:styleId="af">
    <w:name w:val="批注框文本 字符"/>
    <w:basedOn w:val="a0"/>
    <w:link w:val="ae"/>
    <w:semiHidden/>
    <w:rsid w:val="000673B6"/>
    <w:rPr>
      <w:rFonts w:ascii="Lucida Grande" w:eastAsia="Times New Roman" w:hAnsi="Lucida Grande" w:cs="Times New Roman"/>
      <w:kern w:val="0"/>
      <w:sz w:val="18"/>
      <w:szCs w:val="18"/>
      <w:lang w:eastAsia="en-US"/>
    </w:rPr>
  </w:style>
  <w:style w:type="character" w:customStyle="1" w:styleId="bibarticle">
    <w:name w:val="bib_article"/>
    <w:basedOn w:val="a0"/>
    <w:rsid w:val="000673B6"/>
    <w:rPr>
      <w:sz w:val="24"/>
      <w:bdr w:val="none" w:sz="0" w:space="0" w:color="auto"/>
      <w:shd w:val="clear" w:color="auto" w:fill="00FFFF"/>
    </w:rPr>
  </w:style>
  <w:style w:type="character" w:customStyle="1" w:styleId="bibbase">
    <w:name w:val="bib_base"/>
    <w:rsid w:val="000673B6"/>
    <w:rPr>
      <w:sz w:val="24"/>
    </w:rPr>
  </w:style>
  <w:style w:type="character" w:customStyle="1" w:styleId="bibcomment">
    <w:name w:val="bib_comment"/>
    <w:basedOn w:val="bibbase"/>
    <w:rsid w:val="000673B6"/>
    <w:rPr>
      <w:sz w:val="24"/>
    </w:rPr>
  </w:style>
  <w:style w:type="character" w:customStyle="1" w:styleId="bibdeg">
    <w:name w:val="bib_deg"/>
    <w:basedOn w:val="bibbase"/>
    <w:rsid w:val="000673B6"/>
    <w:rPr>
      <w:sz w:val="24"/>
    </w:rPr>
  </w:style>
  <w:style w:type="character" w:customStyle="1" w:styleId="bibdoi">
    <w:name w:val="bib_doi"/>
    <w:basedOn w:val="bibbase"/>
    <w:rsid w:val="000673B6"/>
    <w:rPr>
      <w:sz w:val="24"/>
      <w:bdr w:val="none" w:sz="0" w:space="0" w:color="auto"/>
      <w:shd w:val="clear" w:color="auto" w:fill="00FF00"/>
    </w:rPr>
  </w:style>
  <w:style w:type="character" w:customStyle="1" w:styleId="bibetal">
    <w:name w:val="bib_etal"/>
    <w:basedOn w:val="bibbase"/>
    <w:rsid w:val="000673B6"/>
    <w:rPr>
      <w:sz w:val="24"/>
      <w:bdr w:val="none" w:sz="0" w:space="0" w:color="auto"/>
      <w:shd w:val="clear" w:color="auto" w:fill="008080"/>
    </w:rPr>
  </w:style>
  <w:style w:type="character" w:customStyle="1" w:styleId="bibfname">
    <w:name w:val="bib_fname"/>
    <w:basedOn w:val="bibbase"/>
    <w:rsid w:val="000673B6"/>
    <w:rPr>
      <w:sz w:val="24"/>
      <w:bdr w:val="none" w:sz="0" w:space="0" w:color="auto"/>
      <w:shd w:val="clear" w:color="auto" w:fill="FFFF00"/>
    </w:rPr>
  </w:style>
  <w:style w:type="character" w:customStyle="1" w:styleId="bibfpage">
    <w:name w:val="bib_fpage"/>
    <w:basedOn w:val="bibbase"/>
    <w:rsid w:val="000673B6"/>
    <w:rPr>
      <w:sz w:val="24"/>
      <w:bdr w:val="none" w:sz="0" w:space="0" w:color="auto"/>
      <w:shd w:val="clear" w:color="auto" w:fill="808080"/>
    </w:rPr>
  </w:style>
  <w:style w:type="character" w:customStyle="1" w:styleId="bibissue">
    <w:name w:val="bib_issue"/>
    <w:basedOn w:val="bibbase"/>
    <w:rsid w:val="000673B6"/>
    <w:rPr>
      <w:sz w:val="24"/>
      <w:bdr w:val="none" w:sz="0" w:space="0" w:color="auto"/>
      <w:shd w:val="clear" w:color="auto" w:fill="FFFF00"/>
    </w:rPr>
  </w:style>
  <w:style w:type="character" w:customStyle="1" w:styleId="bibjournal">
    <w:name w:val="bib_journal"/>
    <w:basedOn w:val="bibbase"/>
    <w:rsid w:val="000673B6"/>
    <w:rPr>
      <w:sz w:val="24"/>
      <w:bdr w:val="none" w:sz="0" w:space="0" w:color="auto"/>
      <w:shd w:val="clear" w:color="auto" w:fill="808000"/>
    </w:rPr>
  </w:style>
  <w:style w:type="character" w:customStyle="1" w:styleId="biblpage">
    <w:name w:val="bib_lpage"/>
    <w:basedOn w:val="bibbase"/>
    <w:rsid w:val="000673B6"/>
    <w:rPr>
      <w:sz w:val="24"/>
      <w:bdr w:val="none" w:sz="0" w:space="0" w:color="auto"/>
      <w:shd w:val="clear" w:color="auto" w:fill="808080"/>
    </w:rPr>
  </w:style>
  <w:style w:type="character" w:customStyle="1" w:styleId="bibmedline">
    <w:name w:val="bib_medline"/>
    <w:basedOn w:val="bibbase"/>
    <w:rsid w:val="000673B6"/>
    <w:rPr>
      <w:sz w:val="24"/>
    </w:rPr>
  </w:style>
  <w:style w:type="character" w:customStyle="1" w:styleId="bibnumber">
    <w:name w:val="bib_number"/>
    <w:basedOn w:val="bibbase"/>
    <w:rsid w:val="000673B6"/>
    <w:rPr>
      <w:sz w:val="24"/>
    </w:rPr>
  </w:style>
  <w:style w:type="character" w:customStyle="1" w:styleId="biborganization">
    <w:name w:val="bib_organization"/>
    <w:basedOn w:val="bibbase"/>
    <w:rsid w:val="000673B6"/>
    <w:rPr>
      <w:sz w:val="24"/>
      <w:bdr w:val="none" w:sz="0" w:space="0" w:color="auto"/>
      <w:shd w:val="clear" w:color="auto" w:fill="808000"/>
    </w:rPr>
  </w:style>
  <w:style w:type="character" w:customStyle="1" w:styleId="bibsuffix">
    <w:name w:val="bib_suffix"/>
    <w:basedOn w:val="bibbase"/>
    <w:rsid w:val="000673B6"/>
    <w:rPr>
      <w:sz w:val="24"/>
    </w:rPr>
  </w:style>
  <w:style w:type="character" w:customStyle="1" w:styleId="bibsuppl">
    <w:name w:val="bib_suppl"/>
    <w:basedOn w:val="bibbase"/>
    <w:rsid w:val="000673B6"/>
    <w:rPr>
      <w:sz w:val="24"/>
      <w:bdr w:val="none" w:sz="0" w:space="0" w:color="auto"/>
      <w:shd w:val="clear" w:color="auto" w:fill="FFFF00"/>
    </w:rPr>
  </w:style>
  <w:style w:type="character" w:customStyle="1" w:styleId="bibsurname">
    <w:name w:val="bib_surname"/>
    <w:basedOn w:val="bibbase"/>
    <w:rsid w:val="000673B6"/>
    <w:rPr>
      <w:sz w:val="24"/>
      <w:bdr w:val="none" w:sz="0" w:space="0" w:color="auto"/>
      <w:shd w:val="clear" w:color="auto" w:fill="FFFF00"/>
    </w:rPr>
  </w:style>
  <w:style w:type="character" w:customStyle="1" w:styleId="bibunpubl">
    <w:name w:val="bib_unpubl"/>
    <w:basedOn w:val="bibbase"/>
    <w:rsid w:val="000673B6"/>
    <w:rPr>
      <w:sz w:val="24"/>
    </w:rPr>
  </w:style>
  <w:style w:type="character" w:customStyle="1" w:styleId="biburl">
    <w:name w:val="bib_url"/>
    <w:basedOn w:val="bibbase"/>
    <w:rsid w:val="000673B6"/>
    <w:rPr>
      <w:sz w:val="24"/>
      <w:bdr w:val="none" w:sz="0" w:space="0" w:color="auto"/>
      <w:shd w:val="clear" w:color="auto" w:fill="00FF00"/>
    </w:rPr>
  </w:style>
  <w:style w:type="character" w:customStyle="1" w:styleId="bibvolume">
    <w:name w:val="bib_volume"/>
    <w:basedOn w:val="bibbase"/>
    <w:rsid w:val="000673B6"/>
    <w:rPr>
      <w:sz w:val="24"/>
      <w:bdr w:val="none" w:sz="0" w:space="0" w:color="auto"/>
      <w:shd w:val="clear" w:color="auto" w:fill="00FF00"/>
    </w:rPr>
  </w:style>
  <w:style w:type="character" w:customStyle="1" w:styleId="bibyear">
    <w:name w:val="bib_year"/>
    <w:basedOn w:val="bibbase"/>
    <w:rsid w:val="000673B6"/>
    <w:rPr>
      <w:sz w:val="24"/>
      <w:bdr w:val="none" w:sz="0" w:space="0" w:color="auto"/>
      <w:shd w:val="clear" w:color="auto" w:fill="FF00FF"/>
    </w:rPr>
  </w:style>
  <w:style w:type="paragraph" w:customStyle="1" w:styleId="BookorMeetingInformation">
    <w:name w:val="Book or Meeting Information"/>
    <w:basedOn w:val="BaseText"/>
    <w:rsid w:val="000673B6"/>
  </w:style>
  <w:style w:type="paragraph" w:customStyle="1" w:styleId="BookInformation">
    <w:name w:val="BookInformation"/>
    <w:basedOn w:val="BaseText"/>
    <w:rsid w:val="000673B6"/>
  </w:style>
  <w:style w:type="paragraph" w:customStyle="1" w:styleId="Level2Head">
    <w:name w:val="Level 2 Head"/>
    <w:basedOn w:val="BaseHeading"/>
    <w:rsid w:val="000673B6"/>
    <w:pPr>
      <w:outlineLvl w:val="1"/>
    </w:pPr>
    <w:rPr>
      <w:i/>
      <w:iCs/>
      <w:sz w:val="24"/>
      <w:szCs w:val="24"/>
    </w:rPr>
  </w:style>
  <w:style w:type="paragraph" w:customStyle="1" w:styleId="BoxLevel2Head">
    <w:name w:val="BoxLevel 2 Head"/>
    <w:basedOn w:val="Level2Head"/>
    <w:rsid w:val="000673B6"/>
    <w:pPr>
      <w:shd w:val="clear" w:color="auto" w:fill="E6E6E6"/>
    </w:pPr>
  </w:style>
  <w:style w:type="paragraph" w:customStyle="1" w:styleId="BoxListUnnumbered">
    <w:name w:val="BoxListUnnumbered"/>
    <w:basedOn w:val="BaseText"/>
    <w:rsid w:val="000673B6"/>
    <w:pPr>
      <w:shd w:val="clear" w:color="auto" w:fill="E6E6E6"/>
      <w:ind w:left="1080" w:hanging="360"/>
    </w:pPr>
  </w:style>
  <w:style w:type="paragraph" w:customStyle="1" w:styleId="BoxList">
    <w:name w:val="BoxList"/>
    <w:basedOn w:val="BoxListUnnumbered"/>
    <w:rsid w:val="000673B6"/>
  </w:style>
  <w:style w:type="paragraph" w:customStyle="1" w:styleId="BoxSubhead">
    <w:name w:val="BoxSubhead"/>
    <w:basedOn w:val="Subhead"/>
    <w:rsid w:val="000673B6"/>
    <w:pPr>
      <w:shd w:val="clear" w:color="auto" w:fill="E6E6E6"/>
    </w:pPr>
  </w:style>
  <w:style w:type="paragraph" w:customStyle="1" w:styleId="Paragraph">
    <w:name w:val="Paragraph"/>
    <w:basedOn w:val="BaseText"/>
    <w:link w:val="Paragraph0"/>
    <w:rsid w:val="000673B6"/>
    <w:pPr>
      <w:ind w:firstLine="720"/>
    </w:pPr>
  </w:style>
  <w:style w:type="paragraph" w:customStyle="1" w:styleId="BoxText">
    <w:name w:val="BoxText"/>
    <w:basedOn w:val="Paragraph"/>
    <w:rsid w:val="000673B6"/>
    <w:pPr>
      <w:shd w:val="clear" w:color="auto" w:fill="E6E6E6"/>
    </w:pPr>
  </w:style>
  <w:style w:type="paragraph" w:customStyle="1" w:styleId="BoxTitle">
    <w:name w:val="BoxTitle"/>
    <w:basedOn w:val="BaseHeading"/>
    <w:rsid w:val="000673B6"/>
    <w:pPr>
      <w:shd w:val="clear" w:color="auto" w:fill="E6E6E6"/>
    </w:pPr>
    <w:rPr>
      <w:b/>
      <w:sz w:val="24"/>
      <w:szCs w:val="24"/>
    </w:rPr>
  </w:style>
  <w:style w:type="paragraph" w:customStyle="1" w:styleId="BulletedText">
    <w:name w:val="Bulleted Text"/>
    <w:basedOn w:val="BaseText"/>
    <w:rsid w:val="000673B6"/>
    <w:pPr>
      <w:ind w:left="720" w:hanging="720"/>
    </w:pPr>
  </w:style>
  <w:style w:type="paragraph" w:customStyle="1" w:styleId="career-magazine">
    <w:name w:val="career-magazine"/>
    <w:basedOn w:val="BaseText"/>
    <w:rsid w:val="000673B6"/>
    <w:pPr>
      <w:jc w:val="right"/>
    </w:pPr>
    <w:rPr>
      <w:color w:val="FF0000"/>
    </w:rPr>
  </w:style>
  <w:style w:type="paragraph" w:customStyle="1" w:styleId="career-stage">
    <w:name w:val="career-stage"/>
    <w:basedOn w:val="BaseText"/>
    <w:rsid w:val="000673B6"/>
    <w:pPr>
      <w:jc w:val="right"/>
    </w:pPr>
    <w:rPr>
      <w:color w:val="339966"/>
    </w:rPr>
  </w:style>
  <w:style w:type="character" w:customStyle="1" w:styleId="citebase">
    <w:name w:val="cite_base"/>
    <w:rsid w:val="000673B6"/>
    <w:rPr>
      <w:sz w:val="24"/>
    </w:rPr>
  </w:style>
  <w:style w:type="character" w:customStyle="1" w:styleId="citebib">
    <w:name w:val="cite_bib"/>
    <w:basedOn w:val="a0"/>
    <w:rsid w:val="000673B6"/>
    <w:rPr>
      <w:sz w:val="24"/>
      <w:bdr w:val="none" w:sz="0" w:space="0" w:color="auto"/>
      <w:shd w:val="clear" w:color="auto" w:fill="00FFFF"/>
    </w:rPr>
  </w:style>
  <w:style w:type="character" w:customStyle="1" w:styleId="citebox">
    <w:name w:val="cite_box"/>
    <w:basedOn w:val="citebase"/>
    <w:rsid w:val="000673B6"/>
    <w:rPr>
      <w:sz w:val="24"/>
    </w:rPr>
  </w:style>
  <w:style w:type="character" w:customStyle="1" w:styleId="citeen">
    <w:name w:val="cite_en"/>
    <w:basedOn w:val="citebase"/>
    <w:rsid w:val="000673B6"/>
    <w:rPr>
      <w:sz w:val="24"/>
      <w:shd w:val="clear" w:color="auto" w:fill="FFFF00"/>
      <w:vertAlign w:val="superscript"/>
    </w:rPr>
  </w:style>
  <w:style w:type="character" w:customStyle="1" w:styleId="citeeq">
    <w:name w:val="cite_eq"/>
    <w:basedOn w:val="citebase"/>
    <w:rsid w:val="000673B6"/>
    <w:rPr>
      <w:sz w:val="24"/>
      <w:bdr w:val="none" w:sz="0" w:space="0" w:color="auto"/>
      <w:shd w:val="clear" w:color="auto" w:fill="FF99CC"/>
    </w:rPr>
  </w:style>
  <w:style w:type="character" w:customStyle="1" w:styleId="citefig">
    <w:name w:val="cite_fig"/>
    <w:basedOn w:val="citebase"/>
    <w:rsid w:val="000673B6"/>
    <w:rPr>
      <w:color w:val="000000"/>
      <w:sz w:val="24"/>
      <w:bdr w:val="none" w:sz="0" w:space="0" w:color="auto"/>
      <w:shd w:val="clear" w:color="auto" w:fill="00FF00"/>
    </w:rPr>
  </w:style>
  <w:style w:type="character" w:customStyle="1" w:styleId="citefn">
    <w:name w:val="cite_fn"/>
    <w:basedOn w:val="citebase"/>
    <w:rsid w:val="000673B6"/>
    <w:rPr>
      <w:sz w:val="24"/>
      <w:bdr w:val="none" w:sz="0" w:space="0" w:color="auto"/>
      <w:shd w:val="clear" w:color="auto" w:fill="FF0000"/>
    </w:rPr>
  </w:style>
  <w:style w:type="character" w:customStyle="1" w:styleId="citetbl">
    <w:name w:val="cite_tbl"/>
    <w:basedOn w:val="citebase"/>
    <w:rsid w:val="000673B6"/>
    <w:rPr>
      <w:color w:val="000000"/>
      <w:sz w:val="24"/>
      <w:bdr w:val="none" w:sz="0" w:space="0" w:color="auto"/>
      <w:shd w:val="clear" w:color="auto" w:fill="FF00FF"/>
    </w:rPr>
  </w:style>
  <w:style w:type="character" w:styleId="af0">
    <w:name w:val="annotation reference"/>
    <w:basedOn w:val="a0"/>
    <w:uiPriority w:val="99"/>
    <w:rsid w:val="000673B6"/>
    <w:rPr>
      <w:sz w:val="18"/>
      <w:szCs w:val="18"/>
    </w:rPr>
  </w:style>
  <w:style w:type="paragraph" w:styleId="af1">
    <w:name w:val="annotation text"/>
    <w:basedOn w:val="a"/>
    <w:link w:val="af2"/>
    <w:uiPriority w:val="99"/>
    <w:rsid w:val="000673B6"/>
    <w:rPr>
      <w:rFonts w:eastAsia="Times New Roman"/>
    </w:rPr>
  </w:style>
  <w:style w:type="character" w:customStyle="1" w:styleId="af2">
    <w:name w:val="批注文字 字符"/>
    <w:basedOn w:val="a0"/>
    <w:link w:val="af1"/>
    <w:uiPriority w:val="99"/>
    <w:rsid w:val="000673B6"/>
    <w:rPr>
      <w:rFonts w:ascii="Times New Roman" w:eastAsia="Times New Roman" w:hAnsi="Times New Roman" w:cs="Times New Roman"/>
      <w:kern w:val="0"/>
      <w:sz w:val="20"/>
      <w:szCs w:val="20"/>
      <w:lang w:eastAsia="en-US"/>
    </w:rPr>
  </w:style>
  <w:style w:type="paragraph" w:styleId="af3">
    <w:name w:val="annotation subject"/>
    <w:basedOn w:val="af1"/>
    <w:next w:val="af1"/>
    <w:link w:val="af4"/>
    <w:uiPriority w:val="99"/>
    <w:semiHidden/>
    <w:unhideWhenUsed/>
    <w:rsid w:val="000673B6"/>
    <w:rPr>
      <w:b/>
      <w:bCs/>
    </w:rPr>
  </w:style>
  <w:style w:type="character" w:customStyle="1" w:styleId="af4">
    <w:name w:val="批注主题 字符"/>
    <w:basedOn w:val="af2"/>
    <w:link w:val="af3"/>
    <w:uiPriority w:val="99"/>
    <w:semiHidden/>
    <w:rsid w:val="000673B6"/>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0673B6"/>
    <w:pPr>
      <w:ind w:firstLine="0"/>
    </w:pPr>
  </w:style>
  <w:style w:type="character" w:customStyle="1" w:styleId="ContractNumber">
    <w:name w:val="Contract Number"/>
    <w:basedOn w:val="a0"/>
    <w:rsid w:val="000673B6"/>
    <w:rPr>
      <w:sz w:val="24"/>
      <w:szCs w:val="24"/>
      <w:bdr w:val="none" w:sz="0" w:space="0" w:color="auto"/>
      <w:shd w:val="clear" w:color="auto" w:fill="CCFFCC"/>
    </w:rPr>
  </w:style>
  <w:style w:type="character" w:customStyle="1" w:styleId="ContractSponsor">
    <w:name w:val="Contract Sponsor"/>
    <w:basedOn w:val="a0"/>
    <w:rsid w:val="000673B6"/>
    <w:rPr>
      <w:sz w:val="24"/>
      <w:szCs w:val="24"/>
      <w:bdr w:val="none" w:sz="0" w:space="0" w:color="auto"/>
      <w:shd w:val="clear" w:color="auto" w:fill="FFCC99"/>
    </w:rPr>
  </w:style>
  <w:style w:type="paragraph" w:customStyle="1" w:styleId="Correspondence">
    <w:name w:val="Correspondence"/>
    <w:basedOn w:val="BaseText"/>
    <w:rsid w:val="000673B6"/>
    <w:pPr>
      <w:spacing w:before="0" w:after="240"/>
    </w:pPr>
  </w:style>
  <w:style w:type="paragraph" w:customStyle="1" w:styleId="DateAccepted">
    <w:name w:val="Date Accepted"/>
    <w:basedOn w:val="BaseText"/>
    <w:rsid w:val="000673B6"/>
    <w:pPr>
      <w:spacing w:before="360"/>
    </w:pPr>
  </w:style>
  <w:style w:type="paragraph" w:customStyle="1" w:styleId="Deck">
    <w:name w:val="Deck"/>
    <w:basedOn w:val="BaseHeading"/>
    <w:rsid w:val="000673B6"/>
    <w:pPr>
      <w:outlineLvl w:val="1"/>
    </w:pPr>
  </w:style>
  <w:style w:type="paragraph" w:customStyle="1" w:styleId="DefTerm">
    <w:name w:val="DefTerm"/>
    <w:basedOn w:val="BaseText"/>
    <w:rsid w:val="000673B6"/>
    <w:pPr>
      <w:ind w:left="720"/>
    </w:pPr>
  </w:style>
  <w:style w:type="paragraph" w:customStyle="1" w:styleId="Definition">
    <w:name w:val="Definition"/>
    <w:basedOn w:val="DefTerm"/>
    <w:rsid w:val="000673B6"/>
    <w:pPr>
      <w:ind w:left="1080" w:hanging="360"/>
    </w:pPr>
  </w:style>
  <w:style w:type="paragraph" w:customStyle="1" w:styleId="DefListTitle">
    <w:name w:val="DefListTitle"/>
    <w:basedOn w:val="BaseHeading"/>
    <w:rsid w:val="000673B6"/>
  </w:style>
  <w:style w:type="paragraph" w:customStyle="1" w:styleId="discipline">
    <w:name w:val="discipline"/>
    <w:basedOn w:val="BaseText"/>
    <w:rsid w:val="000673B6"/>
    <w:pPr>
      <w:jc w:val="right"/>
    </w:pPr>
    <w:rPr>
      <w:color w:val="993366"/>
    </w:rPr>
  </w:style>
  <w:style w:type="paragraph" w:customStyle="1" w:styleId="Editors">
    <w:name w:val="Editors"/>
    <w:basedOn w:val="Authors"/>
    <w:rsid w:val="000673B6"/>
  </w:style>
  <w:style w:type="character" w:styleId="af5">
    <w:name w:val="Emphasis"/>
    <w:basedOn w:val="a0"/>
    <w:uiPriority w:val="20"/>
    <w:qFormat/>
    <w:rsid w:val="000673B6"/>
    <w:rPr>
      <w:i/>
      <w:iCs/>
    </w:rPr>
  </w:style>
  <w:style w:type="character" w:styleId="af6">
    <w:name w:val="endnote reference"/>
    <w:basedOn w:val="a0"/>
    <w:semiHidden/>
    <w:rsid w:val="000673B6"/>
    <w:rPr>
      <w:vertAlign w:val="superscript"/>
    </w:rPr>
  </w:style>
  <w:style w:type="paragraph" w:styleId="af7">
    <w:name w:val="endnote text"/>
    <w:basedOn w:val="a"/>
    <w:link w:val="af8"/>
    <w:semiHidden/>
    <w:rsid w:val="000673B6"/>
    <w:rPr>
      <w:rFonts w:ascii="Cambria" w:eastAsia="Cambria" w:hAnsi="Cambria"/>
    </w:rPr>
  </w:style>
  <w:style w:type="character" w:customStyle="1" w:styleId="af8">
    <w:name w:val="尾注文本 字符"/>
    <w:basedOn w:val="a0"/>
    <w:link w:val="af7"/>
    <w:semiHidden/>
    <w:rsid w:val="000673B6"/>
    <w:rPr>
      <w:rFonts w:ascii="Cambria" w:eastAsia="Cambria" w:hAnsi="Cambria" w:cs="Times New Roman"/>
      <w:kern w:val="0"/>
      <w:sz w:val="20"/>
      <w:szCs w:val="20"/>
      <w:lang w:eastAsia="en-US"/>
    </w:rPr>
  </w:style>
  <w:style w:type="character" w:customStyle="1" w:styleId="eqno">
    <w:name w:val="eq_no"/>
    <w:basedOn w:val="citebase"/>
    <w:rsid w:val="000673B6"/>
    <w:rPr>
      <w:sz w:val="24"/>
    </w:rPr>
  </w:style>
  <w:style w:type="paragraph" w:customStyle="1" w:styleId="Equation">
    <w:name w:val="Equation"/>
    <w:basedOn w:val="BaseText"/>
    <w:rsid w:val="000673B6"/>
    <w:pPr>
      <w:jc w:val="center"/>
    </w:pPr>
  </w:style>
  <w:style w:type="paragraph" w:customStyle="1" w:styleId="FieldCodes">
    <w:name w:val="FieldCodes"/>
    <w:basedOn w:val="BaseText"/>
    <w:rsid w:val="000673B6"/>
  </w:style>
  <w:style w:type="paragraph" w:customStyle="1" w:styleId="Legend">
    <w:name w:val="Legend"/>
    <w:basedOn w:val="BaseHeading"/>
    <w:rsid w:val="000673B6"/>
    <w:rPr>
      <w:sz w:val="24"/>
      <w:szCs w:val="24"/>
    </w:rPr>
  </w:style>
  <w:style w:type="paragraph" w:customStyle="1" w:styleId="FigureCopyright">
    <w:name w:val="FigureCopyright"/>
    <w:basedOn w:val="Legend"/>
    <w:rsid w:val="000673B6"/>
    <w:pPr>
      <w:autoSpaceDE w:val="0"/>
      <w:autoSpaceDN w:val="0"/>
      <w:adjustRightInd w:val="0"/>
      <w:spacing w:before="80"/>
    </w:pPr>
    <w:rPr>
      <w:lang w:bidi="he-IL"/>
    </w:rPr>
  </w:style>
  <w:style w:type="paragraph" w:customStyle="1" w:styleId="FigureCredit">
    <w:name w:val="FigureCredit"/>
    <w:basedOn w:val="FigureCopyright"/>
    <w:rsid w:val="000673B6"/>
  </w:style>
  <w:style w:type="character" w:styleId="af9">
    <w:name w:val="FollowedHyperlink"/>
    <w:basedOn w:val="a0"/>
    <w:rsid w:val="000673B6"/>
    <w:rPr>
      <w:color w:val="800080"/>
      <w:u w:val="single"/>
    </w:rPr>
  </w:style>
  <w:style w:type="paragraph" w:styleId="afa">
    <w:name w:val="footer"/>
    <w:basedOn w:val="a"/>
    <w:link w:val="afb"/>
    <w:uiPriority w:val="99"/>
    <w:rsid w:val="000673B6"/>
    <w:pPr>
      <w:tabs>
        <w:tab w:val="center" w:pos="4320"/>
        <w:tab w:val="right" w:pos="8640"/>
      </w:tabs>
    </w:pPr>
    <w:rPr>
      <w:rFonts w:eastAsia="Times New Roman"/>
    </w:rPr>
  </w:style>
  <w:style w:type="character" w:customStyle="1" w:styleId="afb">
    <w:name w:val="页脚 字符"/>
    <w:basedOn w:val="a0"/>
    <w:link w:val="afa"/>
    <w:uiPriority w:val="99"/>
    <w:rsid w:val="000673B6"/>
    <w:rPr>
      <w:rFonts w:ascii="Times New Roman" w:eastAsia="Times New Roman" w:hAnsi="Times New Roman" w:cs="Times New Roman"/>
      <w:kern w:val="0"/>
      <w:sz w:val="20"/>
      <w:szCs w:val="20"/>
      <w:lang w:eastAsia="en-US"/>
    </w:rPr>
  </w:style>
  <w:style w:type="character" w:styleId="afc">
    <w:name w:val="footnote reference"/>
    <w:basedOn w:val="a0"/>
    <w:semiHidden/>
    <w:rsid w:val="000673B6"/>
    <w:rPr>
      <w:vertAlign w:val="superscript"/>
    </w:rPr>
  </w:style>
  <w:style w:type="paragraph" w:customStyle="1" w:styleId="Gloss">
    <w:name w:val="Gloss"/>
    <w:basedOn w:val="AbstractSummary"/>
    <w:rsid w:val="000673B6"/>
  </w:style>
  <w:style w:type="paragraph" w:customStyle="1" w:styleId="Glossary">
    <w:name w:val="Glossary"/>
    <w:basedOn w:val="BaseText"/>
    <w:rsid w:val="000673B6"/>
  </w:style>
  <w:style w:type="paragraph" w:customStyle="1" w:styleId="GlossHead">
    <w:name w:val="GlossHead"/>
    <w:basedOn w:val="AbstractHead"/>
    <w:rsid w:val="000673B6"/>
  </w:style>
  <w:style w:type="paragraph" w:customStyle="1" w:styleId="GraphicAltText">
    <w:name w:val="GraphicAltText"/>
    <w:basedOn w:val="Legend"/>
    <w:rsid w:val="000673B6"/>
    <w:pPr>
      <w:autoSpaceDE w:val="0"/>
      <w:autoSpaceDN w:val="0"/>
      <w:adjustRightInd w:val="0"/>
    </w:pPr>
  </w:style>
  <w:style w:type="paragraph" w:customStyle="1" w:styleId="GraphicCredit">
    <w:name w:val="GraphicCredit"/>
    <w:basedOn w:val="FigureCredit"/>
    <w:rsid w:val="000673B6"/>
  </w:style>
  <w:style w:type="paragraph" w:customStyle="1" w:styleId="Head">
    <w:name w:val="Head"/>
    <w:basedOn w:val="BaseHeading"/>
    <w:rsid w:val="000673B6"/>
    <w:pPr>
      <w:spacing w:before="120" w:after="120"/>
      <w:jc w:val="center"/>
    </w:pPr>
    <w:rPr>
      <w:b/>
      <w:bCs/>
    </w:rPr>
  </w:style>
  <w:style w:type="paragraph" w:styleId="afd">
    <w:name w:val="header"/>
    <w:basedOn w:val="a"/>
    <w:link w:val="afe"/>
    <w:rsid w:val="000673B6"/>
    <w:pPr>
      <w:tabs>
        <w:tab w:val="center" w:pos="4320"/>
        <w:tab w:val="right" w:pos="8640"/>
      </w:tabs>
    </w:pPr>
    <w:rPr>
      <w:rFonts w:eastAsia="Times New Roman"/>
    </w:rPr>
  </w:style>
  <w:style w:type="character" w:customStyle="1" w:styleId="afe">
    <w:name w:val="页眉 字符"/>
    <w:basedOn w:val="a0"/>
    <w:link w:val="afd"/>
    <w:rsid w:val="000673B6"/>
    <w:rPr>
      <w:rFonts w:ascii="Times New Roman" w:eastAsia="Times New Roman" w:hAnsi="Times New Roman" w:cs="Times New Roman"/>
      <w:kern w:val="0"/>
      <w:sz w:val="20"/>
      <w:szCs w:val="20"/>
      <w:lang w:eastAsia="en-US"/>
    </w:rPr>
  </w:style>
  <w:style w:type="character" w:styleId="HTML">
    <w:name w:val="HTML Acronym"/>
    <w:basedOn w:val="a0"/>
    <w:rsid w:val="000673B6"/>
  </w:style>
  <w:style w:type="character" w:styleId="HTML0">
    <w:name w:val="HTML Cite"/>
    <w:basedOn w:val="a0"/>
    <w:rsid w:val="000673B6"/>
    <w:rPr>
      <w:i/>
      <w:iCs/>
    </w:rPr>
  </w:style>
  <w:style w:type="character" w:styleId="HTML1">
    <w:name w:val="HTML Code"/>
    <w:basedOn w:val="a0"/>
    <w:rsid w:val="000673B6"/>
    <w:rPr>
      <w:rFonts w:ascii="Courier New" w:hAnsi="Courier New" w:cs="Courier New"/>
      <w:sz w:val="20"/>
      <w:szCs w:val="20"/>
    </w:rPr>
  </w:style>
  <w:style w:type="character" w:styleId="HTML2">
    <w:name w:val="HTML Definition"/>
    <w:basedOn w:val="a0"/>
    <w:rsid w:val="000673B6"/>
    <w:rPr>
      <w:i/>
      <w:iCs/>
    </w:rPr>
  </w:style>
  <w:style w:type="character" w:styleId="HTML3">
    <w:name w:val="HTML Keyboard"/>
    <w:basedOn w:val="a0"/>
    <w:rsid w:val="000673B6"/>
    <w:rPr>
      <w:rFonts w:ascii="Courier New" w:hAnsi="Courier New" w:cs="Courier New"/>
      <w:sz w:val="20"/>
      <w:szCs w:val="20"/>
    </w:rPr>
  </w:style>
  <w:style w:type="paragraph" w:styleId="HTML4">
    <w:name w:val="HTML Preformatted"/>
    <w:basedOn w:val="a"/>
    <w:link w:val="HTML5"/>
    <w:rsid w:val="000673B6"/>
    <w:rPr>
      <w:rFonts w:ascii="Consolas" w:eastAsia="Times New Roman" w:hAnsi="Consolas"/>
    </w:rPr>
  </w:style>
  <w:style w:type="character" w:customStyle="1" w:styleId="HTML5">
    <w:name w:val="HTML 预设格式 字符"/>
    <w:basedOn w:val="a0"/>
    <w:link w:val="HTML4"/>
    <w:rsid w:val="000673B6"/>
    <w:rPr>
      <w:rFonts w:ascii="Consolas" w:eastAsia="Times New Roman" w:hAnsi="Consolas" w:cs="Times New Roman"/>
      <w:kern w:val="0"/>
      <w:sz w:val="20"/>
      <w:szCs w:val="20"/>
      <w:lang w:eastAsia="en-US"/>
    </w:rPr>
  </w:style>
  <w:style w:type="character" w:styleId="HTML6">
    <w:name w:val="HTML Sample"/>
    <w:basedOn w:val="a0"/>
    <w:rsid w:val="000673B6"/>
    <w:rPr>
      <w:rFonts w:ascii="Courier New" w:hAnsi="Courier New" w:cs="Courier New"/>
    </w:rPr>
  </w:style>
  <w:style w:type="character" w:styleId="HTML7">
    <w:name w:val="HTML Typewriter"/>
    <w:basedOn w:val="a0"/>
    <w:rsid w:val="000673B6"/>
    <w:rPr>
      <w:rFonts w:ascii="Courier New" w:hAnsi="Courier New" w:cs="Courier New"/>
      <w:sz w:val="20"/>
      <w:szCs w:val="20"/>
    </w:rPr>
  </w:style>
  <w:style w:type="character" w:styleId="HTML8">
    <w:name w:val="HTML Variable"/>
    <w:basedOn w:val="a0"/>
    <w:rsid w:val="000673B6"/>
    <w:rPr>
      <w:i/>
      <w:iCs/>
    </w:rPr>
  </w:style>
  <w:style w:type="character" w:styleId="aff">
    <w:name w:val="Hyperlink"/>
    <w:basedOn w:val="a0"/>
    <w:uiPriority w:val="99"/>
    <w:rsid w:val="000673B6"/>
    <w:rPr>
      <w:color w:val="0000FF"/>
      <w:u w:val="single"/>
    </w:rPr>
  </w:style>
  <w:style w:type="paragraph" w:customStyle="1" w:styleId="InstructionsText">
    <w:name w:val="Instructions Text"/>
    <w:basedOn w:val="BaseText"/>
    <w:rsid w:val="000673B6"/>
  </w:style>
  <w:style w:type="paragraph" w:customStyle="1" w:styleId="Overline">
    <w:name w:val="Overline"/>
    <w:basedOn w:val="BaseText"/>
    <w:rsid w:val="000673B6"/>
  </w:style>
  <w:style w:type="paragraph" w:customStyle="1" w:styleId="IssueName">
    <w:name w:val="IssueName"/>
    <w:basedOn w:val="Overline"/>
    <w:rsid w:val="000673B6"/>
  </w:style>
  <w:style w:type="paragraph" w:customStyle="1" w:styleId="Keywords">
    <w:name w:val="Keywords"/>
    <w:basedOn w:val="BaseText"/>
    <w:rsid w:val="000673B6"/>
  </w:style>
  <w:style w:type="paragraph" w:customStyle="1" w:styleId="Level3Head">
    <w:name w:val="Level 3 Head"/>
    <w:basedOn w:val="BaseHeading"/>
    <w:rsid w:val="000673B6"/>
    <w:pPr>
      <w:outlineLvl w:val="2"/>
    </w:pPr>
    <w:rPr>
      <w:sz w:val="24"/>
      <w:szCs w:val="24"/>
      <w:u w:val="single"/>
    </w:rPr>
  </w:style>
  <w:style w:type="paragraph" w:customStyle="1" w:styleId="Level4Head">
    <w:name w:val="Level 4 Head"/>
    <w:basedOn w:val="BaseHeading"/>
    <w:rsid w:val="000673B6"/>
    <w:pPr>
      <w:ind w:left="346"/>
    </w:pPr>
    <w:rPr>
      <w:sz w:val="24"/>
      <w:szCs w:val="24"/>
    </w:rPr>
  </w:style>
  <w:style w:type="character" w:styleId="aff0">
    <w:name w:val="line number"/>
    <w:basedOn w:val="a0"/>
    <w:rsid w:val="000673B6"/>
  </w:style>
  <w:style w:type="paragraph" w:customStyle="1" w:styleId="Literaryquote">
    <w:name w:val="Literary quote"/>
    <w:basedOn w:val="BaseText"/>
    <w:rsid w:val="000673B6"/>
    <w:pPr>
      <w:ind w:left="1440" w:right="1440"/>
    </w:pPr>
  </w:style>
  <w:style w:type="paragraph" w:customStyle="1" w:styleId="MaterialsText">
    <w:name w:val="Materials Text"/>
    <w:basedOn w:val="BaseText"/>
    <w:rsid w:val="000673B6"/>
  </w:style>
  <w:style w:type="paragraph" w:customStyle="1" w:styleId="NoteInProof">
    <w:name w:val="NoteInProof"/>
    <w:basedOn w:val="BaseText"/>
    <w:rsid w:val="000673B6"/>
  </w:style>
  <w:style w:type="paragraph" w:customStyle="1" w:styleId="Notes">
    <w:name w:val="Notes"/>
    <w:basedOn w:val="BaseText"/>
    <w:rsid w:val="000673B6"/>
    <w:rPr>
      <w:i/>
    </w:rPr>
  </w:style>
  <w:style w:type="paragraph" w:customStyle="1" w:styleId="Notes-Helvetica">
    <w:name w:val="Notes-Helvetica"/>
    <w:basedOn w:val="BaseText"/>
    <w:rsid w:val="000673B6"/>
    <w:rPr>
      <w:i/>
    </w:rPr>
  </w:style>
  <w:style w:type="paragraph" w:customStyle="1" w:styleId="NumberedInstructions">
    <w:name w:val="Numbered Instructions"/>
    <w:basedOn w:val="BaseText"/>
    <w:rsid w:val="000673B6"/>
  </w:style>
  <w:style w:type="paragraph" w:customStyle="1" w:styleId="OutlineLevel1">
    <w:name w:val="OutlineLevel1"/>
    <w:basedOn w:val="BaseHeading"/>
    <w:rsid w:val="000673B6"/>
    <w:rPr>
      <w:b/>
      <w:bCs/>
    </w:rPr>
  </w:style>
  <w:style w:type="paragraph" w:customStyle="1" w:styleId="OutlineLevel2">
    <w:name w:val="OutlineLevel2"/>
    <w:basedOn w:val="BaseHeading"/>
    <w:rsid w:val="000673B6"/>
    <w:pPr>
      <w:ind w:left="360"/>
      <w:outlineLvl w:val="1"/>
    </w:pPr>
    <w:rPr>
      <w:b/>
      <w:bCs/>
      <w:sz w:val="24"/>
      <w:szCs w:val="24"/>
    </w:rPr>
  </w:style>
  <w:style w:type="paragraph" w:customStyle="1" w:styleId="OutlineLevel3">
    <w:name w:val="OutlineLevel3"/>
    <w:basedOn w:val="BaseHeading"/>
    <w:rsid w:val="000673B6"/>
    <w:pPr>
      <w:ind w:left="720"/>
      <w:outlineLvl w:val="2"/>
    </w:pPr>
    <w:rPr>
      <w:b/>
      <w:bCs/>
      <w:sz w:val="24"/>
      <w:szCs w:val="24"/>
    </w:rPr>
  </w:style>
  <w:style w:type="character" w:styleId="aff1">
    <w:name w:val="page number"/>
    <w:basedOn w:val="a0"/>
    <w:rsid w:val="000673B6"/>
  </w:style>
  <w:style w:type="paragraph" w:customStyle="1" w:styleId="Preformat">
    <w:name w:val="Preformat"/>
    <w:basedOn w:val="BaseText"/>
    <w:rsid w:val="000673B6"/>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0673B6"/>
  </w:style>
  <w:style w:type="paragraph" w:customStyle="1" w:styleId="ProductInformation">
    <w:name w:val="ProductInformation"/>
    <w:basedOn w:val="BaseText"/>
    <w:rsid w:val="000673B6"/>
  </w:style>
  <w:style w:type="paragraph" w:customStyle="1" w:styleId="ProductTitle">
    <w:name w:val="ProductTitle"/>
    <w:basedOn w:val="BaseText"/>
    <w:rsid w:val="000673B6"/>
    <w:rPr>
      <w:b/>
      <w:bCs/>
    </w:rPr>
  </w:style>
  <w:style w:type="paragraph" w:customStyle="1" w:styleId="PublishedOnline">
    <w:name w:val="Published Online"/>
    <w:basedOn w:val="DateAccepted"/>
    <w:rsid w:val="000673B6"/>
  </w:style>
  <w:style w:type="paragraph" w:customStyle="1" w:styleId="RecipeMaterials">
    <w:name w:val="Recipe Materials"/>
    <w:basedOn w:val="BaseText"/>
    <w:rsid w:val="000673B6"/>
  </w:style>
  <w:style w:type="paragraph" w:customStyle="1" w:styleId="Refhead">
    <w:name w:val="Ref head"/>
    <w:basedOn w:val="BaseHeading"/>
    <w:rsid w:val="000673B6"/>
    <w:pPr>
      <w:spacing w:before="120" w:after="120"/>
    </w:pPr>
    <w:rPr>
      <w:b/>
      <w:bCs/>
      <w:sz w:val="24"/>
      <w:szCs w:val="24"/>
    </w:rPr>
  </w:style>
  <w:style w:type="paragraph" w:customStyle="1" w:styleId="ReferenceNote">
    <w:name w:val="Reference Note"/>
    <w:basedOn w:val="Referencesandnotes"/>
    <w:rsid w:val="000673B6"/>
  </w:style>
  <w:style w:type="paragraph" w:customStyle="1" w:styleId="ReferencesandnotesLong">
    <w:name w:val="References and notes Long"/>
    <w:basedOn w:val="BaseText"/>
    <w:rsid w:val="000673B6"/>
    <w:pPr>
      <w:ind w:left="720" w:hanging="720"/>
    </w:pPr>
  </w:style>
  <w:style w:type="paragraph" w:customStyle="1" w:styleId="region">
    <w:name w:val="region"/>
    <w:basedOn w:val="BaseText"/>
    <w:rsid w:val="000673B6"/>
    <w:pPr>
      <w:jc w:val="right"/>
    </w:pPr>
    <w:rPr>
      <w:color w:val="0000FF"/>
    </w:rPr>
  </w:style>
  <w:style w:type="paragraph" w:customStyle="1" w:styleId="RelatedArticle">
    <w:name w:val="RelatedArticle"/>
    <w:basedOn w:val="Referencesandnotes"/>
    <w:rsid w:val="000673B6"/>
  </w:style>
  <w:style w:type="paragraph" w:customStyle="1" w:styleId="RunHead">
    <w:name w:val="RunHead"/>
    <w:basedOn w:val="BaseText"/>
    <w:rsid w:val="000673B6"/>
  </w:style>
  <w:style w:type="paragraph" w:customStyle="1" w:styleId="SOMContent">
    <w:name w:val="SOMContent"/>
    <w:basedOn w:val="1stparatext"/>
    <w:rsid w:val="000673B6"/>
  </w:style>
  <w:style w:type="paragraph" w:customStyle="1" w:styleId="SOMHead">
    <w:name w:val="SOMHead"/>
    <w:basedOn w:val="BaseHeading"/>
    <w:rsid w:val="000673B6"/>
    <w:rPr>
      <w:b/>
      <w:sz w:val="24"/>
      <w:szCs w:val="24"/>
    </w:rPr>
  </w:style>
  <w:style w:type="paragraph" w:customStyle="1" w:styleId="Speaker">
    <w:name w:val="Speaker"/>
    <w:basedOn w:val="Paragraph"/>
    <w:rsid w:val="000673B6"/>
    <w:pPr>
      <w:autoSpaceDE w:val="0"/>
      <w:autoSpaceDN w:val="0"/>
      <w:adjustRightInd w:val="0"/>
    </w:pPr>
    <w:rPr>
      <w:b/>
      <w:lang w:bidi="he-IL"/>
    </w:rPr>
  </w:style>
  <w:style w:type="paragraph" w:customStyle="1" w:styleId="Speech">
    <w:name w:val="Speech"/>
    <w:basedOn w:val="Paragraph"/>
    <w:rsid w:val="000673B6"/>
    <w:pPr>
      <w:autoSpaceDE w:val="0"/>
      <w:autoSpaceDN w:val="0"/>
      <w:adjustRightInd w:val="0"/>
    </w:pPr>
    <w:rPr>
      <w:lang w:bidi="he-IL"/>
    </w:rPr>
  </w:style>
  <w:style w:type="character" w:styleId="aff2">
    <w:name w:val="Strong"/>
    <w:basedOn w:val="a0"/>
    <w:uiPriority w:val="22"/>
    <w:qFormat/>
    <w:rsid w:val="000673B6"/>
    <w:rPr>
      <w:b/>
      <w:bCs/>
    </w:rPr>
  </w:style>
  <w:style w:type="paragraph" w:customStyle="1" w:styleId="SX-Abstract">
    <w:name w:val="SX-Abstract"/>
    <w:basedOn w:val="a"/>
    <w:qFormat/>
    <w:rsid w:val="000673B6"/>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0673B6"/>
    <w:pPr>
      <w:spacing w:after="160" w:line="190" w:lineRule="exact"/>
    </w:pPr>
    <w:rPr>
      <w:rFonts w:ascii="BlissRegular" w:eastAsia="Times New Roman" w:hAnsi="BlissRegular"/>
      <w:sz w:val="16"/>
    </w:rPr>
  </w:style>
  <w:style w:type="paragraph" w:customStyle="1" w:styleId="SX-Articlehead">
    <w:name w:val="SX-Article head"/>
    <w:basedOn w:val="a"/>
    <w:qFormat/>
    <w:rsid w:val="000673B6"/>
    <w:pPr>
      <w:spacing w:before="210" w:line="210" w:lineRule="exact"/>
      <w:ind w:firstLine="288"/>
      <w:jc w:val="both"/>
    </w:pPr>
    <w:rPr>
      <w:rFonts w:eastAsia="Times New Roman"/>
      <w:b/>
      <w:sz w:val="18"/>
    </w:rPr>
  </w:style>
  <w:style w:type="paragraph" w:customStyle="1" w:styleId="SX-Authornames">
    <w:name w:val="SX-Author names"/>
    <w:basedOn w:val="a"/>
    <w:rsid w:val="000673B6"/>
    <w:pPr>
      <w:spacing w:after="120" w:line="210" w:lineRule="exact"/>
    </w:pPr>
    <w:rPr>
      <w:rFonts w:ascii="BlissMedium" w:eastAsia="Times New Roman" w:hAnsi="BlissMedium"/>
    </w:rPr>
  </w:style>
  <w:style w:type="paragraph" w:customStyle="1" w:styleId="SX-Bodytext">
    <w:name w:val="SX-Body text"/>
    <w:basedOn w:val="a"/>
    <w:next w:val="a"/>
    <w:rsid w:val="000673B6"/>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0673B6"/>
    <w:pPr>
      <w:ind w:firstLine="0"/>
    </w:pPr>
  </w:style>
  <w:style w:type="paragraph" w:customStyle="1" w:styleId="SX-Correspondence">
    <w:name w:val="SX-Correspondence"/>
    <w:basedOn w:val="SX-Affiliation"/>
    <w:qFormat/>
    <w:rsid w:val="000673B6"/>
    <w:pPr>
      <w:spacing w:after="80"/>
    </w:pPr>
  </w:style>
  <w:style w:type="paragraph" w:customStyle="1" w:styleId="SX-Date">
    <w:name w:val="SX-Date"/>
    <w:basedOn w:val="a"/>
    <w:qFormat/>
    <w:rsid w:val="000673B6"/>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0673B6"/>
    <w:pPr>
      <w:autoSpaceDE w:val="0"/>
      <w:autoSpaceDN w:val="0"/>
      <w:adjustRightInd w:val="0"/>
      <w:spacing w:line="240" w:lineRule="auto"/>
      <w:jc w:val="center"/>
    </w:pPr>
  </w:style>
  <w:style w:type="paragraph" w:customStyle="1" w:styleId="SX-Legend">
    <w:name w:val="SX-Legend"/>
    <w:basedOn w:val="SX-Authornames"/>
    <w:rsid w:val="000673B6"/>
    <w:pPr>
      <w:jc w:val="both"/>
    </w:pPr>
    <w:rPr>
      <w:sz w:val="18"/>
    </w:rPr>
  </w:style>
  <w:style w:type="paragraph" w:customStyle="1" w:styleId="SX-References">
    <w:name w:val="SX-References"/>
    <w:basedOn w:val="a"/>
    <w:rsid w:val="000673B6"/>
    <w:pPr>
      <w:spacing w:line="190" w:lineRule="exact"/>
      <w:ind w:left="245" w:hanging="245"/>
      <w:jc w:val="both"/>
    </w:pPr>
    <w:rPr>
      <w:rFonts w:eastAsia="Times New Roman"/>
      <w:sz w:val="16"/>
    </w:rPr>
  </w:style>
  <w:style w:type="paragraph" w:customStyle="1" w:styleId="SX-RefHead">
    <w:name w:val="SX-RefHead"/>
    <w:basedOn w:val="a"/>
    <w:rsid w:val="000673B6"/>
    <w:pPr>
      <w:spacing w:before="200" w:line="190" w:lineRule="exact"/>
    </w:pPr>
    <w:rPr>
      <w:rFonts w:eastAsia="Times New Roman"/>
      <w:b/>
      <w:sz w:val="16"/>
    </w:rPr>
  </w:style>
  <w:style w:type="character" w:customStyle="1" w:styleId="SX-reflink">
    <w:name w:val="SX-reflink"/>
    <w:basedOn w:val="a0"/>
    <w:uiPriority w:val="1"/>
    <w:qFormat/>
    <w:rsid w:val="000673B6"/>
    <w:rPr>
      <w:color w:val="0000FF"/>
      <w:sz w:val="16"/>
      <w:u w:val="words"/>
      <w:bdr w:val="none" w:sz="0" w:space="0" w:color="auto"/>
      <w:shd w:val="clear" w:color="auto" w:fill="FFFFFF"/>
    </w:rPr>
  </w:style>
  <w:style w:type="paragraph" w:customStyle="1" w:styleId="SX-SOMHead">
    <w:name w:val="SX-SOMHead"/>
    <w:basedOn w:val="SX-RefHead"/>
    <w:rsid w:val="000673B6"/>
  </w:style>
  <w:style w:type="paragraph" w:customStyle="1" w:styleId="SX-Tablehead">
    <w:name w:val="SX-Tablehead"/>
    <w:basedOn w:val="a"/>
    <w:qFormat/>
    <w:rsid w:val="000673B6"/>
    <w:rPr>
      <w:rFonts w:eastAsia="Times New Roman"/>
      <w:szCs w:val="24"/>
    </w:rPr>
  </w:style>
  <w:style w:type="paragraph" w:customStyle="1" w:styleId="SX-Tablelegend">
    <w:name w:val="SX-Tablelegend"/>
    <w:basedOn w:val="a"/>
    <w:qFormat/>
    <w:rsid w:val="000673B6"/>
    <w:pPr>
      <w:spacing w:line="190" w:lineRule="exact"/>
      <w:ind w:left="245" w:hanging="245"/>
      <w:jc w:val="both"/>
    </w:pPr>
    <w:rPr>
      <w:rFonts w:eastAsia="Times New Roman"/>
      <w:sz w:val="16"/>
    </w:rPr>
  </w:style>
  <w:style w:type="paragraph" w:customStyle="1" w:styleId="SX-Tabletext">
    <w:name w:val="SX-Tabletext"/>
    <w:basedOn w:val="a"/>
    <w:qFormat/>
    <w:rsid w:val="000673B6"/>
    <w:pPr>
      <w:spacing w:line="210" w:lineRule="exact"/>
      <w:jc w:val="center"/>
    </w:pPr>
    <w:rPr>
      <w:rFonts w:eastAsia="Times New Roman"/>
      <w:sz w:val="18"/>
    </w:rPr>
  </w:style>
  <w:style w:type="paragraph" w:customStyle="1" w:styleId="SX-Tabletitle">
    <w:name w:val="SX-Tabletitle"/>
    <w:basedOn w:val="a"/>
    <w:qFormat/>
    <w:rsid w:val="000673B6"/>
    <w:pPr>
      <w:spacing w:after="120" w:line="210" w:lineRule="exact"/>
      <w:jc w:val="both"/>
    </w:pPr>
    <w:rPr>
      <w:rFonts w:ascii="BlissMedium" w:eastAsia="Times New Roman" w:hAnsi="BlissMedium"/>
      <w:sz w:val="18"/>
    </w:rPr>
  </w:style>
  <w:style w:type="paragraph" w:customStyle="1" w:styleId="SX-Title">
    <w:name w:val="SX-Title"/>
    <w:basedOn w:val="a"/>
    <w:rsid w:val="000673B6"/>
    <w:pPr>
      <w:spacing w:after="240" w:line="500" w:lineRule="exact"/>
    </w:pPr>
    <w:rPr>
      <w:rFonts w:ascii="BlissBold" w:eastAsia="Times New Roman" w:hAnsi="BlissBold"/>
      <w:b/>
      <w:sz w:val="44"/>
    </w:rPr>
  </w:style>
  <w:style w:type="paragraph" w:customStyle="1" w:styleId="Tablecolumnhead">
    <w:name w:val="Table column head"/>
    <w:basedOn w:val="BaseText"/>
    <w:rsid w:val="000673B6"/>
    <w:pPr>
      <w:spacing w:before="0"/>
    </w:pPr>
  </w:style>
  <w:style w:type="paragraph" w:customStyle="1" w:styleId="Tabletext">
    <w:name w:val="Table text"/>
    <w:basedOn w:val="BaseText"/>
    <w:rsid w:val="000673B6"/>
    <w:pPr>
      <w:spacing w:before="0"/>
    </w:pPr>
  </w:style>
  <w:style w:type="paragraph" w:customStyle="1" w:styleId="TableLegend">
    <w:name w:val="TableLegend"/>
    <w:basedOn w:val="BaseText"/>
    <w:rsid w:val="000673B6"/>
    <w:pPr>
      <w:spacing w:before="0"/>
    </w:pPr>
  </w:style>
  <w:style w:type="paragraph" w:customStyle="1" w:styleId="TableTitle">
    <w:name w:val="TableTitle"/>
    <w:basedOn w:val="BaseHeading"/>
    <w:rsid w:val="000673B6"/>
  </w:style>
  <w:style w:type="paragraph" w:customStyle="1" w:styleId="Teaser">
    <w:name w:val="Teaser"/>
    <w:basedOn w:val="BaseText"/>
    <w:rsid w:val="000673B6"/>
  </w:style>
  <w:style w:type="paragraph" w:customStyle="1" w:styleId="TWIS">
    <w:name w:val="TWIS"/>
    <w:basedOn w:val="AbstractSummary"/>
    <w:rsid w:val="000673B6"/>
    <w:pPr>
      <w:autoSpaceDE w:val="0"/>
      <w:autoSpaceDN w:val="0"/>
      <w:adjustRightInd w:val="0"/>
    </w:pPr>
  </w:style>
  <w:style w:type="paragraph" w:customStyle="1" w:styleId="TWISorEC">
    <w:name w:val="TWIS or EC"/>
    <w:basedOn w:val="a"/>
    <w:rsid w:val="000673B6"/>
    <w:pPr>
      <w:spacing w:line="210" w:lineRule="exact"/>
    </w:pPr>
    <w:rPr>
      <w:rFonts w:ascii="BlissRegular" w:eastAsia="Times New Roman" w:hAnsi="BlissRegular"/>
      <w:sz w:val="19"/>
    </w:rPr>
  </w:style>
  <w:style w:type="paragraph" w:customStyle="1" w:styleId="work-sector">
    <w:name w:val="work-sector"/>
    <w:basedOn w:val="BaseText"/>
    <w:rsid w:val="000673B6"/>
    <w:pPr>
      <w:jc w:val="right"/>
    </w:pPr>
    <w:rPr>
      <w:color w:val="003300"/>
    </w:rPr>
  </w:style>
  <w:style w:type="paragraph" w:customStyle="1" w:styleId="DOI">
    <w:name w:val="DOI"/>
    <w:basedOn w:val="DateAccepted"/>
    <w:qFormat/>
    <w:rsid w:val="000673B6"/>
  </w:style>
  <w:style w:type="character" w:styleId="aff3">
    <w:name w:val="Unresolved Mention"/>
    <w:basedOn w:val="a0"/>
    <w:uiPriority w:val="99"/>
    <w:semiHidden/>
    <w:unhideWhenUsed/>
    <w:rsid w:val="000673B6"/>
    <w:rPr>
      <w:color w:val="808080"/>
      <w:shd w:val="clear" w:color="auto" w:fill="E6E6E6"/>
    </w:rPr>
  </w:style>
  <w:style w:type="paragraph" w:customStyle="1" w:styleId="acknowledgement0">
    <w:name w:val="acknowledgement"/>
    <w:basedOn w:val="a"/>
    <w:rsid w:val="000673B6"/>
    <w:pPr>
      <w:spacing w:before="100" w:beforeAutospacing="1" w:after="100" w:afterAutospacing="1"/>
    </w:pPr>
    <w:rPr>
      <w:rFonts w:eastAsia="Times New Roman"/>
      <w:sz w:val="24"/>
      <w:szCs w:val="24"/>
    </w:rPr>
  </w:style>
  <w:style w:type="character" w:customStyle="1" w:styleId="apple-converted-space">
    <w:name w:val="apple-converted-space"/>
    <w:basedOn w:val="a0"/>
    <w:rsid w:val="000673B6"/>
  </w:style>
  <w:style w:type="paragraph" w:styleId="aff4">
    <w:name w:val="Revision"/>
    <w:hidden/>
    <w:uiPriority w:val="71"/>
    <w:rsid w:val="000673B6"/>
    <w:rPr>
      <w:rFonts w:ascii="Times New Roman" w:hAnsi="Times New Roman" w:cs="Times New Roman"/>
      <w:kern w:val="0"/>
      <w:sz w:val="20"/>
      <w:szCs w:val="20"/>
      <w:lang w:eastAsia="en-US"/>
    </w:rPr>
  </w:style>
  <w:style w:type="character" w:customStyle="1" w:styleId="normaltextrun">
    <w:name w:val="normaltextrun"/>
    <w:basedOn w:val="a0"/>
    <w:rsid w:val="000673B6"/>
  </w:style>
  <w:style w:type="paragraph" w:customStyle="1" w:styleId="EndNoteBibliographyTitle">
    <w:name w:val="EndNote Bibliography Title"/>
    <w:basedOn w:val="a"/>
    <w:link w:val="EndNoteBibliographyTitle0"/>
    <w:rsid w:val="000673B6"/>
    <w:pPr>
      <w:jc w:val="center"/>
    </w:pPr>
    <w:rPr>
      <w:rFonts w:eastAsia="Times New Roman"/>
      <w:noProof/>
      <w:sz w:val="24"/>
    </w:rPr>
  </w:style>
  <w:style w:type="character" w:customStyle="1" w:styleId="BaseText0">
    <w:name w:val="Base_Text 字符"/>
    <w:basedOn w:val="a0"/>
    <w:link w:val="BaseText"/>
    <w:rsid w:val="000673B6"/>
    <w:rPr>
      <w:rFonts w:ascii="Times New Roman" w:eastAsia="Times New Roman" w:hAnsi="Times New Roman" w:cs="Times New Roman"/>
      <w:kern w:val="0"/>
      <w:sz w:val="24"/>
      <w:szCs w:val="24"/>
      <w:lang w:eastAsia="en-US"/>
    </w:rPr>
  </w:style>
  <w:style w:type="character" w:customStyle="1" w:styleId="Paragraph0">
    <w:name w:val="Paragraph 字符"/>
    <w:basedOn w:val="BaseText0"/>
    <w:link w:val="Paragraph"/>
    <w:rsid w:val="000673B6"/>
    <w:rPr>
      <w:rFonts w:ascii="Times New Roman" w:eastAsia="Times New Roman" w:hAnsi="Times New Roman" w:cs="Times New Roman"/>
      <w:kern w:val="0"/>
      <w:sz w:val="24"/>
      <w:szCs w:val="24"/>
      <w:lang w:eastAsia="en-US"/>
    </w:rPr>
  </w:style>
  <w:style w:type="character" w:customStyle="1" w:styleId="EndNoteBibliographyTitle0">
    <w:name w:val="EndNote Bibliography Title 字符"/>
    <w:basedOn w:val="Paragraph0"/>
    <w:link w:val="EndNoteBibliographyTitle"/>
    <w:rsid w:val="000673B6"/>
    <w:rPr>
      <w:rFonts w:ascii="Times New Roman" w:eastAsia="Times New Roman" w:hAnsi="Times New Roman" w:cs="Times New Roman"/>
      <w:noProof/>
      <w:kern w:val="0"/>
      <w:sz w:val="24"/>
      <w:szCs w:val="20"/>
      <w:lang w:eastAsia="en-US"/>
    </w:rPr>
  </w:style>
  <w:style w:type="paragraph" w:customStyle="1" w:styleId="EndNoteBibliography">
    <w:name w:val="EndNote Bibliography"/>
    <w:basedOn w:val="a"/>
    <w:link w:val="EndNoteBibliography0"/>
    <w:rsid w:val="000673B6"/>
    <w:rPr>
      <w:rFonts w:eastAsia="Times New Roman"/>
      <w:noProof/>
      <w:sz w:val="24"/>
    </w:rPr>
  </w:style>
  <w:style w:type="character" w:customStyle="1" w:styleId="EndNoteBibliography0">
    <w:name w:val="EndNote Bibliography 字符"/>
    <w:basedOn w:val="Paragraph0"/>
    <w:link w:val="EndNoteBibliography"/>
    <w:rsid w:val="000673B6"/>
    <w:rPr>
      <w:rFonts w:ascii="Times New Roman" w:eastAsia="Times New Roman" w:hAnsi="Times New Roman" w:cs="Times New Roman"/>
      <w:noProof/>
      <w:kern w:val="0"/>
      <w:sz w:val="24"/>
      <w:szCs w:val="20"/>
      <w:lang w:eastAsia="en-US"/>
    </w:rPr>
  </w:style>
  <w:style w:type="paragraph" w:customStyle="1" w:styleId="SMSubheading">
    <w:name w:val="SM Subheading"/>
    <w:basedOn w:val="a"/>
    <w:qFormat/>
    <w:rsid w:val="000673B6"/>
    <w:rPr>
      <w:sz w:val="24"/>
      <w:u w:val="words"/>
    </w:rPr>
  </w:style>
  <w:style w:type="paragraph" w:customStyle="1" w:styleId="SMHeading">
    <w:name w:val="SM Heading"/>
    <w:basedOn w:val="1"/>
    <w:qFormat/>
    <w:rsid w:val="000673B6"/>
    <w:pPr>
      <w:keepLines w:val="0"/>
      <w:spacing w:before="240" w:after="60" w:line="240" w:lineRule="auto"/>
    </w:pPr>
    <w:rPr>
      <w:kern w:val="32"/>
      <w:sz w:val="24"/>
      <w:szCs w:val="24"/>
    </w:rPr>
  </w:style>
  <w:style w:type="table" w:styleId="aff5">
    <w:name w:val="Table Grid"/>
    <w:basedOn w:val="a1"/>
    <w:uiPriority w:val="39"/>
    <w:rsid w:val="000673B6"/>
    <w:pPr>
      <w:widowControl w:val="0"/>
      <w:ind w:firstLine="420"/>
      <w:jc w:val="both"/>
    </w:pPr>
    <w:rPr>
      <w:rFonts w:ascii="等线" w:eastAsia="等线" w:hAnsi="等线" w:cs="等线"/>
      <w:kern w:val="0"/>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0673B6"/>
    <w:pPr>
      <w:widowControl w:val="0"/>
      <w:ind w:firstLine="420"/>
      <w:jc w:val="both"/>
    </w:pPr>
    <w:rPr>
      <w:rFonts w:ascii="等线" w:eastAsia="等线" w:hAnsi="等线" w:cs="等线"/>
      <w:kern w:val="0"/>
      <w:szCs w:val="21"/>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hyperlink" Target="mailto:xzhao@leibniz.uni-kiel.de"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3982</Words>
  <Characters>22701</Characters>
  <Application>Microsoft Office Word</Application>
  <DocSecurity>0</DocSecurity>
  <Lines>189</Lines>
  <Paragraphs>53</Paragraphs>
  <ScaleCrop>false</ScaleCrop>
  <Company/>
  <LinksUpToDate>false</LinksUpToDate>
  <CharactersWithSpaces>26630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Xiaoxiao Zhao</dc:creator>
  <cp:keywords/>
  <dc:description/>
  <cp:lastModifiedBy>Xiaoxiao Zhao</cp:lastModifiedBy>
  <cp:revision>1</cp:revision>
  <dcterms:created xsi:type="dcterms:W3CDTF">2026-01-18T18:41:00Z</dcterms:created>
  <dcterms:modified xsi:type="dcterms:W3CDTF">2026-01-18T18:41:00Z</dcterms:modified>
</cp:coreProperties>
</file>