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24813" w:rsidRPr="00867DF8" w:rsidRDefault="00E24813" w:rsidP="00867DF8">
      <w:pPr>
        <w:spacing w:line="360" w:lineRule="auto"/>
        <w:jc w:val="center"/>
        <w:rPr>
          <w:rFonts w:ascii="Times New Roman" w:eastAsia="Times New Roman" w:hAnsi="Times New Roman" w:cs="Times New Roman"/>
          <w:b/>
          <w:sz w:val="24"/>
          <w:u w:val="single"/>
        </w:rPr>
      </w:pPr>
      <w:r w:rsidRPr="00867DF8">
        <w:rPr>
          <w:rFonts w:ascii="Times New Roman" w:eastAsia="Times New Roman" w:hAnsi="Times New Roman" w:cs="Times New Roman"/>
          <w:b/>
          <w:sz w:val="24"/>
          <w:u w:val="single"/>
        </w:rPr>
        <w:t>Supplementary Material</w:t>
      </w:r>
    </w:p>
    <w:p w:rsidR="00E24813" w:rsidRPr="00867DF8" w:rsidRDefault="00E24813" w:rsidP="00867DF8">
      <w:pPr>
        <w:spacing w:line="360" w:lineRule="auto"/>
        <w:rPr>
          <w:rFonts w:ascii="Times New Roman" w:hAnsi="Times New Roman" w:cs="Times New Roman"/>
          <w:sz w:val="24"/>
        </w:rPr>
      </w:pPr>
    </w:p>
    <w:p w:rsidR="001C7136" w:rsidRPr="00867DF8" w:rsidRDefault="001C7136" w:rsidP="00867DF8">
      <w:pPr>
        <w:spacing w:line="360" w:lineRule="auto"/>
        <w:rPr>
          <w:rFonts w:ascii="Times New Roman" w:hAnsi="Times New Roman" w:cs="Times New Roman"/>
          <w:i/>
          <w:iCs/>
          <w:sz w:val="24"/>
        </w:rPr>
      </w:pPr>
      <w:r w:rsidRPr="00867DF8">
        <w:rPr>
          <w:rFonts w:ascii="Times New Roman" w:hAnsi="Times New Roman" w:cs="Times New Roman"/>
          <w:i/>
          <w:iCs/>
          <w:sz w:val="24"/>
        </w:rPr>
        <w:t>Title:</w:t>
      </w:r>
    </w:p>
    <w:p w:rsidR="003C7E22" w:rsidRPr="003C7E22" w:rsidRDefault="003C7E22" w:rsidP="003C7E22">
      <w:pPr>
        <w:spacing w:line="360" w:lineRule="auto"/>
        <w:rPr>
          <w:rFonts w:ascii="Times New Roman" w:hAnsi="Times New Roman" w:cs="Times New Roman"/>
          <w:sz w:val="24"/>
          <w:lang w:val="en-GB"/>
        </w:rPr>
      </w:pPr>
      <w:r w:rsidRPr="003C7E22">
        <w:rPr>
          <w:rFonts w:ascii="Times New Roman" w:hAnsi="Times New Roman" w:cs="Times New Roman"/>
          <w:sz w:val="24"/>
          <w:lang w:val="en-GB"/>
        </w:rPr>
        <w:t xml:space="preserve">Timing of Bone-Modifying Agent Initiation and Skeletal-Related Event Risk in Patients </w:t>
      </w:r>
      <w:proofErr w:type="gramStart"/>
      <w:r w:rsidRPr="003C7E22">
        <w:rPr>
          <w:rFonts w:ascii="Times New Roman" w:hAnsi="Times New Roman" w:cs="Times New Roman"/>
          <w:sz w:val="24"/>
          <w:lang w:val="en-GB"/>
        </w:rPr>
        <w:t>With</w:t>
      </w:r>
      <w:proofErr w:type="gramEnd"/>
      <w:r w:rsidRPr="003C7E22">
        <w:rPr>
          <w:rFonts w:ascii="Times New Roman" w:hAnsi="Times New Roman" w:cs="Times New Roman"/>
          <w:sz w:val="24"/>
          <w:lang w:val="en-GB"/>
        </w:rPr>
        <w:t xml:space="preserve"> Bone Metastases From Solid </w:t>
      </w:r>
      <w:proofErr w:type="spellStart"/>
      <w:r w:rsidRPr="003C7E22">
        <w:rPr>
          <w:rFonts w:ascii="Times New Roman" w:hAnsi="Times New Roman" w:cs="Times New Roman"/>
          <w:sz w:val="24"/>
          <w:lang w:val="en-GB"/>
        </w:rPr>
        <w:t>Tumors</w:t>
      </w:r>
      <w:proofErr w:type="spellEnd"/>
      <w:r w:rsidRPr="003C7E22">
        <w:rPr>
          <w:rFonts w:ascii="Times New Roman" w:hAnsi="Times New Roman" w:cs="Times New Roman"/>
          <w:sz w:val="24"/>
          <w:lang w:val="en-GB"/>
        </w:rPr>
        <w:t>: A Retrospective Landmark and Propensity Score–Matched Analysis</w:t>
      </w:r>
    </w:p>
    <w:p w:rsidR="001C7136" w:rsidRPr="003C7E22" w:rsidRDefault="001C7136" w:rsidP="00867DF8">
      <w:pPr>
        <w:spacing w:line="360" w:lineRule="auto"/>
        <w:rPr>
          <w:rFonts w:ascii="Times New Roman" w:hAnsi="Times New Roman" w:cs="Times New Roman"/>
          <w:sz w:val="24"/>
          <w:lang w:val="en-GB"/>
        </w:rPr>
      </w:pPr>
    </w:p>
    <w:p w:rsidR="001C7136" w:rsidRPr="00867DF8" w:rsidRDefault="001C7136" w:rsidP="00867DF8">
      <w:pPr>
        <w:spacing w:line="360" w:lineRule="auto"/>
        <w:rPr>
          <w:rFonts w:ascii="Times New Roman" w:hAnsi="Times New Roman" w:cs="Times New Roman"/>
          <w:i/>
          <w:iCs/>
          <w:sz w:val="24"/>
        </w:rPr>
      </w:pPr>
      <w:r w:rsidRPr="00867DF8">
        <w:rPr>
          <w:rFonts w:ascii="Times New Roman" w:hAnsi="Times New Roman" w:cs="Times New Roman"/>
          <w:i/>
          <w:iCs/>
          <w:sz w:val="24"/>
        </w:rPr>
        <w:t>Authors:</w:t>
      </w:r>
    </w:p>
    <w:p w:rsidR="001C7136" w:rsidRPr="00867DF8" w:rsidRDefault="001C7136" w:rsidP="00867DF8">
      <w:pPr>
        <w:spacing w:line="360" w:lineRule="auto"/>
        <w:rPr>
          <w:rFonts w:ascii="Times New Roman" w:hAnsi="Times New Roman" w:cs="Times New Roman"/>
          <w:sz w:val="24"/>
          <w:vertAlign w:val="superscript"/>
        </w:rPr>
      </w:pPr>
      <w:proofErr w:type="spellStart"/>
      <w:r w:rsidRPr="00867DF8">
        <w:rPr>
          <w:rFonts w:ascii="Times New Roman" w:hAnsi="Times New Roman" w:cs="Times New Roman"/>
          <w:sz w:val="24"/>
        </w:rPr>
        <w:t>Tatsuki</w:t>
      </w:r>
      <w:proofErr w:type="spellEnd"/>
      <w:r w:rsidRPr="00867DF8">
        <w:rPr>
          <w:rFonts w:ascii="Times New Roman" w:hAnsi="Times New Roman" w:cs="Times New Roman"/>
          <w:sz w:val="24"/>
        </w:rPr>
        <w:t xml:space="preserve"> Ikeda</w:t>
      </w:r>
      <w:r w:rsidRPr="00867DF8">
        <w:rPr>
          <w:rFonts w:ascii="Times New Roman" w:hAnsi="Times New Roman" w:cs="Times New Roman"/>
          <w:sz w:val="24"/>
          <w:vertAlign w:val="superscript"/>
        </w:rPr>
        <w:t>†1</w:t>
      </w:r>
      <w:r w:rsidRPr="00867DF8">
        <w:rPr>
          <w:rFonts w:ascii="Times New Roman" w:hAnsi="Times New Roman" w:cs="Times New Roman"/>
          <w:sz w:val="24"/>
        </w:rPr>
        <w:t>, Satoru Nihei</w:t>
      </w:r>
      <w:r w:rsidRPr="00867DF8">
        <w:rPr>
          <w:rFonts w:ascii="Times New Roman" w:hAnsi="Times New Roman" w:cs="Times New Roman"/>
          <w:sz w:val="24"/>
          <w:vertAlign w:val="superscript"/>
        </w:rPr>
        <w:t>1,2</w:t>
      </w:r>
      <w:r w:rsidRPr="00867DF8">
        <w:rPr>
          <w:rFonts w:ascii="Times New Roman" w:hAnsi="Times New Roman" w:cs="Times New Roman"/>
          <w:sz w:val="24"/>
        </w:rPr>
        <w:t xml:space="preserve">, </w:t>
      </w:r>
      <w:proofErr w:type="spellStart"/>
      <w:r w:rsidRPr="00867DF8">
        <w:rPr>
          <w:rFonts w:ascii="Times New Roman" w:hAnsi="Times New Roman" w:cs="Times New Roman"/>
          <w:sz w:val="24"/>
        </w:rPr>
        <w:t>Kazuki</w:t>
      </w:r>
      <w:proofErr w:type="spellEnd"/>
      <w:r w:rsidRPr="00867DF8">
        <w:rPr>
          <w:rFonts w:ascii="Times New Roman" w:hAnsi="Times New Roman" w:cs="Times New Roman"/>
          <w:sz w:val="24"/>
        </w:rPr>
        <w:t xml:space="preserve"> Saito</w:t>
      </w:r>
      <w:r w:rsidRPr="00867DF8">
        <w:rPr>
          <w:rFonts w:ascii="Times New Roman" w:hAnsi="Times New Roman" w:cs="Times New Roman"/>
          <w:sz w:val="24"/>
          <w:vertAlign w:val="superscript"/>
        </w:rPr>
        <w:t>1</w:t>
      </w:r>
      <w:r w:rsidRPr="00867DF8">
        <w:rPr>
          <w:rFonts w:ascii="Times New Roman" w:hAnsi="Times New Roman" w:cs="Times New Roman"/>
          <w:sz w:val="24"/>
        </w:rPr>
        <w:t xml:space="preserve">, </w:t>
      </w:r>
      <w:proofErr w:type="spellStart"/>
      <w:r w:rsidRPr="00867DF8">
        <w:rPr>
          <w:rFonts w:ascii="Times New Roman" w:hAnsi="Times New Roman" w:cs="Times New Roman"/>
          <w:sz w:val="24"/>
        </w:rPr>
        <w:t>Junya</w:t>
      </w:r>
      <w:proofErr w:type="spellEnd"/>
      <w:r w:rsidRPr="00867DF8">
        <w:rPr>
          <w:rFonts w:ascii="Times New Roman" w:hAnsi="Times New Roman" w:cs="Times New Roman"/>
          <w:sz w:val="24"/>
        </w:rPr>
        <w:t xml:space="preserve"> Sato</w:t>
      </w:r>
      <w:r w:rsidRPr="00867DF8">
        <w:rPr>
          <w:rFonts w:ascii="Times New Roman" w:hAnsi="Times New Roman" w:cs="Times New Roman"/>
          <w:sz w:val="24"/>
          <w:vertAlign w:val="superscript"/>
        </w:rPr>
        <w:t>3</w:t>
      </w:r>
      <w:r w:rsidRPr="00867DF8">
        <w:rPr>
          <w:rFonts w:ascii="Times New Roman" w:hAnsi="Times New Roman" w:cs="Times New Roman"/>
          <w:sz w:val="24"/>
        </w:rPr>
        <w:t>, Kenzo Kudo</w:t>
      </w:r>
      <w:r w:rsidRPr="00867DF8">
        <w:rPr>
          <w:rFonts w:ascii="Times New Roman" w:hAnsi="Times New Roman" w:cs="Times New Roman"/>
          <w:sz w:val="24"/>
          <w:vertAlign w:val="superscript"/>
        </w:rPr>
        <w:t>1,2</w:t>
      </w:r>
    </w:p>
    <w:p w:rsidR="001C7136" w:rsidRPr="00867DF8" w:rsidRDefault="001C7136" w:rsidP="00867DF8">
      <w:pPr>
        <w:spacing w:line="360" w:lineRule="auto"/>
        <w:rPr>
          <w:rFonts w:ascii="Times New Roman" w:hAnsi="Times New Roman" w:cs="Times New Roman"/>
          <w:sz w:val="24"/>
        </w:rPr>
      </w:pPr>
    </w:p>
    <w:p w:rsidR="00073D6F" w:rsidRDefault="00D06DD1" w:rsidP="00867DF8">
      <w:pPr>
        <w:spacing w:line="360" w:lineRule="auto"/>
        <w:jc w:val="left"/>
        <w:rPr>
          <w:rFonts w:ascii="Times New Roman" w:hAnsi="Times New Roman" w:cs="Times New Roman"/>
          <w:color w:val="000000" w:themeColor="text1"/>
          <w:sz w:val="24"/>
        </w:rPr>
      </w:pPr>
      <w:r w:rsidRPr="00867DF8">
        <w:rPr>
          <w:rFonts w:ascii="Times New Roman" w:hAnsi="Times New Roman" w:cs="Times New Roman"/>
          <w:b/>
          <w:bCs/>
          <w:color w:val="000000" w:themeColor="text1"/>
          <w:sz w:val="24"/>
        </w:rPr>
        <w:t>Table S1</w:t>
      </w:r>
      <w:r w:rsidRPr="00867DF8">
        <w:rPr>
          <w:rFonts w:ascii="Times New Roman" w:hAnsi="Times New Roman" w:cs="Times New Roman" w:hint="eastAsia"/>
          <w:color w:val="000000" w:themeColor="text1"/>
          <w:sz w:val="24"/>
        </w:rPr>
        <w:t>.</w:t>
      </w:r>
      <w:r w:rsidRPr="00867DF8">
        <w:rPr>
          <w:rFonts w:ascii="Times New Roman" w:hAnsi="Times New Roman" w:cs="Times New Roman"/>
          <w:color w:val="000000" w:themeColor="text1"/>
          <w:sz w:val="24"/>
        </w:rPr>
        <w:t xml:space="preserve"> </w:t>
      </w:r>
      <w:r w:rsidR="00073D6F" w:rsidRPr="00073D6F">
        <w:rPr>
          <w:rFonts w:ascii="Times New Roman" w:hAnsi="Times New Roman" w:cs="Times New Roman"/>
          <w:color w:val="000000" w:themeColor="text1"/>
          <w:sz w:val="24"/>
        </w:rPr>
        <w:t>Sensitivity Analysis Using Different Landmark Times: Univariate Cox Proportional Hazards Analyses for SRE in the Overall Cohort (Delayed vs Early)</w:t>
      </w:r>
    </w:p>
    <w:p w:rsidR="00073D6F" w:rsidRPr="00867DF8" w:rsidRDefault="002B2C16" w:rsidP="00073D6F">
      <w:pPr>
        <w:widowControl/>
        <w:spacing w:line="360" w:lineRule="auto"/>
        <w:jc w:val="left"/>
        <w:rPr>
          <w:rFonts w:ascii="Times New Roman" w:hAnsi="Times New Roman" w:cs="Times New Roman"/>
          <w:color w:val="000000" w:themeColor="text1"/>
          <w:sz w:val="24"/>
        </w:rPr>
      </w:pPr>
      <w:r w:rsidRPr="002B2C16">
        <w:rPr>
          <w:rFonts w:ascii="Times New Roman" w:hAnsi="Times New Roman" w:cs="Times New Roman"/>
          <w:b/>
          <w:bCs/>
          <w:color w:val="000000" w:themeColor="text1"/>
          <w:sz w:val="24"/>
        </w:rPr>
        <w:t xml:space="preserve">Fig. </w:t>
      </w:r>
      <w:r>
        <w:rPr>
          <w:rFonts w:ascii="Times New Roman" w:hAnsi="Times New Roman" w:cs="Times New Roman"/>
          <w:b/>
          <w:bCs/>
          <w:color w:val="000000" w:themeColor="text1"/>
          <w:sz w:val="24"/>
        </w:rPr>
        <w:t>S1</w:t>
      </w:r>
      <w:r w:rsidR="00073D6F" w:rsidRPr="00867DF8">
        <w:rPr>
          <w:rFonts w:ascii="Times New Roman" w:hAnsi="Times New Roman" w:cs="Times New Roman"/>
          <w:color w:val="000000" w:themeColor="text1"/>
          <w:sz w:val="24"/>
        </w:rPr>
        <w:t xml:space="preserve"> Kaplan–Meier Curves for Time to First SRE </w:t>
      </w:r>
      <w:r w:rsidR="00073D6F">
        <w:rPr>
          <w:rFonts w:ascii="Times New Roman" w:hAnsi="Times New Roman" w:cs="Times New Roman"/>
          <w:color w:val="000000" w:themeColor="text1"/>
          <w:sz w:val="24"/>
        </w:rPr>
        <w:t>b</w:t>
      </w:r>
      <w:r w:rsidR="00073D6F" w:rsidRPr="00867DF8">
        <w:rPr>
          <w:rFonts w:ascii="Times New Roman" w:hAnsi="Times New Roman" w:cs="Times New Roman"/>
          <w:color w:val="000000" w:themeColor="text1"/>
          <w:sz w:val="24"/>
        </w:rPr>
        <w:t xml:space="preserve">efore </w:t>
      </w:r>
      <w:r w:rsidR="00073D6F">
        <w:rPr>
          <w:rFonts w:ascii="Times New Roman" w:hAnsi="Times New Roman" w:cs="Times New Roman"/>
          <w:color w:val="000000" w:themeColor="text1"/>
          <w:sz w:val="24"/>
        </w:rPr>
        <w:t>p</w:t>
      </w:r>
      <w:r w:rsidR="00073D6F" w:rsidRPr="00867DF8">
        <w:rPr>
          <w:rFonts w:ascii="Times New Roman" w:hAnsi="Times New Roman" w:cs="Times New Roman"/>
          <w:color w:val="000000" w:themeColor="text1"/>
          <w:sz w:val="24"/>
        </w:rPr>
        <w:t>ropensity</w:t>
      </w:r>
      <w:r w:rsidR="00073D6F">
        <w:rPr>
          <w:rFonts w:ascii="Times New Roman" w:hAnsi="Times New Roman" w:cs="Times New Roman"/>
          <w:color w:val="000000" w:themeColor="text1"/>
          <w:sz w:val="24"/>
        </w:rPr>
        <w:t xml:space="preserve"> s</w:t>
      </w:r>
      <w:r w:rsidR="00073D6F" w:rsidRPr="00867DF8">
        <w:rPr>
          <w:rFonts w:ascii="Times New Roman" w:hAnsi="Times New Roman" w:cs="Times New Roman"/>
          <w:color w:val="000000" w:themeColor="text1"/>
          <w:sz w:val="24"/>
        </w:rPr>
        <w:t>core</w:t>
      </w:r>
      <w:r w:rsidR="00073D6F">
        <w:rPr>
          <w:rFonts w:ascii="Times New Roman" w:hAnsi="Times New Roman" w:cs="Times New Roman"/>
          <w:color w:val="000000" w:themeColor="text1"/>
          <w:sz w:val="24"/>
        </w:rPr>
        <w:t xml:space="preserve"> m</w:t>
      </w:r>
      <w:r w:rsidR="00073D6F" w:rsidRPr="00867DF8">
        <w:rPr>
          <w:rFonts w:ascii="Times New Roman" w:hAnsi="Times New Roman" w:cs="Times New Roman"/>
          <w:color w:val="000000" w:themeColor="text1"/>
          <w:sz w:val="24"/>
        </w:rPr>
        <w:t>atching</w:t>
      </w:r>
    </w:p>
    <w:p w:rsidR="002C400F" w:rsidRPr="00867DF8" w:rsidRDefault="002B2C16" w:rsidP="00867DF8">
      <w:pPr>
        <w:spacing w:line="360" w:lineRule="auto"/>
        <w:jc w:val="left"/>
        <w:rPr>
          <w:rFonts w:ascii="Times New Roman" w:hAnsi="Times New Roman" w:cs="Times New Roman"/>
          <w:b/>
          <w:bCs/>
          <w:color w:val="000000" w:themeColor="text1"/>
          <w:sz w:val="24"/>
        </w:rPr>
      </w:pPr>
      <w:r w:rsidRPr="002B2C16">
        <w:rPr>
          <w:rFonts w:ascii="Times New Roman" w:hAnsi="Times New Roman" w:cs="Times New Roman"/>
          <w:b/>
          <w:bCs/>
          <w:color w:val="000000" w:themeColor="text1"/>
          <w:sz w:val="24"/>
        </w:rPr>
        <w:t xml:space="preserve">Fig. </w:t>
      </w:r>
      <w:r>
        <w:rPr>
          <w:rFonts w:ascii="Times New Roman" w:hAnsi="Times New Roman" w:cs="Times New Roman"/>
          <w:b/>
          <w:bCs/>
          <w:color w:val="000000" w:themeColor="text1"/>
          <w:sz w:val="24"/>
        </w:rPr>
        <w:t>S2</w:t>
      </w:r>
      <w:r w:rsidR="008F0811" w:rsidRPr="00867DF8">
        <w:rPr>
          <w:rFonts w:ascii="Times New Roman" w:hAnsi="Times New Roman" w:cs="Times New Roman"/>
          <w:b/>
          <w:bCs/>
          <w:color w:val="000000" w:themeColor="text1"/>
          <w:sz w:val="24"/>
        </w:rPr>
        <w:t xml:space="preserve"> </w:t>
      </w:r>
      <w:r w:rsidR="00073D6F" w:rsidRPr="00073D6F">
        <w:rPr>
          <w:rFonts w:ascii="Times New Roman" w:hAnsi="Times New Roman" w:cs="Times New Roman"/>
          <w:color w:val="000000" w:themeColor="text1"/>
          <w:sz w:val="24"/>
        </w:rPr>
        <w:t>Forest plot of the association between delayed BMA initiation and risk of SRE across clinical subgroups before propensity score matching</w:t>
      </w:r>
      <w:r w:rsidR="002C400F" w:rsidRPr="00867DF8">
        <w:rPr>
          <w:rFonts w:ascii="Times New Roman" w:hAnsi="Times New Roman" w:cs="Times New Roman"/>
          <w:b/>
          <w:bCs/>
          <w:sz w:val="24"/>
        </w:rPr>
        <w:br w:type="page"/>
      </w:r>
    </w:p>
    <w:p w:rsidR="00D06DD1" w:rsidRPr="00867DF8" w:rsidRDefault="00D06DD1" w:rsidP="00867DF8">
      <w:pPr>
        <w:spacing w:line="360" w:lineRule="auto"/>
        <w:jc w:val="left"/>
        <w:rPr>
          <w:rFonts w:ascii="Times New Roman" w:hAnsi="Times New Roman" w:cs="Times New Roman"/>
          <w:color w:val="000000" w:themeColor="text1"/>
          <w:sz w:val="24"/>
        </w:rPr>
      </w:pPr>
      <w:r w:rsidRPr="00867DF8">
        <w:rPr>
          <w:rFonts w:ascii="Times New Roman" w:hAnsi="Times New Roman" w:cs="Times New Roman"/>
          <w:b/>
          <w:bCs/>
          <w:color w:val="000000" w:themeColor="text1"/>
          <w:sz w:val="24"/>
        </w:rPr>
        <w:lastRenderedPageBreak/>
        <w:t>Table S1</w:t>
      </w:r>
      <w:r w:rsidRPr="00867DF8">
        <w:rPr>
          <w:rFonts w:ascii="Times New Roman" w:hAnsi="Times New Roman" w:cs="Times New Roman" w:hint="eastAsia"/>
          <w:color w:val="000000" w:themeColor="text1"/>
          <w:sz w:val="24"/>
        </w:rPr>
        <w:t>.</w:t>
      </w:r>
      <w:r w:rsidR="00073D6F" w:rsidRPr="00073D6F">
        <w:t xml:space="preserve"> </w:t>
      </w:r>
      <w:r w:rsidR="00073D6F" w:rsidRPr="00073D6F">
        <w:rPr>
          <w:rFonts w:ascii="Times New Roman" w:hAnsi="Times New Roman" w:cs="Times New Roman"/>
          <w:color w:val="000000" w:themeColor="text1"/>
          <w:sz w:val="24"/>
        </w:rPr>
        <w:t>Sensitivity Analysis Using Different Landmark Times: Univariate Cox Proportional Hazards Analyses for SRE in the Overall Cohort (Delayed vs Early)</w:t>
      </w:r>
    </w:p>
    <w:tbl>
      <w:tblPr>
        <w:tblStyle w:val="af"/>
        <w:tblW w:w="0" w:type="auto"/>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992"/>
        <w:gridCol w:w="850"/>
        <w:gridCol w:w="993"/>
        <w:gridCol w:w="1842"/>
        <w:gridCol w:w="1418"/>
        <w:gridCol w:w="1280"/>
      </w:tblGrid>
      <w:tr w:rsidR="00205EB3" w:rsidRPr="00867DF8" w:rsidTr="004210B3">
        <w:trPr>
          <w:trHeight w:val="700"/>
          <w:jc w:val="center"/>
        </w:trPr>
        <w:tc>
          <w:tcPr>
            <w:tcW w:w="1560" w:type="dxa"/>
            <w:tcBorders>
              <w:top w:val="single" w:sz="4" w:space="0" w:color="auto"/>
              <w:bottom w:val="single" w:sz="4" w:space="0" w:color="auto"/>
            </w:tcBorders>
            <w:vAlign w:val="center"/>
            <w:hideMark/>
          </w:tcPr>
          <w:p w:rsidR="00D06DD1" w:rsidRPr="00867DF8" w:rsidRDefault="00D06DD1" w:rsidP="00867DF8">
            <w:pPr>
              <w:spacing w:line="360" w:lineRule="auto"/>
              <w:jc w:val="center"/>
              <w:rPr>
                <w:rFonts w:ascii="Times New Roman" w:hAnsi="Times New Roman" w:cs="Times New Roman"/>
                <w:color w:val="000000" w:themeColor="text1"/>
                <w:szCs w:val="21"/>
              </w:rPr>
            </w:pPr>
            <w:r w:rsidRPr="00867DF8">
              <w:rPr>
                <w:rFonts w:ascii="Times New Roman" w:hAnsi="Times New Roman" w:cs="Times New Roman"/>
                <w:color w:val="000000" w:themeColor="text1"/>
                <w:szCs w:val="21"/>
              </w:rPr>
              <w:t>Landmark time</w:t>
            </w:r>
            <w:r w:rsidRPr="00867DF8">
              <w:rPr>
                <w:rFonts w:ascii="Times New Roman" w:hAnsi="Times New Roman" w:cs="Times New Roman"/>
                <w:color w:val="000000" w:themeColor="text1"/>
                <w:szCs w:val="21"/>
              </w:rPr>
              <w:br/>
              <w:t xml:space="preserve"> (months)</w:t>
            </w:r>
          </w:p>
        </w:tc>
        <w:tc>
          <w:tcPr>
            <w:tcW w:w="992" w:type="dxa"/>
            <w:tcBorders>
              <w:top w:val="single" w:sz="4" w:space="0" w:color="auto"/>
              <w:bottom w:val="single" w:sz="4" w:space="0" w:color="auto"/>
            </w:tcBorders>
            <w:noWrap/>
            <w:vAlign w:val="center"/>
            <w:hideMark/>
          </w:tcPr>
          <w:p w:rsidR="00D06DD1" w:rsidRPr="00867DF8" w:rsidRDefault="00073D6F" w:rsidP="00867DF8">
            <w:pPr>
              <w:spacing w:line="360"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T</w:t>
            </w:r>
            <w:r>
              <w:rPr>
                <w:rFonts w:ascii="Times New Roman" w:hAnsi="Times New Roman" w:cs="Times New Roman"/>
                <w:color w:val="000000" w:themeColor="text1"/>
                <w:szCs w:val="21"/>
              </w:rPr>
              <w:t>otal</w:t>
            </w:r>
          </w:p>
          <w:p w:rsidR="00D06DD1" w:rsidRPr="00867DF8" w:rsidRDefault="00D06DD1" w:rsidP="00867DF8">
            <w:pPr>
              <w:spacing w:line="360" w:lineRule="auto"/>
              <w:jc w:val="center"/>
              <w:rPr>
                <w:rFonts w:ascii="Times New Roman" w:hAnsi="Times New Roman" w:cs="Times New Roman"/>
                <w:color w:val="000000" w:themeColor="text1"/>
                <w:szCs w:val="21"/>
              </w:rPr>
            </w:pPr>
            <w:r w:rsidRPr="00867DF8">
              <w:rPr>
                <w:rFonts w:ascii="Times New Roman" w:hAnsi="Times New Roman" w:cs="Times New Roman"/>
                <w:color w:val="000000" w:themeColor="text1"/>
                <w:szCs w:val="21"/>
              </w:rPr>
              <w:t>(</w:t>
            </w:r>
            <w:r w:rsidR="00C25FC0" w:rsidRPr="00867DF8">
              <w:rPr>
                <w:rFonts w:ascii="Times New Roman" w:hAnsi="Times New Roman" w:cs="Times New Roman"/>
                <w:color w:val="000000" w:themeColor="text1"/>
                <w:szCs w:val="21"/>
              </w:rPr>
              <w:t>n</w:t>
            </w:r>
            <w:r w:rsidRPr="00867DF8">
              <w:rPr>
                <w:rFonts w:ascii="Times New Roman" w:hAnsi="Times New Roman" w:cs="Times New Roman"/>
                <w:color w:val="000000" w:themeColor="text1"/>
                <w:szCs w:val="21"/>
              </w:rPr>
              <w:t>)</w:t>
            </w:r>
          </w:p>
        </w:tc>
        <w:tc>
          <w:tcPr>
            <w:tcW w:w="850" w:type="dxa"/>
            <w:tcBorders>
              <w:top w:val="single" w:sz="4" w:space="0" w:color="auto"/>
              <w:bottom w:val="single" w:sz="4" w:space="0" w:color="auto"/>
            </w:tcBorders>
            <w:noWrap/>
            <w:vAlign w:val="center"/>
            <w:hideMark/>
          </w:tcPr>
          <w:p w:rsidR="00D06DD1" w:rsidRPr="00867DF8" w:rsidRDefault="00D06DD1" w:rsidP="00867DF8">
            <w:pPr>
              <w:spacing w:line="360" w:lineRule="auto"/>
              <w:jc w:val="center"/>
              <w:rPr>
                <w:rFonts w:ascii="Times New Roman" w:hAnsi="Times New Roman" w:cs="Times New Roman"/>
                <w:color w:val="000000" w:themeColor="text1"/>
                <w:szCs w:val="21"/>
              </w:rPr>
            </w:pPr>
            <w:r w:rsidRPr="00867DF8">
              <w:rPr>
                <w:rFonts w:ascii="Times New Roman" w:hAnsi="Times New Roman" w:cs="Times New Roman"/>
                <w:color w:val="000000" w:themeColor="text1"/>
                <w:szCs w:val="21"/>
              </w:rPr>
              <w:t>Early</w:t>
            </w:r>
          </w:p>
          <w:p w:rsidR="00D06DD1" w:rsidRPr="00867DF8" w:rsidRDefault="00D06DD1" w:rsidP="00867DF8">
            <w:pPr>
              <w:spacing w:line="360" w:lineRule="auto"/>
              <w:jc w:val="center"/>
              <w:rPr>
                <w:rFonts w:ascii="Times New Roman" w:hAnsi="Times New Roman" w:cs="Times New Roman"/>
                <w:color w:val="000000" w:themeColor="text1"/>
                <w:szCs w:val="21"/>
              </w:rPr>
            </w:pPr>
            <w:r w:rsidRPr="00867DF8">
              <w:rPr>
                <w:rFonts w:ascii="Times New Roman" w:hAnsi="Times New Roman" w:cs="Times New Roman"/>
                <w:color w:val="000000" w:themeColor="text1"/>
                <w:szCs w:val="21"/>
              </w:rPr>
              <w:t>(n)</w:t>
            </w:r>
          </w:p>
        </w:tc>
        <w:tc>
          <w:tcPr>
            <w:tcW w:w="993" w:type="dxa"/>
            <w:tcBorders>
              <w:top w:val="single" w:sz="4" w:space="0" w:color="auto"/>
              <w:bottom w:val="single" w:sz="4" w:space="0" w:color="auto"/>
            </w:tcBorders>
            <w:noWrap/>
            <w:vAlign w:val="center"/>
            <w:hideMark/>
          </w:tcPr>
          <w:p w:rsidR="00D06DD1" w:rsidRPr="00867DF8" w:rsidRDefault="00D06DD1" w:rsidP="00867DF8">
            <w:pPr>
              <w:spacing w:line="360" w:lineRule="auto"/>
              <w:jc w:val="center"/>
              <w:rPr>
                <w:rFonts w:ascii="Times New Roman" w:hAnsi="Times New Roman" w:cs="Times New Roman"/>
                <w:color w:val="000000" w:themeColor="text1"/>
                <w:szCs w:val="21"/>
              </w:rPr>
            </w:pPr>
            <w:r w:rsidRPr="00867DF8">
              <w:rPr>
                <w:rFonts w:ascii="Times New Roman" w:hAnsi="Times New Roman" w:cs="Times New Roman"/>
                <w:color w:val="000000" w:themeColor="text1"/>
                <w:szCs w:val="21"/>
              </w:rPr>
              <w:t>Delayed</w:t>
            </w:r>
          </w:p>
          <w:p w:rsidR="00D06DD1" w:rsidRPr="00867DF8" w:rsidRDefault="00D06DD1" w:rsidP="00867DF8">
            <w:pPr>
              <w:spacing w:line="360" w:lineRule="auto"/>
              <w:jc w:val="center"/>
              <w:rPr>
                <w:rFonts w:ascii="Times New Roman" w:hAnsi="Times New Roman" w:cs="Times New Roman"/>
                <w:color w:val="000000" w:themeColor="text1"/>
                <w:szCs w:val="21"/>
              </w:rPr>
            </w:pPr>
            <w:r w:rsidRPr="00867DF8">
              <w:rPr>
                <w:rFonts w:ascii="Times New Roman" w:hAnsi="Times New Roman" w:cs="Times New Roman"/>
                <w:color w:val="000000" w:themeColor="text1"/>
                <w:szCs w:val="21"/>
              </w:rPr>
              <w:t>(n)</w:t>
            </w:r>
          </w:p>
        </w:tc>
        <w:tc>
          <w:tcPr>
            <w:tcW w:w="1842" w:type="dxa"/>
            <w:tcBorders>
              <w:top w:val="single" w:sz="4" w:space="0" w:color="auto"/>
              <w:bottom w:val="single" w:sz="4" w:space="0" w:color="auto"/>
            </w:tcBorders>
            <w:vAlign w:val="center"/>
            <w:hideMark/>
          </w:tcPr>
          <w:p w:rsidR="00D06DD1" w:rsidRPr="00867DF8" w:rsidRDefault="00D06DD1" w:rsidP="00867DF8">
            <w:pPr>
              <w:spacing w:line="360" w:lineRule="auto"/>
              <w:jc w:val="center"/>
              <w:rPr>
                <w:rFonts w:ascii="Times New Roman" w:hAnsi="Times New Roman" w:cs="Times New Roman"/>
                <w:color w:val="000000" w:themeColor="text1"/>
                <w:szCs w:val="21"/>
              </w:rPr>
            </w:pPr>
            <w:r w:rsidRPr="00867DF8">
              <w:rPr>
                <w:rFonts w:ascii="Times New Roman" w:hAnsi="Times New Roman" w:cs="Times New Roman"/>
                <w:color w:val="000000" w:themeColor="text1"/>
                <w:szCs w:val="21"/>
              </w:rPr>
              <w:t xml:space="preserve">Hazard ratio </w:t>
            </w:r>
            <w:r w:rsidRPr="00867DF8">
              <w:rPr>
                <w:rFonts w:ascii="Times New Roman" w:hAnsi="Times New Roman" w:cs="Times New Roman"/>
                <w:color w:val="000000" w:themeColor="text1"/>
                <w:szCs w:val="21"/>
              </w:rPr>
              <w:br/>
              <w:t>(Delayed vs Early)</w:t>
            </w:r>
          </w:p>
        </w:tc>
        <w:tc>
          <w:tcPr>
            <w:tcW w:w="1418" w:type="dxa"/>
            <w:tcBorders>
              <w:top w:val="single" w:sz="4" w:space="0" w:color="auto"/>
              <w:bottom w:val="single" w:sz="4" w:space="0" w:color="auto"/>
            </w:tcBorders>
            <w:noWrap/>
            <w:vAlign w:val="center"/>
            <w:hideMark/>
          </w:tcPr>
          <w:p w:rsidR="00D06DD1" w:rsidRPr="00867DF8" w:rsidRDefault="00D06DD1" w:rsidP="00867DF8">
            <w:pPr>
              <w:spacing w:line="360" w:lineRule="auto"/>
              <w:jc w:val="center"/>
              <w:rPr>
                <w:rFonts w:ascii="Times New Roman" w:hAnsi="Times New Roman" w:cs="Times New Roman"/>
                <w:color w:val="000000" w:themeColor="text1"/>
                <w:szCs w:val="21"/>
              </w:rPr>
            </w:pPr>
            <w:r w:rsidRPr="00867DF8">
              <w:rPr>
                <w:rFonts w:ascii="Times New Roman" w:hAnsi="Times New Roman" w:cs="Times New Roman"/>
                <w:color w:val="000000" w:themeColor="text1"/>
                <w:szCs w:val="21"/>
              </w:rPr>
              <w:t>95% CI</w:t>
            </w:r>
          </w:p>
        </w:tc>
        <w:tc>
          <w:tcPr>
            <w:tcW w:w="1280" w:type="dxa"/>
            <w:tcBorders>
              <w:top w:val="single" w:sz="4" w:space="0" w:color="auto"/>
              <w:bottom w:val="single" w:sz="4" w:space="0" w:color="auto"/>
            </w:tcBorders>
            <w:noWrap/>
            <w:vAlign w:val="center"/>
            <w:hideMark/>
          </w:tcPr>
          <w:p w:rsidR="00D06DD1" w:rsidRPr="00867DF8" w:rsidRDefault="00D06DD1" w:rsidP="00867DF8">
            <w:pPr>
              <w:spacing w:line="360" w:lineRule="auto"/>
              <w:jc w:val="center"/>
              <w:rPr>
                <w:rFonts w:ascii="Times New Roman" w:hAnsi="Times New Roman" w:cs="Times New Roman"/>
                <w:color w:val="000000" w:themeColor="text1"/>
                <w:szCs w:val="21"/>
              </w:rPr>
            </w:pPr>
            <w:r w:rsidRPr="00867DF8">
              <w:rPr>
                <w:rFonts w:ascii="Times New Roman" w:hAnsi="Times New Roman" w:cs="Times New Roman"/>
                <w:color w:val="000000" w:themeColor="text1"/>
                <w:szCs w:val="21"/>
              </w:rPr>
              <w:t>P value</w:t>
            </w:r>
          </w:p>
        </w:tc>
      </w:tr>
      <w:tr w:rsidR="00D21509" w:rsidRPr="00867DF8" w:rsidTr="004210B3">
        <w:trPr>
          <w:trHeight w:val="340"/>
          <w:jc w:val="center"/>
        </w:trPr>
        <w:tc>
          <w:tcPr>
            <w:tcW w:w="1560" w:type="dxa"/>
            <w:tcBorders>
              <w:top w:val="single" w:sz="4" w:space="0" w:color="auto"/>
            </w:tcBorders>
            <w:noWrap/>
            <w:vAlign w:val="center"/>
            <w:hideMark/>
          </w:tcPr>
          <w:p w:rsidR="00D21509" w:rsidRPr="00867DF8" w:rsidRDefault="00D21509" w:rsidP="00867DF8">
            <w:pPr>
              <w:widowControl/>
              <w:spacing w:line="360" w:lineRule="auto"/>
              <w:jc w:val="center"/>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1</w:t>
            </w:r>
          </w:p>
        </w:tc>
        <w:tc>
          <w:tcPr>
            <w:tcW w:w="992" w:type="dxa"/>
            <w:tcBorders>
              <w:top w:val="single" w:sz="4" w:space="0" w:color="auto"/>
            </w:tcBorders>
            <w:noWrap/>
            <w:vAlign w:val="center"/>
            <w:hideMark/>
          </w:tcPr>
          <w:p w:rsidR="00D21509" w:rsidRPr="00867DF8" w:rsidRDefault="00D21509" w:rsidP="00867DF8">
            <w:pPr>
              <w:spacing w:line="360" w:lineRule="auto"/>
              <w:jc w:val="center"/>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1305</w:t>
            </w:r>
          </w:p>
        </w:tc>
        <w:tc>
          <w:tcPr>
            <w:tcW w:w="850" w:type="dxa"/>
            <w:tcBorders>
              <w:top w:val="single" w:sz="4" w:space="0" w:color="auto"/>
            </w:tcBorders>
            <w:noWrap/>
            <w:vAlign w:val="center"/>
            <w:hideMark/>
          </w:tcPr>
          <w:p w:rsidR="00D21509" w:rsidRPr="00867DF8" w:rsidRDefault="00D21509" w:rsidP="00867DF8">
            <w:pPr>
              <w:spacing w:line="360" w:lineRule="auto"/>
              <w:jc w:val="center"/>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577</w:t>
            </w:r>
          </w:p>
        </w:tc>
        <w:tc>
          <w:tcPr>
            <w:tcW w:w="993" w:type="dxa"/>
            <w:tcBorders>
              <w:top w:val="single" w:sz="4" w:space="0" w:color="auto"/>
            </w:tcBorders>
            <w:noWrap/>
            <w:vAlign w:val="center"/>
            <w:hideMark/>
          </w:tcPr>
          <w:p w:rsidR="00D21509" w:rsidRPr="00867DF8" w:rsidRDefault="00D21509" w:rsidP="00867DF8">
            <w:pPr>
              <w:spacing w:line="360" w:lineRule="auto"/>
              <w:jc w:val="center"/>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728</w:t>
            </w:r>
          </w:p>
        </w:tc>
        <w:tc>
          <w:tcPr>
            <w:tcW w:w="1842" w:type="dxa"/>
            <w:tcBorders>
              <w:top w:val="single" w:sz="4" w:space="0" w:color="auto"/>
            </w:tcBorders>
            <w:noWrap/>
            <w:vAlign w:val="center"/>
            <w:hideMark/>
          </w:tcPr>
          <w:p w:rsidR="00D21509" w:rsidRPr="00867DF8" w:rsidRDefault="00D21509" w:rsidP="00867DF8">
            <w:pPr>
              <w:spacing w:line="360" w:lineRule="auto"/>
              <w:jc w:val="right"/>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1.11</w:t>
            </w:r>
          </w:p>
        </w:tc>
        <w:tc>
          <w:tcPr>
            <w:tcW w:w="1418" w:type="dxa"/>
            <w:tcBorders>
              <w:top w:val="single" w:sz="4" w:space="0" w:color="auto"/>
            </w:tcBorders>
            <w:noWrap/>
            <w:vAlign w:val="center"/>
            <w:hideMark/>
          </w:tcPr>
          <w:p w:rsidR="00D21509" w:rsidRPr="00867DF8" w:rsidRDefault="00D21509" w:rsidP="00867DF8">
            <w:pPr>
              <w:spacing w:line="360" w:lineRule="auto"/>
              <w:jc w:val="right"/>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0.76–1.62</w:t>
            </w:r>
          </w:p>
        </w:tc>
        <w:tc>
          <w:tcPr>
            <w:tcW w:w="1280" w:type="dxa"/>
            <w:tcBorders>
              <w:top w:val="single" w:sz="4" w:space="0" w:color="auto"/>
            </w:tcBorders>
            <w:noWrap/>
            <w:vAlign w:val="center"/>
            <w:hideMark/>
          </w:tcPr>
          <w:p w:rsidR="00D21509" w:rsidRPr="00867DF8" w:rsidRDefault="00D21509" w:rsidP="00867DF8">
            <w:pPr>
              <w:spacing w:line="360" w:lineRule="auto"/>
              <w:jc w:val="right"/>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0.579</w:t>
            </w:r>
          </w:p>
        </w:tc>
      </w:tr>
      <w:tr w:rsidR="00D21509" w:rsidRPr="00867DF8" w:rsidTr="004210B3">
        <w:trPr>
          <w:trHeight w:val="320"/>
          <w:jc w:val="center"/>
        </w:trPr>
        <w:tc>
          <w:tcPr>
            <w:tcW w:w="1560" w:type="dxa"/>
            <w:noWrap/>
            <w:vAlign w:val="center"/>
            <w:hideMark/>
          </w:tcPr>
          <w:p w:rsidR="00D21509" w:rsidRPr="00867DF8" w:rsidRDefault="00D21509" w:rsidP="00867DF8">
            <w:pPr>
              <w:spacing w:line="360" w:lineRule="auto"/>
              <w:jc w:val="center"/>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2</w:t>
            </w:r>
          </w:p>
        </w:tc>
        <w:tc>
          <w:tcPr>
            <w:tcW w:w="992" w:type="dxa"/>
            <w:noWrap/>
            <w:vAlign w:val="center"/>
            <w:hideMark/>
          </w:tcPr>
          <w:p w:rsidR="00D21509" w:rsidRPr="00867DF8" w:rsidRDefault="00D21509" w:rsidP="00867DF8">
            <w:pPr>
              <w:spacing w:line="360" w:lineRule="auto"/>
              <w:jc w:val="center"/>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1191</w:t>
            </w:r>
          </w:p>
        </w:tc>
        <w:tc>
          <w:tcPr>
            <w:tcW w:w="850" w:type="dxa"/>
            <w:noWrap/>
            <w:vAlign w:val="center"/>
            <w:hideMark/>
          </w:tcPr>
          <w:p w:rsidR="00D21509" w:rsidRPr="00867DF8" w:rsidRDefault="00D21509" w:rsidP="00867DF8">
            <w:pPr>
              <w:spacing w:line="360" w:lineRule="auto"/>
              <w:jc w:val="center"/>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708</w:t>
            </w:r>
          </w:p>
        </w:tc>
        <w:tc>
          <w:tcPr>
            <w:tcW w:w="993" w:type="dxa"/>
            <w:noWrap/>
            <w:vAlign w:val="center"/>
            <w:hideMark/>
          </w:tcPr>
          <w:p w:rsidR="00D21509" w:rsidRPr="00867DF8" w:rsidRDefault="00D21509" w:rsidP="00867DF8">
            <w:pPr>
              <w:spacing w:line="360" w:lineRule="auto"/>
              <w:jc w:val="center"/>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483</w:t>
            </w:r>
          </w:p>
        </w:tc>
        <w:tc>
          <w:tcPr>
            <w:tcW w:w="1842" w:type="dxa"/>
            <w:noWrap/>
            <w:vAlign w:val="center"/>
            <w:hideMark/>
          </w:tcPr>
          <w:p w:rsidR="00D21509" w:rsidRPr="00867DF8" w:rsidRDefault="00D21509" w:rsidP="00867DF8">
            <w:pPr>
              <w:spacing w:line="360" w:lineRule="auto"/>
              <w:jc w:val="right"/>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1.19</w:t>
            </w:r>
          </w:p>
        </w:tc>
        <w:tc>
          <w:tcPr>
            <w:tcW w:w="1418" w:type="dxa"/>
            <w:noWrap/>
            <w:vAlign w:val="center"/>
            <w:hideMark/>
          </w:tcPr>
          <w:p w:rsidR="00D21509" w:rsidRPr="00867DF8" w:rsidRDefault="00D21509" w:rsidP="00867DF8">
            <w:pPr>
              <w:spacing w:line="360" w:lineRule="auto"/>
              <w:jc w:val="right"/>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0.83–1.70</w:t>
            </w:r>
          </w:p>
        </w:tc>
        <w:tc>
          <w:tcPr>
            <w:tcW w:w="1280" w:type="dxa"/>
            <w:noWrap/>
            <w:vAlign w:val="center"/>
            <w:hideMark/>
          </w:tcPr>
          <w:p w:rsidR="00D21509" w:rsidRPr="00867DF8" w:rsidRDefault="00D21509" w:rsidP="00867DF8">
            <w:pPr>
              <w:spacing w:line="360" w:lineRule="auto"/>
              <w:jc w:val="right"/>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0.348</w:t>
            </w:r>
          </w:p>
        </w:tc>
      </w:tr>
      <w:tr w:rsidR="00D21509" w:rsidRPr="00867DF8" w:rsidTr="004210B3">
        <w:trPr>
          <w:trHeight w:val="320"/>
          <w:jc w:val="center"/>
        </w:trPr>
        <w:tc>
          <w:tcPr>
            <w:tcW w:w="1560" w:type="dxa"/>
            <w:noWrap/>
            <w:vAlign w:val="center"/>
            <w:hideMark/>
          </w:tcPr>
          <w:p w:rsidR="00D21509" w:rsidRPr="00867DF8" w:rsidRDefault="00D21509" w:rsidP="00867DF8">
            <w:pPr>
              <w:spacing w:line="360" w:lineRule="auto"/>
              <w:jc w:val="center"/>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3</w:t>
            </w:r>
          </w:p>
        </w:tc>
        <w:tc>
          <w:tcPr>
            <w:tcW w:w="992" w:type="dxa"/>
            <w:noWrap/>
            <w:vAlign w:val="center"/>
            <w:hideMark/>
          </w:tcPr>
          <w:p w:rsidR="00D21509" w:rsidRPr="00867DF8" w:rsidRDefault="00D21509" w:rsidP="00867DF8">
            <w:pPr>
              <w:spacing w:line="360" w:lineRule="auto"/>
              <w:jc w:val="center"/>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1109</w:t>
            </w:r>
          </w:p>
        </w:tc>
        <w:tc>
          <w:tcPr>
            <w:tcW w:w="850" w:type="dxa"/>
            <w:noWrap/>
            <w:vAlign w:val="center"/>
            <w:hideMark/>
          </w:tcPr>
          <w:p w:rsidR="00D21509" w:rsidRPr="00867DF8" w:rsidRDefault="00D21509" w:rsidP="00867DF8">
            <w:pPr>
              <w:spacing w:line="360" w:lineRule="auto"/>
              <w:jc w:val="center"/>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736</w:t>
            </w:r>
          </w:p>
        </w:tc>
        <w:tc>
          <w:tcPr>
            <w:tcW w:w="993" w:type="dxa"/>
            <w:noWrap/>
            <w:vAlign w:val="center"/>
            <w:hideMark/>
          </w:tcPr>
          <w:p w:rsidR="00D21509" w:rsidRPr="00867DF8" w:rsidRDefault="00D21509" w:rsidP="00867DF8">
            <w:pPr>
              <w:spacing w:line="360" w:lineRule="auto"/>
              <w:jc w:val="center"/>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373</w:t>
            </w:r>
          </w:p>
        </w:tc>
        <w:tc>
          <w:tcPr>
            <w:tcW w:w="1842" w:type="dxa"/>
            <w:noWrap/>
            <w:vAlign w:val="center"/>
            <w:hideMark/>
          </w:tcPr>
          <w:p w:rsidR="00D21509" w:rsidRPr="00867DF8" w:rsidRDefault="00D21509" w:rsidP="00867DF8">
            <w:pPr>
              <w:spacing w:line="360" w:lineRule="auto"/>
              <w:jc w:val="right"/>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1.49</w:t>
            </w:r>
          </w:p>
        </w:tc>
        <w:tc>
          <w:tcPr>
            <w:tcW w:w="1418" w:type="dxa"/>
            <w:noWrap/>
            <w:vAlign w:val="center"/>
            <w:hideMark/>
          </w:tcPr>
          <w:p w:rsidR="00D21509" w:rsidRPr="00867DF8" w:rsidRDefault="00D21509" w:rsidP="00867DF8">
            <w:pPr>
              <w:spacing w:line="360" w:lineRule="auto"/>
              <w:jc w:val="right"/>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1.04–2.15</w:t>
            </w:r>
          </w:p>
        </w:tc>
        <w:tc>
          <w:tcPr>
            <w:tcW w:w="1280" w:type="dxa"/>
            <w:noWrap/>
            <w:vAlign w:val="center"/>
            <w:hideMark/>
          </w:tcPr>
          <w:p w:rsidR="00D21509" w:rsidRPr="00867DF8" w:rsidRDefault="00D21509" w:rsidP="00867DF8">
            <w:pPr>
              <w:spacing w:line="360" w:lineRule="auto"/>
              <w:jc w:val="right"/>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&lt; 0.05</w:t>
            </w:r>
          </w:p>
        </w:tc>
      </w:tr>
      <w:tr w:rsidR="00D21509" w:rsidRPr="00867DF8" w:rsidTr="004210B3">
        <w:trPr>
          <w:trHeight w:val="320"/>
          <w:jc w:val="center"/>
        </w:trPr>
        <w:tc>
          <w:tcPr>
            <w:tcW w:w="1560" w:type="dxa"/>
            <w:noWrap/>
            <w:vAlign w:val="center"/>
            <w:hideMark/>
          </w:tcPr>
          <w:p w:rsidR="00D21509" w:rsidRPr="00867DF8" w:rsidRDefault="00D21509" w:rsidP="00867DF8">
            <w:pPr>
              <w:spacing w:line="360" w:lineRule="auto"/>
              <w:jc w:val="center"/>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4</w:t>
            </w:r>
          </w:p>
        </w:tc>
        <w:tc>
          <w:tcPr>
            <w:tcW w:w="992" w:type="dxa"/>
            <w:noWrap/>
            <w:vAlign w:val="center"/>
            <w:hideMark/>
          </w:tcPr>
          <w:p w:rsidR="00D21509" w:rsidRPr="00867DF8" w:rsidRDefault="00D21509" w:rsidP="00867DF8">
            <w:pPr>
              <w:spacing w:line="360" w:lineRule="auto"/>
              <w:jc w:val="center"/>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1030</w:t>
            </w:r>
          </w:p>
        </w:tc>
        <w:tc>
          <w:tcPr>
            <w:tcW w:w="850" w:type="dxa"/>
            <w:noWrap/>
            <w:vAlign w:val="center"/>
            <w:hideMark/>
          </w:tcPr>
          <w:p w:rsidR="00D21509" w:rsidRPr="00867DF8" w:rsidRDefault="00D21509" w:rsidP="00867DF8">
            <w:pPr>
              <w:spacing w:line="360" w:lineRule="auto"/>
              <w:jc w:val="center"/>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723</w:t>
            </w:r>
          </w:p>
        </w:tc>
        <w:tc>
          <w:tcPr>
            <w:tcW w:w="993" w:type="dxa"/>
            <w:noWrap/>
            <w:vAlign w:val="center"/>
            <w:hideMark/>
          </w:tcPr>
          <w:p w:rsidR="00D21509" w:rsidRPr="00867DF8" w:rsidRDefault="00D21509" w:rsidP="00867DF8">
            <w:pPr>
              <w:spacing w:line="360" w:lineRule="auto"/>
              <w:jc w:val="center"/>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307</w:t>
            </w:r>
          </w:p>
        </w:tc>
        <w:tc>
          <w:tcPr>
            <w:tcW w:w="1842" w:type="dxa"/>
            <w:noWrap/>
            <w:vAlign w:val="center"/>
            <w:hideMark/>
          </w:tcPr>
          <w:p w:rsidR="00D21509" w:rsidRPr="00867DF8" w:rsidRDefault="00D21509" w:rsidP="00867DF8">
            <w:pPr>
              <w:spacing w:line="360" w:lineRule="auto"/>
              <w:jc w:val="right"/>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1.68</w:t>
            </w:r>
          </w:p>
        </w:tc>
        <w:tc>
          <w:tcPr>
            <w:tcW w:w="1418" w:type="dxa"/>
            <w:noWrap/>
            <w:vAlign w:val="center"/>
            <w:hideMark/>
          </w:tcPr>
          <w:p w:rsidR="00D21509" w:rsidRPr="00867DF8" w:rsidRDefault="00D21509" w:rsidP="00867DF8">
            <w:pPr>
              <w:spacing w:line="360" w:lineRule="auto"/>
              <w:jc w:val="right"/>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1.15–2.46</w:t>
            </w:r>
          </w:p>
        </w:tc>
        <w:tc>
          <w:tcPr>
            <w:tcW w:w="1280" w:type="dxa"/>
            <w:noWrap/>
            <w:vAlign w:val="center"/>
            <w:hideMark/>
          </w:tcPr>
          <w:p w:rsidR="00D21509" w:rsidRPr="00867DF8" w:rsidRDefault="00D21509" w:rsidP="00867DF8">
            <w:pPr>
              <w:spacing w:line="360" w:lineRule="auto"/>
              <w:jc w:val="right"/>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&lt; 0.01</w:t>
            </w:r>
          </w:p>
        </w:tc>
      </w:tr>
      <w:tr w:rsidR="00D21509" w:rsidRPr="00867DF8" w:rsidTr="004210B3">
        <w:trPr>
          <w:trHeight w:val="320"/>
          <w:jc w:val="center"/>
        </w:trPr>
        <w:tc>
          <w:tcPr>
            <w:tcW w:w="1560" w:type="dxa"/>
            <w:noWrap/>
            <w:vAlign w:val="center"/>
            <w:hideMark/>
          </w:tcPr>
          <w:p w:rsidR="00D21509" w:rsidRPr="00867DF8" w:rsidRDefault="00D21509" w:rsidP="00867DF8">
            <w:pPr>
              <w:spacing w:line="360" w:lineRule="auto"/>
              <w:jc w:val="center"/>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5</w:t>
            </w:r>
          </w:p>
        </w:tc>
        <w:tc>
          <w:tcPr>
            <w:tcW w:w="992" w:type="dxa"/>
            <w:noWrap/>
            <w:vAlign w:val="center"/>
            <w:hideMark/>
          </w:tcPr>
          <w:p w:rsidR="00D21509" w:rsidRPr="00867DF8" w:rsidRDefault="00D21509" w:rsidP="00867DF8">
            <w:pPr>
              <w:spacing w:line="360" w:lineRule="auto"/>
              <w:jc w:val="center"/>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972</w:t>
            </w:r>
          </w:p>
        </w:tc>
        <w:tc>
          <w:tcPr>
            <w:tcW w:w="850" w:type="dxa"/>
            <w:noWrap/>
            <w:vAlign w:val="center"/>
            <w:hideMark/>
          </w:tcPr>
          <w:p w:rsidR="00D21509" w:rsidRPr="00867DF8" w:rsidRDefault="00D21509" w:rsidP="00867DF8">
            <w:pPr>
              <w:spacing w:line="360" w:lineRule="auto"/>
              <w:jc w:val="center"/>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717</w:t>
            </w:r>
          </w:p>
        </w:tc>
        <w:tc>
          <w:tcPr>
            <w:tcW w:w="993" w:type="dxa"/>
            <w:noWrap/>
            <w:vAlign w:val="center"/>
            <w:hideMark/>
          </w:tcPr>
          <w:p w:rsidR="00D21509" w:rsidRPr="00867DF8" w:rsidRDefault="00D21509" w:rsidP="00867DF8">
            <w:pPr>
              <w:spacing w:line="360" w:lineRule="auto"/>
              <w:jc w:val="center"/>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255</w:t>
            </w:r>
          </w:p>
        </w:tc>
        <w:tc>
          <w:tcPr>
            <w:tcW w:w="1842" w:type="dxa"/>
            <w:noWrap/>
            <w:vAlign w:val="center"/>
            <w:hideMark/>
          </w:tcPr>
          <w:p w:rsidR="00D21509" w:rsidRPr="00867DF8" w:rsidRDefault="00D21509" w:rsidP="00867DF8">
            <w:pPr>
              <w:spacing w:line="360" w:lineRule="auto"/>
              <w:jc w:val="right"/>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1.83</w:t>
            </w:r>
          </w:p>
        </w:tc>
        <w:tc>
          <w:tcPr>
            <w:tcW w:w="1418" w:type="dxa"/>
            <w:noWrap/>
            <w:vAlign w:val="center"/>
            <w:hideMark/>
          </w:tcPr>
          <w:p w:rsidR="00D21509" w:rsidRPr="00867DF8" w:rsidRDefault="00D21509" w:rsidP="00867DF8">
            <w:pPr>
              <w:spacing w:line="360" w:lineRule="auto"/>
              <w:jc w:val="right"/>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1.24–2.71</w:t>
            </w:r>
          </w:p>
        </w:tc>
        <w:tc>
          <w:tcPr>
            <w:tcW w:w="1280" w:type="dxa"/>
            <w:noWrap/>
            <w:vAlign w:val="center"/>
            <w:hideMark/>
          </w:tcPr>
          <w:p w:rsidR="00D21509" w:rsidRPr="00867DF8" w:rsidRDefault="00D21509" w:rsidP="00867DF8">
            <w:pPr>
              <w:spacing w:line="360" w:lineRule="auto"/>
              <w:jc w:val="right"/>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&lt; 0.01</w:t>
            </w:r>
          </w:p>
        </w:tc>
      </w:tr>
      <w:tr w:rsidR="00D21509" w:rsidRPr="00867DF8" w:rsidTr="004210B3">
        <w:trPr>
          <w:trHeight w:val="320"/>
          <w:jc w:val="center"/>
        </w:trPr>
        <w:tc>
          <w:tcPr>
            <w:tcW w:w="1560" w:type="dxa"/>
            <w:noWrap/>
            <w:vAlign w:val="center"/>
            <w:hideMark/>
          </w:tcPr>
          <w:p w:rsidR="00D21509" w:rsidRPr="00867DF8" w:rsidRDefault="00D21509" w:rsidP="00867DF8">
            <w:pPr>
              <w:spacing w:line="360" w:lineRule="auto"/>
              <w:jc w:val="center"/>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6</w:t>
            </w:r>
          </w:p>
        </w:tc>
        <w:tc>
          <w:tcPr>
            <w:tcW w:w="992" w:type="dxa"/>
            <w:noWrap/>
            <w:vAlign w:val="center"/>
            <w:hideMark/>
          </w:tcPr>
          <w:p w:rsidR="00D21509" w:rsidRPr="00867DF8" w:rsidRDefault="00D21509" w:rsidP="00867DF8">
            <w:pPr>
              <w:spacing w:line="360" w:lineRule="auto"/>
              <w:jc w:val="center"/>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912</w:t>
            </w:r>
          </w:p>
        </w:tc>
        <w:tc>
          <w:tcPr>
            <w:tcW w:w="850" w:type="dxa"/>
            <w:noWrap/>
            <w:vAlign w:val="center"/>
            <w:hideMark/>
          </w:tcPr>
          <w:p w:rsidR="00D21509" w:rsidRPr="00867DF8" w:rsidRDefault="00D21509" w:rsidP="00867DF8">
            <w:pPr>
              <w:spacing w:line="360" w:lineRule="auto"/>
              <w:jc w:val="center"/>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689</w:t>
            </w:r>
          </w:p>
        </w:tc>
        <w:tc>
          <w:tcPr>
            <w:tcW w:w="993" w:type="dxa"/>
            <w:noWrap/>
            <w:vAlign w:val="center"/>
            <w:hideMark/>
          </w:tcPr>
          <w:p w:rsidR="00D21509" w:rsidRPr="00867DF8" w:rsidRDefault="00D21509" w:rsidP="00867DF8">
            <w:pPr>
              <w:spacing w:line="360" w:lineRule="auto"/>
              <w:jc w:val="center"/>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223</w:t>
            </w:r>
          </w:p>
        </w:tc>
        <w:tc>
          <w:tcPr>
            <w:tcW w:w="1842" w:type="dxa"/>
            <w:noWrap/>
            <w:vAlign w:val="center"/>
            <w:hideMark/>
          </w:tcPr>
          <w:p w:rsidR="00D21509" w:rsidRPr="00867DF8" w:rsidRDefault="00D21509" w:rsidP="00867DF8">
            <w:pPr>
              <w:spacing w:line="360" w:lineRule="auto"/>
              <w:jc w:val="right"/>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1.82</w:t>
            </w:r>
          </w:p>
        </w:tc>
        <w:tc>
          <w:tcPr>
            <w:tcW w:w="1418" w:type="dxa"/>
            <w:noWrap/>
            <w:vAlign w:val="center"/>
            <w:hideMark/>
          </w:tcPr>
          <w:p w:rsidR="00D21509" w:rsidRPr="00867DF8" w:rsidRDefault="00D21509" w:rsidP="00867DF8">
            <w:pPr>
              <w:spacing w:line="360" w:lineRule="auto"/>
              <w:jc w:val="right"/>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1.21–2.76</w:t>
            </w:r>
          </w:p>
        </w:tc>
        <w:tc>
          <w:tcPr>
            <w:tcW w:w="1280" w:type="dxa"/>
            <w:noWrap/>
            <w:vAlign w:val="center"/>
            <w:hideMark/>
          </w:tcPr>
          <w:p w:rsidR="00D21509" w:rsidRPr="00867DF8" w:rsidRDefault="00D21509" w:rsidP="00867DF8">
            <w:pPr>
              <w:spacing w:line="360" w:lineRule="auto"/>
              <w:jc w:val="right"/>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&lt; 0.01</w:t>
            </w:r>
          </w:p>
        </w:tc>
      </w:tr>
      <w:tr w:rsidR="00D21509" w:rsidRPr="00867DF8" w:rsidTr="004210B3">
        <w:trPr>
          <w:trHeight w:val="320"/>
          <w:jc w:val="center"/>
        </w:trPr>
        <w:tc>
          <w:tcPr>
            <w:tcW w:w="1560" w:type="dxa"/>
            <w:noWrap/>
            <w:vAlign w:val="center"/>
            <w:hideMark/>
          </w:tcPr>
          <w:p w:rsidR="00D21509" w:rsidRPr="00867DF8" w:rsidRDefault="00D21509" w:rsidP="00867DF8">
            <w:pPr>
              <w:spacing w:line="360" w:lineRule="auto"/>
              <w:jc w:val="center"/>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7</w:t>
            </w:r>
          </w:p>
        </w:tc>
        <w:tc>
          <w:tcPr>
            <w:tcW w:w="992" w:type="dxa"/>
            <w:noWrap/>
            <w:vAlign w:val="center"/>
            <w:hideMark/>
          </w:tcPr>
          <w:p w:rsidR="00D21509" w:rsidRPr="00867DF8" w:rsidRDefault="00D21509" w:rsidP="00867DF8">
            <w:pPr>
              <w:spacing w:line="360" w:lineRule="auto"/>
              <w:jc w:val="center"/>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873</w:t>
            </w:r>
          </w:p>
        </w:tc>
        <w:tc>
          <w:tcPr>
            <w:tcW w:w="850" w:type="dxa"/>
            <w:noWrap/>
            <w:vAlign w:val="center"/>
            <w:hideMark/>
          </w:tcPr>
          <w:p w:rsidR="00D21509" w:rsidRPr="00867DF8" w:rsidRDefault="00D21509" w:rsidP="00867DF8">
            <w:pPr>
              <w:spacing w:line="360" w:lineRule="auto"/>
              <w:jc w:val="center"/>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674</w:t>
            </w:r>
          </w:p>
        </w:tc>
        <w:tc>
          <w:tcPr>
            <w:tcW w:w="993" w:type="dxa"/>
            <w:noWrap/>
            <w:vAlign w:val="center"/>
            <w:hideMark/>
          </w:tcPr>
          <w:p w:rsidR="00D21509" w:rsidRPr="00867DF8" w:rsidRDefault="00D21509" w:rsidP="00867DF8">
            <w:pPr>
              <w:spacing w:line="360" w:lineRule="auto"/>
              <w:jc w:val="center"/>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199</w:t>
            </w:r>
          </w:p>
        </w:tc>
        <w:tc>
          <w:tcPr>
            <w:tcW w:w="1842" w:type="dxa"/>
            <w:noWrap/>
            <w:vAlign w:val="center"/>
            <w:hideMark/>
          </w:tcPr>
          <w:p w:rsidR="00D21509" w:rsidRPr="00867DF8" w:rsidRDefault="00D21509" w:rsidP="00867DF8">
            <w:pPr>
              <w:spacing w:line="360" w:lineRule="auto"/>
              <w:jc w:val="right"/>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1.68</w:t>
            </w:r>
          </w:p>
        </w:tc>
        <w:tc>
          <w:tcPr>
            <w:tcW w:w="1418" w:type="dxa"/>
            <w:noWrap/>
            <w:vAlign w:val="center"/>
            <w:hideMark/>
          </w:tcPr>
          <w:p w:rsidR="00D21509" w:rsidRPr="00867DF8" w:rsidRDefault="00D21509" w:rsidP="00867DF8">
            <w:pPr>
              <w:spacing w:line="360" w:lineRule="auto"/>
              <w:jc w:val="right"/>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1.08–2.60</w:t>
            </w:r>
          </w:p>
        </w:tc>
        <w:tc>
          <w:tcPr>
            <w:tcW w:w="1280" w:type="dxa"/>
            <w:noWrap/>
            <w:vAlign w:val="center"/>
            <w:hideMark/>
          </w:tcPr>
          <w:p w:rsidR="00D21509" w:rsidRPr="00867DF8" w:rsidRDefault="00D21509" w:rsidP="00867DF8">
            <w:pPr>
              <w:spacing w:line="360" w:lineRule="auto"/>
              <w:jc w:val="right"/>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&lt; 0.05</w:t>
            </w:r>
          </w:p>
        </w:tc>
      </w:tr>
      <w:tr w:rsidR="00D21509" w:rsidRPr="00867DF8" w:rsidTr="004210B3">
        <w:trPr>
          <w:trHeight w:val="320"/>
          <w:jc w:val="center"/>
        </w:trPr>
        <w:tc>
          <w:tcPr>
            <w:tcW w:w="1560" w:type="dxa"/>
            <w:noWrap/>
            <w:vAlign w:val="center"/>
            <w:hideMark/>
          </w:tcPr>
          <w:p w:rsidR="00D21509" w:rsidRPr="00867DF8" w:rsidRDefault="00D21509" w:rsidP="00867DF8">
            <w:pPr>
              <w:spacing w:line="360" w:lineRule="auto"/>
              <w:jc w:val="center"/>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8</w:t>
            </w:r>
          </w:p>
        </w:tc>
        <w:tc>
          <w:tcPr>
            <w:tcW w:w="992" w:type="dxa"/>
            <w:noWrap/>
            <w:vAlign w:val="center"/>
            <w:hideMark/>
          </w:tcPr>
          <w:p w:rsidR="00D21509" w:rsidRPr="00867DF8" w:rsidRDefault="00D21509" w:rsidP="00867DF8">
            <w:pPr>
              <w:spacing w:line="360" w:lineRule="auto"/>
              <w:jc w:val="center"/>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837</w:t>
            </w:r>
          </w:p>
        </w:tc>
        <w:tc>
          <w:tcPr>
            <w:tcW w:w="850" w:type="dxa"/>
            <w:noWrap/>
            <w:vAlign w:val="center"/>
            <w:hideMark/>
          </w:tcPr>
          <w:p w:rsidR="00D21509" w:rsidRPr="00867DF8" w:rsidRDefault="00D21509" w:rsidP="00867DF8">
            <w:pPr>
              <w:spacing w:line="360" w:lineRule="auto"/>
              <w:jc w:val="center"/>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659</w:t>
            </w:r>
          </w:p>
        </w:tc>
        <w:tc>
          <w:tcPr>
            <w:tcW w:w="993" w:type="dxa"/>
            <w:noWrap/>
            <w:vAlign w:val="center"/>
            <w:hideMark/>
          </w:tcPr>
          <w:p w:rsidR="00D21509" w:rsidRPr="00867DF8" w:rsidRDefault="00D21509" w:rsidP="00867DF8">
            <w:pPr>
              <w:spacing w:line="360" w:lineRule="auto"/>
              <w:jc w:val="center"/>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178</w:t>
            </w:r>
          </w:p>
        </w:tc>
        <w:tc>
          <w:tcPr>
            <w:tcW w:w="1842" w:type="dxa"/>
            <w:noWrap/>
            <w:vAlign w:val="center"/>
            <w:hideMark/>
          </w:tcPr>
          <w:p w:rsidR="00D21509" w:rsidRPr="00867DF8" w:rsidRDefault="00D21509" w:rsidP="00867DF8">
            <w:pPr>
              <w:spacing w:line="360" w:lineRule="auto"/>
              <w:jc w:val="right"/>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1.77</w:t>
            </w:r>
          </w:p>
        </w:tc>
        <w:tc>
          <w:tcPr>
            <w:tcW w:w="1418" w:type="dxa"/>
            <w:noWrap/>
            <w:vAlign w:val="center"/>
            <w:hideMark/>
          </w:tcPr>
          <w:p w:rsidR="00D21509" w:rsidRPr="00867DF8" w:rsidRDefault="00D21509" w:rsidP="00867DF8">
            <w:pPr>
              <w:spacing w:line="360" w:lineRule="auto"/>
              <w:jc w:val="right"/>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1.14–2.77</w:t>
            </w:r>
          </w:p>
        </w:tc>
        <w:tc>
          <w:tcPr>
            <w:tcW w:w="1280" w:type="dxa"/>
            <w:noWrap/>
            <w:vAlign w:val="center"/>
            <w:hideMark/>
          </w:tcPr>
          <w:p w:rsidR="00D21509" w:rsidRPr="00867DF8" w:rsidRDefault="00D21509" w:rsidP="00867DF8">
            <w:pPr>
              <w:spacing w:line="360" w:lineRule="auto"/>
              <w:jc w:val="right"/>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&lt; 0.05</w:t>
            </w:r>
          </w:p>
        </w:tc>
      </w:tr>
      <w:tr w:rsidR="00D21509" w:rsidRPr="00867DF8" w:rsidTr="004210B3">
        <w:trPr>
          <w:trHeight w:val="320"/>
          <w:jc w:val="center"/>
        </w:trPr>
        <w:tc>
          <w:tcPr>
            <w:tcW w:w="1560" w:type="dxa"/>
            <w:noWrap/>
            <w:vAlign w:val="center"/>
          </w:tcPr>
          <w:p w:rsidR="00D21509" w:rsidRPr="00867DF8" w:rsidRDefault="00D21509" w:rsidP="00867DF8">
            <w:pPr>
              <w:spacing w:line="360" w:lineRule="auto"/>
              <w:jc w:val="center"/>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9</w:t>
            </w:r>
          </w:p>
        </w:tc>
        <w:tc>
          <w:tcPr>
            <w:tcW w:w="992" w:type="dxa"/>
            <w:noWrap/>
            <w:vAlign w:val="center"/>
          </w:tcPr>
          <w:p w:rsidR="00D21509" w:rsidRPr="00867DF8" w:rsidRDefault="00D21509" w:rsidP="00867DF8">
            <w:pPr>
              <w:spacing w:line="360" w:lineRule="auto"/>
              <w:jc w:val="center"/>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795</w:t>
            </w:r>
          </w:p>
        </w:tc>
        <w:tc>
          <w:tcPr>
            <w:tcW w:w="850" w:type="dxa"/>
            <w:noWrap/>
            <w:vAlign w:val="center"/>
          </w:tcPr>
          <w:p w:rsidR="00D21509" w:rsidRPr="00867DF8" w:rsidRDefault="00D21509" w:rsidP="00867DF8">
            <w:pPr>
              <w:spacing w:line="360" w:lineRule="auto"/>
              <w:jc w:val="center"/>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632</w:t>
            </w:r>
          </w:p>
        </w:tc>
        <w:tc>
          <w:tcPr>
            <w:tcW w:w="993" w:type="dxa"/>
            <w:noWrap/>
            <w:vAlign w:val="center"/>
          </w:tcPr>
          <w:p w:rsidR="00D21509" w:rsidRPr="00867DF8" w:rsidRDefault="00D21509" w:rsidP="00867DF8">
            <w:pPr>
              <w:spacing w:line="360" w:lineRule="auto"/>
              <w:jc w:val="center"/>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163</w:t>
            </w:r>
          </w:p>
        </w:tc>
        <w:tc>
          <w:tcPr>
            <w:tcW w:w="1842" w:type="dxa"/>
            <w:noWrap/>
            <w:vAlign w:val="center"/>
          </w:tcPr>
          <w:p w:rsidR="00D21509" w:rsidRPr="00867DF8" w:rsidRDefault="00D21509" w:rsidP="00867DF8">
            <w:pPr>
              <w:spacing w:line="360" w:lineRule="auto"/>
              <w:jc w:val="right"/>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1.70</w:t>
            </w:r>
          </w:p>
        </w:tc>
        <w:tc>
          <w:tcPr>
            <w:tcW w:w="1418" w:type="dxa"/>
            <w:noWrap/>
            <w:vAlign w:val="center"/>
          </w:tcPr>
          <w:p w:rsidR="00D21509" w:rsidRPr="00867DF8" w:rsidRDefault="00D21509" w:rsidP="00867DF8">
            <w:pPr>
              <w:spacing w:line="360" w:lineRule="auto"/>
              <w:jc w:val="right"/>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1.08–2.67</w:t>
            </w:r>
          </w:p>
        </w:tc>
        <w:tc>
          <w:tcPr>
            <w:tcW w:w="1280" w:type="dxa"/>
            <w:noWrap/>
            <w:vAlign w:val="center"/>
          </w:tcPr>
          <w:p w:rsidR="00D21509" w:rsidRPr="00867DF8" w:rsidRDefault="00D21509" w:rsidP="00867DF8">
            <w:pPr>
              <w:spacing w:line="360" w:lineRule="auto"/>
              <w:jc w:val="right"/>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&lt; 0.05</w:t>
            </w:r>
          </w:p>
        </w:tc>
      </w:tr>
      <w:tr w:rsidR="00D21509" w:rsidRPr="00867DF8" w:rsidTr="004210B3">
        <w:trPr>
          <w:trHeight w:val="320"/>
          <w:jc w:val="center"/>
        </w:trPr>
        <w:tc>
          <w:tcPr>
            <w:tcW w:w="1560" w:type="dxa"/>
            <w:noWrap/>
            <w:vAlign w:val="center"/>
          </w:tcPr>
          <w:p w:rsidR="00D21509" w:rsidRPr="00867DF8" w:rsidRDefault="00D21509" w:rsidP="00867DF8">
            <w:pPr>
              <w:spacing w:line="360" w:lineRule="auto"/>
              <w:jc w:val="center"/>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10</w:t>
            </w:r>
          </w:p>
        </w:tc>
        <w:tc>
          <w:tcPr>
            <w:tcW w:w="992" w:type="dxa"/>
            <w:noWrap/>
            <w:vAlign w:val="center"/>
          </w:tcPr>
          <w:p w:rsidR="00D21509" w:rsidRPr="00867DF8" w:rsidRDefault="00D21509" w:rsidP="00867DF8">
            <w:pPr>
              <w:spacing w:line="360" w:lineRule="auto"/>
              <w:jc w:val="center"/>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764</w:t>
            </w:r>
          </w:p>
        </w:tc>
        <w:tc>
          <w:tcPr>
            <w:tcW w:w="850" w:type="dxa"/>
            <w:noWrap/>
            <w:vAlign w:val="center"/>
          </w:tcPr>
          <w:p w:rsidR="00D21509" w:rsidRPr="00867DF8" w:rsidRDefault="00D21509" w:rsidP="00867DF8">
            <w:pPr>
              <w:spacing w:line="360" w:lineRule="auto"/>
              <w:jc w:val="center"/>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615</w:t>
            </w:r>
          </w:p>
        </w:tc>
        <w:tc>
          <w:tcPr>
            <w:tcW w:w="993" w:type="dxa"/>
            <w:noWrap/>
            <w:vAlign w:val="center"/>
          </w:tcPr>
          <w:p w:rsidR="00D21509" w:rsidRPr="00867DF8" w:rsidRDefault="00D21509" w:rsidP="00867DF8">
            <w:pPr>
              <w:spacing w:line="360" w:lineRule="auto"/>
              <w:jc w:val="center"/>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149</w:t>
            </w:r>
          </w:p>
        </w:tc>
        <w:tc>
          <w:tcPr>
            <w:tcW w:w="1842" w:type="dxa"/>
            <w:noWrap/>
            <w:vAlign w:val="center"/>
          </w:tcPr>
          <w:p w:rsidR="00D21509" w:rsidRPr="00867DF8" w:rsidRDefault="00D21509" w:rsidP="00867DF8">
            <w:pPr>
              <w:spacing w:line="360" w:lineRule="auto"/>
              <w:jc w:val="right"/>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1.71</w:t>
            </w:r>
          </w:p>
        </w:tc>
        <w:tc>
          <w:tcPr>
            <w:tcW w:w="1418" w:type="dxa"/>
            <w:noWrap/>
            <w:vAlign w:val="center"/>
          </w:tcPr>
          <w:p w:rsidR="00D21509" w:rsidRPr="00867DF8" w:rsidRDefault="00D21509" w:rsidP="00867DF8">
            <w:pPr>
              <w:spacing w:line="360" w:lineRule="auto"/>
              <w:jc w:val="right"/>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1.07–2.73</w:t>
            </w:r>
          </w:p>
        </w:tc>
        <w:tc>
          <w:tcPr>
            <w:tcW w:w="1280" w:type="dxa"/>
            <w:noWrap/>
            <w:vAlign w:val="center"/>
          </w:tcPr>
          <w:p w:rsidR="00D21509" w:rsidRPr="00867DF8" w:rsidRDefault="00D21509" w:rsidP="00867DF8">
            <w:pPr>
              <w:spacing w:line="360" w:lineRule="auto"/>
              <w:jc w:val="right"/>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&lt; 0.05</w:t>
            </w:r>
          </w:p>
        </w:tc>
      </w:tr>
      <w:tr w:rsidR="00D21509" w:rsidRPr="00867DF8" w:rsidTr="004210B3">
        <w:trPr>
          <w:trHeight w:val="320"/>
          <w:jc w:val="center"/>
        </w:trPr>
        <w:tc>
          <w:tcPr>
            <w:tcW w:w="1560" w:type="dxa"/>
            <w:noWrap/>
            <w:vAlign w:val="center"/>
          </w:tcPr>
          <w:p w:rsidR="00D21509" w:rsidRPr="00867DF8" w:rsidRDefault="00D21509" w:rsidP="00867DF8">
            <w:pPr>
              <w:spacing w:line="360" w:lineRule="auto"/>
              <w:jc w:val="center"/>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11</w:t>
            </w:r>
          </w:p>
        </w:tc>
        <w:tc>
          <w:tcPr>
            <w:tcW w:w="992" w:type="dxa"/>
            <w:noWrap/>
            <w:vAlign w:val="center"/>
          </w:tcPr>
          <w:p w:rsidR="00D21509" w:rsidRPr="00867DF8" w:rsidRDefault="00D21509" w:rsidP="00867DF8">
            <w:pPr>
              <w:spacing w:line="360" w:lineRule="auto"/>
              <w:jc w:val="center"/>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730</w:t>
            </w:r>
          </w:p>
        </w:tc>
        <w:tc>
          <w:tcPr>
            <w:tcW w:w="850" w:type="dxa"/>
            <w:noWrap/>
            <w:vAlign w:val="center"/>
          </w:tcPr>
          <w:p w:rsidR="00D21509" w:rsidRPr="00867DF8" w:rsidRDefault="00D21509" w:rsidP="00867DF8">
            <w:pPr>
              <w:spacing w:line="360" w:lineRule="auto"/>
              <w:jc w:val="center"/>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591</w:t>
            </w:r>
          </w:p>
        </w:tc>
        <w:tc>
          <w:tcPr>
            <w:tcW w:w="993" w:type="dxa"/>
            <w:noWrap/>
            <w:vAlign w:val="center"/>
          </w:tcPr>
          <w:p w:rsidR="00D21509" w:rsidRPr="00867DF8" w:rsidRDefault="00D21509" w:rsidP="00867DF8">
            <w:pPr>
              <w:spacing w:line="360" w:lineRule="auto"/>
              <w:jc w:val="center"/>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139</w:t>
            </w:r>
          </w:p>
        </w:tc>
        <w:tc>
          <w:tcPr>
            <w:tcW w:w="1842" w:type="dxa"/>
            <w:noWrap/>
            <w:vAlign w:val="center"/>
          </w:tcPr>
          <w:p w:rsidR="00D21509" w:rsidRPr="00867DF8" w:rsidRDefault="00D21509" w:rsidP="00867DF8">
            <w:pPr>
              <w:spacing w:line="360" w:lineRule="auto"/>
              <w:jc w:val="right"/>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1.77</w:t>
            </w:r>
          </w:p>
        </w:tc>
        <w:tc>
          <w:tcPr>
            <w:tcW w:w="1418" w:type="dxa"/>
            <w:noWrap/>
            <w:vAlign w:val="center"/>
          </w:tcPr>
          <w:p w:rsidR="00D21509" w:rsidRPr="00867DF8" w:rsidRDefault="00D21509" w:rsidP="00867DF8">
            <w:pPr>
              <w:spacing w:line="360" w:lineRule="auto"/>
              <w:jc w:val="right"/>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1.11–2.84</w:t>
            </w:r>
          </w:p>
        </w:tc>
        <w:tc>
          <w:tcPr>
            <w:tcW w:w="1280" w:type="dxa"/>
            <w:noWrap/>
            <w:vAlign w:val="center"/>
          </w:tcPr>
          <w:p w:rsidR="00D21509" w:rsidRPr="00867DF8" w:rsidRDefault="00D21509" w:rsidP="00867DF8">
            <w:pPr>
              <w:spacing w:line="360" w:lineRule="auto"/>
              <w:jc w:val="right"/>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&lt; 0.05</w:t>
            </w:r>
          </w:p>
        </w:tc>
      </w:tr>
      <w:tr w:rsidR="00D21509" w:rsidRPr="00867DF8" w:rsidTr="004210B3">
        <w:trPr>
          <w:trHeight w:val="340"/>
          <w:jc w:val="center"/>
        </w:trPr>
        <w:tc>
          <w:tcPr>
            <w:tcW w:w="1560" w:type="dxa"/>
            <w:noWrap/>
            <w:vAlign w:val="center"/>
            <w:hideMark/>
          </w:tcPr>
          <w:p w:rsidR="00D21509" w:rsidRPr="00867DF8" w:rsidRDefault="00D21509" w:rsidP="00867DF8">
            <w:pPr>
              <w:spacing w:line="360" w:lineRule="auto"/>
              <w:jc w:val="center"/>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12</w:t>
            </w:r>
          </w:p>
        </w:tc>
        <w:tc>
          <w:tcPr>
            <w:tcW w:w="992" w:type="dxa"/>
            <w:noWrap/>
            <w:vAlign w:val="center"/>
            <w:hideMark/>
          </w:tcPr>
          <w:p w:rsidR="00D21509" w:rsidRPr="00867DF8" w:rsidRDefault="00D21509" w:rsidP="00867DF8">
            <w:pPr>
              <w:spacing w:line="360" w:lineRule="auto"/>
              <w:jc w:val="center"/>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699</w:t>
            </w:r>
          </w:p>
        </w:tc>
        <w:tc>
          <w:tcPr>
            <w:tcW w:w="850" w:type="dxa"/>
            <w:noWrap/>
            <w:vAlign w:val="center"/>
            <w:hideMark/>
          </w:tcPr>
          <w:p w:rsidR="00D21509" w:rsidRPr="00867DF8" w:rsidRDefault="00D21509" w:rsidP="00867DF8">
            <w:pPr>
              <w:spacing w:line="360" w:lineRule="auto"/>
              <w:jc w:val="center"/>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576</w:t>
            </w:r>
          </w:p>
        </w:tc>
        <w:tc>
          <w:tcPr>
            <w:tcW w:w="993" w:type="dxa"/>
            <w:noWrap/>
            <w:vAlign w:val="center"/>
            <w:hideMark/>
          </w:tcPr>
          <w:p w:rsidR="00D21509" w:rsidRPr="00867DF8" w:rsidRDefault="00D21509" w:rsidP="00867DF8">
            <w:pPr>
              <w:spacing w:line="360" w:lineRule="auto"/>
              <w:jc w:val="center"/>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123</w:t>
            </w:r>
          </w:p>
        </w:tc>
        <w:tc>
          <w:tcPr>
            <w:tcW w:w="1842" w:type="dxa"/>
            <w:noWrap/>
            <w:vAlign w:val="center"/>
            <w:hideMark/>
          </w:tcPr>
          <w:p w:rsidR="00D21509" w:rsidRPr="00867DF8" w:rsidRDefault="00D21509" w:rsidP="00867DF8">
            <w:pPr>
              <w:spacing w:line="360" w:lineRule="auto"/>
              <w:jc w:val="right"/>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1.67</w:t>
            </w:r>
          </w:p>
        </w:tc>
        <w:tc>
          <w:tcPr>
            <w:tcW w:w="1418" w:type="dxa"/>
            <w:noWrap/>
            <w:vAlign w:val="center"/>
            <w:hideMark/>
          </w:tcPr>
          <w:p w:rsidR="00D21509" w:rsidRPr="00867DF8" w:rsidRDefault="00D21509" w:rsidP="00867DF8">
            <w:pPr>
              <w:spacing w:line="360" w:lineRule="auto"/>
              <w:jc w:val="right"/>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1.02–2.73</w:t>
            </w:r>
          </w:p>
        </w:tc>
        <w:tc>
          <w:tcPr>
            <w:tcW w:w="1280" w:type="dxa"/>
            <w:noWrap/>
            <w:vAlign w:val="center"/>
            <w:hideMark/>
          </w:tcPr>
          <w:p w:rsidR="00D21509" w:rsidRPr="00867DF8" w:rsidRDefault="00D21509" w:rsidP="00867DF8">
            <w:pPr>
              <w:spacing w:line="360" w:lineRule="auto"/>
              <w:jc w:val="right"/>
              <w:rPr>
                <w:rFonts w:ascii="Times New Roman" w:eastAsia="Yu Gothic" w:hAnsi="Times New Roman" w:cs="Times New Roman"/>
                <w:color w:val="000000"/>
                <w:szCs w:val="21"/>
              </w:rPr>
            </w:pPr>
            <w:r w:rsidRPr="00867DF8">
              <w:rPr>
                <w:rFonts w:ascii="Times New Roman" w:eastAsia="Yu Gothic" w:hAnsi="Times New Roman" w:cs="Times New Roman"/>
                <w:color w:val="000000"/>
                <w:szCs w:val="21"/>
              </w:rPr>
              <w:t>&lt; 0.05</w:t>
            </w:r>
          </w:p>
        </w:tc>
      </w:tr>
    </w:tbl>
    <w:p w:rsidR="00073D6F" w:rsidRDefault="00073D6F" w:rsidP="00867DF8">
      <w:pPr>
        <w:spacing w:line="360" w:lineRule="auto"/>
        <w:jc w:val="left"/>
        <w:rPr>
          <w:rFonts w:ascii="Times New Roman" w:hAnsi="Times New Roman" w:cs="Times New Roman"/>
          <w:color w:val="000000" w:themeColor="text1"/>
          <w:sz w:val="24"/>
        </w:rPr>
      </w:pPr>
      <w:r w:rsidRPr="00073D6F">
        <w:rPr>
          <w:rFonts w:ascii="Times New Roman" w:hAnsi="Times New Roman" w:cs="Times New Roman"/>
          <w:color w:val="000000" w:themeColor="text1"/>
          <w:sz w:val="24"/>
        </w:rPr>
        <w:t>Hazard ratios were estimated using univariate Cox proportional hazards models in the landmark-defined cohorts before propensity score matching, comparing delayed initiation with early initiation of BMA.</w:t>
      </w:r>
    </w:p>
    <w:p w:rsidR="00073D6F" w:rsidRDefault="00073D6F" w:rsidP="00867DF8">
      <w:pPr>
        <w:spacing w:line="360" w:lineRule="auto"/>
        <w:jc w:val="left"/>
        <w:rPr>
          <w:rFonts w:ascii="Times New Roman" w:hAnsi="Times New Roman" w:cs="Times New Roman"/>
          <w:color w:val="000000" w:themeColor="text1"/>
          <w:sz w:val="24"/>
        </w:rPr>
      </w:pPr>
    </w:p>
    <w:p w:rsidR="00D06DD1" w:rsidRPr="00867DF8" w:rsidRDefault="00C25FC0" w:rsidP="00867DF8">
      <w:pPr>
        <w:spacing w:line="360" w:lineRule="auto"/>
        <w:jc w:val="left"/>
        <w:rPr>
          <w:rFonts w:ascii="Times New Roman" w:hAnsi="Times New Roman" w:cs="Times New Roman"/>
          <w:color w:val="000000" w:themeColor="text1"/>
          <w:sz w:val="24"/>
        </w:rPr>
      </w:pPr>
      <w:r w:rsidRPr="00867DF8">
        <w:rPr>
          <w:rFonts w:ascii="Times New Roman" w:hAnsi="Times New Roman" w:cs="Times New Roman"/>
          <w:color w:val="000000" w:themeColor="text1"/>
          <w:sz w:val="24"/>
        </w:rPr>
        <w:t>Abbreviations: CI, confidence interval;</w:t>
      </w:r>
      <w:r w:rsidR="00030FC4" w:rsidRPr="00867DF8">
        <w:rPr>
          <w:rFonts w:ascii="Times New Roman" w:hAnsi="Times New Roman" w:cs="Times New Roman"/>
          <w:color w:val="000000" w:themeColor="text1"/>
          <w:sz w:val="24"/>
        </w:rPr>
        <w:t xml:space="preserve"> BMA, bone-modifying agents</w:t>
      </w:r>
      <w:r w:rsidR="00073D6F">
        <w:rPr>
          <w:rFonts w:ascii="Times New Roman" w:hAnsi="Times New Roman" w:cs="Times New Roman"/>
          <w:color w:val="000000" w:themeColor="text1"/>
          <w:sz w:val="24"/>
        </w:rPr>
        <w:t>.</w:t>
      </w:r>
    </w:p>
    <w:p w:rsidR="008F0811" w:rsidRPr="00867DF8" w:rsidRDefault="008F0811" w:rsidP="00867DF8">
      <w:pPr>
        <w:widowControl/>
        <w:spacing w:line="360" w:lineRule="auto"/>
        <w:jc w:val="left"/>
        <w:rPr>
          <w:rFonts w:ascii="Times New Roman" w:hAnsi="Times New Roman" w:cs="Times New Roman"/>
          <w:b/>
          <w:bCs/>
          <w:color w:val="000000" w:themeColor="text1"/>
          <w:sz w:val="24"/>
        </w:rPr>
      </w:pPr>
      <w:r w:rsidRPr="00867DF8">
        <w:rPr>
          <w:rFonts w:ascii="Times New Roman" w:hAnsi="Times New Roman" w:cs="Times New Roman"/>
          <w:b/>
          <w:bCs/>
          <w:color w:val="000000" w:themeColor="text1"/>
          <w:sz w:val="24"/>
        </w:rPr>
        <w:br w:type="page"/>
      </w:r>
    </w:p>
    <w:p w:rsidR="00867DF8" w:rsidRPr="00867DF8" w:rsidRDefault="007F6F7E" w:rsidP="00867DF8">
      <w:pPr>
        <w:widowControl/>
        <w:spacing w:line="360" w:lineRule="auto"/>
        <w:jc w:val="left"/>
        <w:rPr>
          <w:rFonts w:ascii="Times New Roman" w:hAnsi="Times New Roman" w:cs="Times New Roman"/>
          <w:b/>
          <w:bCs/>
          <w:color w:val="000000" w:themeColor="text1"/>
          <w:sz w:val="24"/>
        </w:rPr>
      </w:pPr>
      <w:r w:rsidRPr="00867DF8">
        <w:rPr>
          <w:noProof/>
          <w:sz w:val="24"/>
        </w:rPr>
        <w:lastRenderedPageBreak/>
        <w:drawing>
          <wp:inline distT="0" distB="0" distL="0" distR="0" wp14:anchorId="2951C9C9" wp14:editId="71FB3E3D">
            <wp:extent cx="5755640" cy="4034790"/>
            <wp:effectExtent l="0" t="0" r="0" b="3810"/>
            <wp:docPr id="5615111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51118" name=""/>
                    <pic:cNvPicPr/>
                  </pic:nvPicPr>
                  <pic:blipFill>
                    <a:blip r:embed="rId8"/>
                    <a:stretch>
                      <a:fillRect/>
                    </a:stretch>
                  </pic:blipFill>
                  <pic:spPr>
                    <a:xfrm>
                      <a:off x="0" y="0"/>
                      <a:ext cx="5755640" cy="4034790"/>
                    </a:xfrm>
                    <a:prstGeom prst="rect">
                      <a:avLst/>
                    </a:prstGeom>
                  </pic:spPr>
                </pic:pic>
              </a:graphicData>
            </a:graphic>
          </wp:inline>
        </w:drawing>
      </w:r>
    </w:p>
    <w:p w:rsidR="00867DF8" w:rsidRPr="00867DF8" w:rsidRDefault="00867DF8" w:rsidP="00867DF8">
      <w:pPr>
        <w:widowControl/>
        <w:spacing w:line="360" w:lineRule="auto"/>
        <w:jc w:val="left"/>
        <w:rPr>
          <w:rFonts w:ascii="Times New Roman" w:hAnsi="Times New Roman" w:cs="Times New Roman"/>
          <w:b/>
          <w:bCs/>
          <w:color w:val="000000" w:themeColor="text1"/>
          <w:sz w:val="24"/>
        </w:rPr>
      </w:pPr>
    </w:p>
    <w:p w:rsidR="00867DF8" w:rsidRPr="00867DF8" w:rsidRDefault="002B2C16" w:rsidP="00867DF8">
      <w:pPr>
        <w:widowControl/>
        <w:spacing w:line="360" w:lineRule="auto"/>
        <w:jc w:val="left"/>
        <w:rPr>
          <w:rFonts w:ascii="Times New Roman" w:hAnsi="Times New Roman" w:cs="Times New Roman"/>
          <w:color w:val="000000" w:themeColor="text1"/>
          <w:sz w:val="24"/>
        </w:rPr>
      </w:pPr>
      <w:r w:rsidRPr="002B2C16">
        <w:rPr>
          <w:rFonts w:ascii="Times New Roman" w:hAnsi="Times New Roman" w:cs="Times New Roman"/>
          <w:b/>
          <w:bCs/>
          <w:color w:val="000000" w:themeColor="text1"/>
          <w:sz w:val="24"/>
        </w:rPr>
        <w:t xml:space="preserve">Fig. </w:t>
      </w:r>
      <w:r>
        <w:rPr>
          <w:rFonts w:ascii="Times New Roman" w:hAnsi="Times New Roman" w:cs="Times New Roman"/>
          <w:b/>
          <w:bCs/>
          <w:color w:val="000000" w:themeColor="text1"/>
          <w:sz w:val="24"/>
        </w:rPr>
        <w:t>S1</w:t>
      </w:r>
      <w:r w:rsidR="00867DF8" w:rsidRPr="00867DF8">
        <w:rPr>
          <w:rFonts w:ascii="Times New Roman" w:hAnsi="Times New Roman" w:cs="Times New Roman"/>
          <w:color w:val="000000" w:themeColor="text1"/>
          <w:sz w:val="24"/>
        </w:rPr>
        <w:t xml:space="preserve"> Kaplan–Meier Curves for Time to First SRE </w:t>
      </w:r>
      <w:r w:rsidR="00073D6F">
        <w:rPr>
          <w:rFonts w:ascii="Times New Roman" w:hAnsi="Times New Roman" w:cs="Times New Roman"/>
          <w:color w:val="000000" w:themeColor="text1"/>
          <w:sz w:val="24"/>
        </w:rPr>
        <w:t>b</w:t>
      </w:r>
      <w:r w:rsidR="00867DF8" w:rsidRPr="00867DF8">
        <w:rPr>
          <w:rFonts w:ascii="Times New Roman" w:hAnsi="Times New Roman" w:cs="Times New Roman"/>
          <w:color w:val="000000" w:themeColor="text1"/>
          <w:sz w:val="24"/>
        </w:rPr>
        <w:t xml:space="preserve">efore </w:t>
      </w:r>
      <w:r w:rsidR="00073D6F">
        <w:rPr>
          <w:rFonts w:ascii="Times New Roman" w:hAnsi="Times New Roman" w:cs="Times New Roman"/>
          <w:color w:val="000000" w:themeColor="text1"/>
          <w:sz w:val="24"/>
        </w:rPr>
        <w:t>p</w:t>
      </w:r>
      <w:r w:rsidR="00867DF8" w:rsidRPr="00867DF8">
        <w:rPr>
          <w:rFonts w:ascii="Times New Roman" w:hAnsi="Times New Roman" w:cs="Times New Roman"/>
          <w:color w:val="000000" w:themeColor="text1"/>
          <w:sz w:val="24"/>
        </w:rPr>
        <w:t>ropensity</w:t>
      </w:r>
      <w:r w:rsidR="00073D6F">
        <w:rPr>
          <w:rFonts w:ascii="Times New Roman" w:hAnsi="Times New Roman" w:cs="Times New Roman"/>
          <w:color w:val="000000" w:themeColor="text1"/>
          <w:sz w:val="24"/>
        </w:rPr>
        <w:t xml:space="preserve"> s</w:t>
      </w:r>
      <w:r w:rsidR="00867DF8" w:rsidRPr="00867DF8">
        <w:rPr>
          <w:rFonts w:ascii="Times New Roman" w:hAnsi="Times New Roman" w:cs="Times New Roman"/>
          <w:color w:val="000000" w:themeColor="text1"/>
          <w:sz w:val="24"/>
        </w:rPr>
        <w:t>core</w:t>
      </w:r>
      <w:r w:rsidR="00073D6F">
        <w:rPr>
          <w:rFonts w:ascii="Times New Roman" w:hAnsi="Times New Roman" w:cs="Times New Roman"/>
          <w:color w:val="000000" w:themeColor="text1"/>
          <w:sz w:val="24"/>
        </w:rPr>
        <w:t xml:space="preserve"> m</w:t>
      </w:r>
      <w:r w:rsidR="00867DF8" w:rsidRPr="00867DF8">
        <w:rPr>
          <w:rFonts w:ascii="Times New Roman" w:hAnsi="Times New Roman" w:cs="Times New Roman"/>
          <w:color w:val="000000" w:themeColor="text1"/>
          <w:sz w:val="24"/>
        </w:rPr>
        <w:t>atching</w:t>
      </w:r>
    </w:p>
    <w:p w:rsidR="00867DF8" w:rsidRPr="00867DF8" w:rsidRDefault="00867DF8" w:rsidP="00867DF8">
      <w:pPr>
        <w:widowControl/>
        <w:spacing w:line="360" w:lineRule="auto"/>
        <w:ind w:firstLineChars="50" w:firstLine="116"/>
        <w:jc w:val="left"/>
        <w:rPr>
          <w:rFonts w:ascii="Times New Roman" w:hAnsi="Times New Roman" w:cs="Times New Roman"/>
          <w:color w:val="000000" w:themeColor="text1"/>
          <w:sz w:val="24"/>
        </w:rPr>
      </w:pPr>
      <w:r w:rsidRPr="00867DF8">
        <w:rPr>
          <w:rFonts w:ascii="Times New Roman" w:hAnsi="Times New Roman" w:cs="Times New Roman"/>
          <w:color w:val="000000" w:themeColor="text1"/>
          <w:sz w:val="24"/>
        </w:rPr>
        <w:t>Kaplan–Meier curves comparing the time to first SRE between the early-initiation group (≤6 months) and the delayed-initiation group (&gt;6 months) in the 6-month landmark cohort before propensity score matching. Patients in the delayed-initiation group experienced a significantly shorter time to first SRE compared with those in the early-initiation group (log-rank test, P &lt; 0.01).</w:t>
      </w:r>
    </w:p>
    <w:p w:rsidR="00867DF8" w:rsidRPr="00867DF8" w:rsidRDefault="00867DF8" w:rsidP="00867DF8">
      <w:pPr>
        <w:widowControl/>
        <w:spacing w:line="360" w:lineRule="auto"/>
        <w:ind w:firstLineChars="50" w:firstLine="116"/>
        <w:jc w:val="left"/>
        <w:rPr>
          <w:rFonts w:ascii="Times New Roman" w:hAnsi="Times New Roman" w:cs="Times New Roman"/>
          <w:color w:val="000000" w:themeColor="text1"/>
          <w:sz w:val="24"/>
        </w:rPr>
      </w:pPr>
      <w:r w:rsidRPr="00867DF8">
        <w:rPr>
          <w:rFonts w:ascii="Times New Roman" w:hAnsi="Times New Roman" w:cs="Times New Roman"/>
          <w:color w:val="000000" w:themeColor="text1"/>
          <w:sz w:val="24"/>
        </w:rPr>
        <w:t>X-axis: Time from landmark (months)</w:t>
      </w:r>
    </w:p>
    <w:p w:rsidR="00867DF8" w:rsidRPr="00867DF8" w:rsidRDefault="00867DF8" w:rsidP="00867DF8">
      <w:pPr>
        <w:widowControl/>
        <w:spacing w:line="360" w:lineRule="auto"/>
        <w:ind w:firstLineChars="50" w:firstLine="116"/>
        <w:jc w:val="left"/>
        <w:rPr>
          <w:rFonts w:ascii="Times New Roman" w:hAnsi="Times New Roman" w:cs="Times New Roman"/>
          <w:color w:val="000000" w:themeColor="text1"/>
          <w:sz w:val="24"/>
        </w:rPr>
      </w:pPr>
      <w:r w:rsidRPr="00867DF8">
        <w:rPr>
          <w:rFonts w:ascii="Times New Roman" w:hAnsi="Times New Roman" w:cs="Times New Roman"/>
          <w:color w:val="000000" w:themeColor="text1"/>
          <w:sz w:val="24"/>
        </w:rPr>
        <w:t>Y-axis: Cumulative incidence of SRE</w:t>
      </w:r>
    </w:p>
    <w:p w:rsidR="00867DF8" w:rsidRPr="00867DF8" w:rsidRDefault="00867DF8" w:rsidP="00867DF8">
      <w:pPr>
        <w:widowControl/>
        <w:spacing w:line="360" w:lineRule="auto"/>
        <w:jc w:val="left"/>
        <w:rPr>
          <w:rFonts w:ascii="Times New Roman" w:hAnsi="Times New Roman" w:cs="Times New Roman"/>
          <w:color w:val="000000" w:themeColor="text1"/>
          <w:sz w:val="24"/>
        </w:rPr>
      </w:pPr>
      <w:r w:rsidRPr="00867DF8">
        <w:rPr>
          <w:rFonts w:ascii="Times New Roman" w:hAnsi="Times New Roman" w:cs="Times New Roman"/>
          <w:color w:val="000000" w:themeColor="text1"/>
          <w:sz w:val="24"/>
        </w:rPr>
        <w:t>Legend (within the figures):</w:t>
      </w:r>
    </w:p>
    <w:p w:rsidR="00867DF8" w:rsidRPr="00867DF8" w:rsidRDefault="00867DF8" w:rsidP="00867DF8">
      <w:pPr>
        <w:widowControl/>
        <w:spacing w:line="360" w:lineRule="auto"/>
        <w:ind w:firstLineChars="50" w:firstLine="116"/>
        <w:jc w:val="left"/>
        <w:rPr>
          <w:rFonts w:ascii="Times New Roman" w:hAnsi="Times New Roman" w:cs="Times New Roman"/>
          <w:color w:val="000000" w:themeColor="text1"/>
          <w:sz w:val="24"/>
        </w:rPr>
      </w:pPr>
      <w:r w:rsidRPr="00867DF8">
        <w:rPr>
          <w:rFonts w:ascii="Times New Roman" w:hAnsi="Times New Roman" w:cs="Times New Roman"/>
          <w:color w:val="000000" w:themeColor="text1"/>
          <w:sz w:val="24"/>
        </w:rPr>
        <w:t>Black line = Early initiation group (≤6 months)</w:t>
      </w:r>
    </w:p>
    <w:p w:rsidR="00867DF8" w:rsidRPr="00867DF8" w:rsidRDefault="00867DF8" w:rsidP="00867DF8">
      <w:pPr>
        <w:widowControl/>
        <w:spacing w:line="360" w:lineRule="auto"/>
        <w:ind w:firstLineChars="50" w:firstLine="116"/>
        <w:jc w:val="left"/>
        <w:rPr>
          <w:rFonts w:ascii="Times New Roman" w:hAnsi="Times New Roman" w:cs="Times New Roman"/>
          <w:color w:val="000000" w:themeColor="text1"/>
          <w:sz w:val="24"/>
        </w:rPr>
      </w:pPr>
      <w:r w:rsidRPr="00867DF8">
        <w:rPr>
          <w:rFonts w:ascii="Times New Roman" w:hAnsi="Times New Roman" w:cs="Times New Roman"/>
          <w:color w:val="000000" w:themeColor="text1"/>
          <w:sz w:val="24"/>
        </w:rPr>
        <w:t>Gray line = Delayed initiation group (&gt;6 months)</w:t>
      </w:r>
    </w:p>
    <w:p w:rsidR="00073D6F" w:rsidRDefault="00073D6F" w:rsidP="00867DF8">
      <w:pPr>
        <w:widowControl/>
        <w:spacing w:line="360" w:lineRule="auto"/>
        <w:jc w:val="left"/>
        <w:rPr>
          <w:rFonts w:ascii="Times New Roman" w:hAnsi="Times New Roman" w:cs="Times New Roman"/>
          <w:color w:val="000000" w:themeColor="text1"/>
          <w:sz w:val="24"/>
        </w:rPr>
      </w:pPr>
    </w:p>
    <w:p w:rsidR="00867DF8" w:rsidRPr="00867DF8" w:rsidRDefault="00867DF8" w:rsidP="00867DF8">
      <w:pPr>
        <w:widowControl/>
        <w:spacing w:line="360" w:lineRule="auto"/>
        <w:jc w:val="left"/>
        <w:rPr>
          <w:rFonts w:ascii="Times New Roman" w:hAnsi="Times New Roman" w:cs="Times New Roman"/>
          <w:color w:val="000000" w:themeColor="text1"/>
          <w:sz w:val="24"/>
        </w:rPr>
      </w:pPr>
      <w:r w:rsidRPr="00867DF8">
        <w:rPr>
          <w:rFonts w:ascii="Times New Roman" w:hAnsi="Times New Roman" w:cs="Times New Roman"/>
          <w:color w:val="000000" w:themeColor="text1"/>
          <w:sz w:val="24"/>
        </w:rPr>
        <w:t>Abbreviations: SRE, skeletal-related event.</w:t>
      </w:r>
    </w:p>
    <w:p w:rsidR="007F6F7E" w:rsidRPr="00F451FB" w:rsidRDefault="007F6F7E" w:rsidP="00867DF8">
      <w:pPr>
        <w:widowControl/>
        <w:spacing w:line="360" w:lineRule="auto"/>
        <w:jc w:val="left"/>
        <w:rPr>
          <w:rFonts w:ascii="Times New Roman" w:hAnsi="Times New Roman" w:cs="Times New Roman"/>
          <w:color w:val="000000" w:themeColor="text1"/>
          <w:sz w:val="24"/>
        </w:rPr>
      </w:pPr>
      <w:r w:rsidRPr="00867DF8">
        <w:rPr>
          <w:rFonts w:ascii="Times New Roman" w:hAnsi="Times New Roman" w:cs="Times New Roman"/>
          <w:color w:val="000000" w:themeColor="text1"/>
          <w:sz w:val="24"/>
        </w:rPr>
        <w:br w:type="page"/>
      </w:r>
    </w:p>
    <w:p w:rsidR="008F0811" w:rsidRPr="00867DF8" w:rsidRDefault="00F451FB" w:rsidP="00867DF8">
      <w:pPr>
        <w:widowControl/>
        <w:spacing w:line="360" w:lineRule="auto"/>
        <w:jc w:val="left"/>
        <w:rPr>
          <w:rFonts w:ascii="Times New Roman" w:hAnsi="Times New Roman" w:cs="Times New Roman"/>
          <w:b/>
          <w:bCs/>
          <w:color w:val="000000" w:themeColor="text1"/>
          <w:sz w:val="24"/>
        </w:rPr>
      </w:pPr>
      <w:r>
        <w:rPr>
          <w:rFonts w:ascii="Times New Roman" w:hAnsi="Times New Roman" w:cs="Times New Roman"/>
          <w:b/>
          <w:bCs/>
          <w:noProof/>
          <w:color w:val="000000" w:themeColor="text1"/>
          <w:sz w:val="24"/>
        </w:rPr>
        <w:lastRenderedPageBreak/>
        <w:drawing>
          <wp:inline distT="0" distB="0" distL="0" distR="0">
            <wp:extent cx="5644445" cy="4040065"/>
            <wp:effectExtent l="0" t="0" r="0" b="0"/>
            <wp:docPr id="68215232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152329" name="図 682152329"/>
                    <pic:cNvPicPr/>
                  </pic:nvPicPr>
                  <pic:blipFill rotWithShape="1">
                    <a:blip r:embed="rId9" cstate="print">
                      <a:extLst>
                        <a:ext uri="{28A0092B-C50C-407E-A947-70E740481C1C}">
                          <a14:useLocalDpi xmlns:a14="http://schemas.microsoft.com/office/drawing/2010/main" val="0"/>
                        </a:ext>
                      </a:extLst>
                    </a:blip>
                    <a:srcRect l="15362" r="14782"/>
                    <a:stretch/>
                  </pic:blipFill>
                  <pic:spPr bwMode="auto">
                    <a:xfrm>
                      <a:off x="0" y="0"/>
                      <a:ext cx="5677726" cy="4063886"/>
                    </a:xfrm>
                    <a:prstGeom prst="rect">
                      <a:avLst/>
                    </a:prstGeom>
                    <a:ln>
                      <a:noFill/>
                    </a:ln>
                    <a:extLst>
                      <a:ext uri="{53640926-AAD7-44D8-BBD7-CCE9431645EC}">
                        <a14:shadowObscured xmlns:a14="http://schemas.microsoft.com/office/drawing/2010/main"/>
                      </a:ext>
                    </a:extLst>
                  </pic:spPr>
                </pic:pic>
              </a:graphicData>
            </a:graphic>
          </wp:inline>
        </w:drawing>
      </w:r>
    </w:p>
    <w:p w:rsidR="008F0811" w:rsidRDefault="002B2C16" w:rsidP="00867DF8">
      <w:pPr>
        <w:widowControl/>
        <w:spacing w:line="360" w:lineRule="auto"/>
        <w:jc w:val="left"/>
        <w:rPr>
          <w:rFonts w:ascii="Times New Roman" w:hAnsi="Times New Roman" w:cs="Times New Roman"/>
          <w:color w:val="000000" w:themeColor="text1"/>
          <w:sz w:val="24"/>
        </w:rPr>
      </w:pPr>
      <w:r w:rsidRPr="002B2C16">
        <w:rPr>
          <w:rFonts w:ascii="Times New Roman" w:hAnsi="Times New Roman" w:cs="Times New Roman"/>
          <w:b/>
          <w:bCs/>
          <w:color w:val="000000" w:themeColor="text1"/>
          <w:sz w:val="24"/>
        </w:rPr>
        <w:t xml:space="preserve">Fig. </w:t>
      </w:r>
      <w:r>
        <w:rPr>
          <w:rFonts w:ascii="Times New Roman" w:hAnsi="Times New Roman" w:cs="Times New Roman"/>
          <w:b/>
          <w:bCs/>
          <w:color w:val="000000" w:themeColor="text1"/>
          <w:sz w:val="24"/>
        </w:rPr>
        <w:t>S2</w:t>
      </w:r>
      <w:r w:rsidR="00867DF8" w:rsidRPr="00867DF8">
        <w:rPr>
          <w:rFonts w:ascii="Times New Roman" w:hAnsi="Times New Roman" w:cs="Times New Roman"/>
          <w:color w:val="000000" w:themeColor="text1"/>
          <w:sz w:val="24"/>
        </w:rPr>
        <w:t xml:space="preserve"> Forest Plot of the Association Between Delayed BMA Initiation and Risk of SRE Clinical Subgroups Before Propensity Score Matching</w:t>
      </w:r>
    </w:p>
    <w:p w:rsidR="00867DF8" w:rsidRDefault="00867DF8" w:rsidP="00867DF8">
      <w:pPr>
        <w:widowControl/>
        <w:spacing w:line="360" w:lineRule="auto"/>
        <w:ind w:firstLineChars="100" w:firstLine="231"/>
        <w:jc w:val="left"/>
        <w:rPr>
          <w:rFonts w:ascii="Times New Roman" w:eastAsia="ＭＳ 明朝" w:hAnsi="Times New Roman" w:cs="Times New Roman"/>
          <w:color w:val="000000" w:themeColor="text1"/>
          <w:sz w:val="24"/>
          <w:shd w:val="clear" w:color="auto" w:fill="FFFFFF"/>
        </w:rPr>
      </w:pPr>
      <w:r w:rsidRPr="00CD6EC2">
        <w:rPr>
          <w:rFonts w:ascii="Times New Roman" w:eastAsia="ＭＳ 明朝" w:hAnsi="Times New Roman" w:cs="Times New Roman"/>
          <w:color w:val="000000" w:themeColor="text1"/>
          <w:sz w:val="24"/>
          <w:shd w:val="clear" w:color="auto" w:fill="FFFFFF"/>
        </w:rPr>
        <w:t xml:space="preserve">Forest plot showing hazard ratios (HRs) and 95% confidence intervals (CIs) for the association between delayed versus early initiation of BMA therapy and the risk of SRE across predefined clinical subgroups. HRs were estimated using univariate Cox proportional hazards models in the 6-month landmark cohort </w:t>
      </w:r>
      <w:r>
        <w:rPr>
          <w:rFonts w:ascii="Times New Roman" w:eastAsia="ＭＳ 明朝" w:hAnsi="Times New Roman" w:cs="Times New Roman"/>
          <w:color w:val="000000" w:themeColor="text1"/>
          <w:sz w:val="24"/>
          <w:shd w:val="clear" w:color="auto" w:fill="FFFFFF"/>
        </w:rPr>
        <w:t>before</w:t>
      </w:r>
      <w:r w:rsidRPr="00CD6EC2">
        <w:rPr>
          <w:rFonts w:ascii="Times New Roman" w:eastAsia="ＭＳ 明朝" w:hAnsi="Times New Roman" w:cs="Times New Roman"/>
          <w:color w:val="000000" w:themeColor="text1"/>
          <w:sz w:val="24"/>
          <w:shd w:val="clear" w:color="auto" w:fill="FFFFFF"/>
        </w:rPr>
        <w:t xml:space="preserve"> propensity score matching.</w:t>
      </w:r>
    </w:p>
    <w:p w:rsidR="00867DF8" w:rsidRDefault="00867DF8" w:rsidP="00867DF8">
      <w:pPr>
        <w:widowControl/>
        <w:spacing w:line="360" w:lineRule="auto"/>
        <w:ind w:firstLineChars="100" w:firstLine="231"/>
        <w:jc w:val="left"/>
        <w:rPr>
          <w:rFonts w:ascii="Times New Roman" w:eastAsia="ＭＳ 明朝" w:hAnsi="Times New Roman" w:cs="Times New Roman"/>
          <w:color w:val="000000" w:themeColor="text1"/>
          <w:sz w:val="24"/>
          <w:shd w:val="clear" w:color="auto" w:fill="FFFFFF"/>
        </w:rPr>
      </w:pPr>
      <w:r w:rsidRPr="00CD6EC2">
        <w:rPr>
          <w:rFonts w:ascii="Times New Roman" w:eastAsia="ＭＳ 明朝" w:hAnsi="Times New Roman" w:cs="Times New Roman"/>
          <w:color w:val="000000" w:themeColor="text1"/>
          <w:sz w:val="24"/>
          <w:shd w:val="clear" w:color="auto" w:fill="FFFFFF"/>
        </w:rPr>
        <w:t>Early initiation of BMA therapy was used as the reference category; therefore, HRs represent the relative risk of SRE associated with delayed initiation compared with early initiation. An HR greater than 1.0 indicates an increased risk of SRE associated with delayed initiation. The vertical dashed line indicates an HR of 1.0.</w:t>
      </w:r>
    </w:p>
    <w:p w:rsidR="00867DF8" w:rsidRDefault="00867DF8" w:rsidP="00867DF8">
      <w:pPr>
        <w:widowControl/>
        <w:spacing w:line="360" w:lineRule="auto"/>
        <w:ind w:firstLineChars="100" w:firstLine="231"/>
        <w:jc w:val="left"/>
        <w:rPr>
          <w:rFonts w:ascii="Times New Roman" w:eastAsia="ＭＳ 明朝" w:hAnsi="Times New Roman" w:cs="Times New Roman"/>
          <w:color w:val="000000" w:themeColor="text1"/>
          <w:sz w:val="24"/>
          <w:shd w:val="clear" w:color="auto" w:fill="FFFFFF"/>
        </w:rPr>
      </w:pPr>
      <w:r w:rsidRPr="00CD6EC2">
        <w:rPr>
          <w:rFonts w:ascii="Times New Roman" w:eastAsia="ＭＳ 明朝" w:hAnsi="Times New Roman" w:cs="Times New Roman"/>
          <w:color w:val="000000" w:themeColor="text1"/>
          <w:sz w:val="24"/>
          <w:shd w:val="clear" w:color="auto" w:fill="FFFFFF"/>
        </w:rPr>
        <w:t>Multiple selections were allowed for sites of bone metastases and type of BMA.</w:t>
      </w:r>
    </w:p>
    <w:p w:rsidR="00073D6F" w:rsidRDefault="00073D6F" w:rsidP="00867DF8">
      <w:pPr>
        <w:widowControl/>
        <w:spacing w:line="360" w:lineRule="auto"/>
        <w:jc w:val="left"/>
        <w:rPr>
          <w:rFonts w:ascii="Times New Roman" w:eastAsia="ＭＳ 明朝" w:hAnsi="Times New Roman" w:cs="Times New Roman"/>
          <w:color w:val="000000" w:themeColor="text1"/>
          <w:sz w:val="24"/>
          <w:shd w:val="clear" w:color="auto" w:fill="FFFFFF"/>
        </w:rPr>
      </w:pPr>
    </w:p>
    <w:p w:rsidR="00867DF8" w:rsidRPr="00867DF8" w:rsidRDefault="00867DF8" w:rsidP="00867DF8">
      <w:pPr>
        <w:widowControl/>
        <w:spacing w:line="360" w:lineRule="auto"/>
        <w:jc w:val="left"/>
        <w:rPr>
          <w:rFonts w:ascii="Times New Roman" w:eastAsia="ＭＳ 明朝" w:hAnsi="Times New Roman" w:cs="Times New Roman"/>
          <w:color w:val="000000" w:themeColor="text1"/>
          <w:sz w:val="24"/>
          <w:shd w:val="clear" w:color="auto" w:fill="FFFFFF"/>
        </w:rPr>
      </w:pPr>
      <w:r w:rsidRPr="00850842">
        <w:rPr>
          <w:rFonts w:ascii="Times New Roman" w:eastAsia="ＭＳ 明朝" w:hAnsi="Times New Roman" w:cs="Times New Roman"/>
          <w:color w:val="000000" w:themeColor="text1"/>
          <w:sz w:val="24"/>
          <w:shd w:val="clear" w:color="auto" w:fill="FFFFFF"/>
        </w:rPr>
        <w:t>Abbreviations: CI, confidence interval; BMA, bone-modifying agents; eGFR, estimated glomerular filtration rate.</w:t>
      </w:r>
    </w:p>
    <w:sectPr w:rsidR="00867DF8" w:rsidRPr="00867DF8" w:rsidSect="00AF38B8">
      <w:footerReference w:type="even" r:id="rId10"/>
      <w:footerReference w:type="default" r:id="rId11"/>
      <w:pgSz w:w="11900" w:h="16820"/>
      <w:pgMar w:top="1418" w:right="1418" w:bottom="1418" w:left="1418" w:header="851" w:footer="992" w:gutter="0"/>
      <w:cols w:space="425"/>
      <w:docGrid w:type="linesAndChars" w:linePitch="310" w:charSpace="-17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43FEF" w:rsidRDefault="00E43FEF" w:rsidP="00ED52D3">
      <w:r>
        <w:separator/>
      </w:r>
    </w:p>
  </w:endnote>
  <w:endnote w:type="continuationSeparator" w:id="0">
    <w:p w:rsidR="00E43FEF" w:rsidRDefault="00E43FEF" w:rsidP="00ED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ＭＳ 明朝">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c"/>
      </w:rPr>
      <w:id w:val="-1389488297"/>
      <w:docPartObj>
        <w:docPartGallery w:val="Page Numbers (Bottom of Page)"/>
        <w:docPartUnique/>
      </w:docPartObj>
    </w:sdtPr>
    <w:sdtContent>
      <w:p w:rsidR="00ED52D3" w:rsidRDefault="00ED52D3" w:rsidP="00634A73">
        <w:pPr>
          <w:pStyle w:val="aa"/>
          <w:framePr w:wrap="none" w:vAnchor="text" w:hAnchor="margin" w:xAlign="center" w:y="1"/>
          <w:rPr>
            <w:rStyle w:val="ac"/>
          </w:rPr>
        </w:pPr>
        <w:r>
          <w:rPr>
            <w:rStyle w:val="ac"/>
          </w:rPr>
          <w:fldChar w:fldCharType="begin"/>
        </w:r>
        <w:r>
          <w:rPr>
            <w:rStyle w:val="ac"/>
          </w:rPr>
          <w:instrText xml:space="preserve"> PAGE </w:instrText>
        </w:r>
        <w:r>
          <w:rPr>
            <w:rStyle w:val="ac"/>
          </w:rPr>
          <w:fldChar w:fldCharType="end"/>
        </w:r>
      </w:p>
    </w:sdtContent>
  </w:sdt>
  <w:p w:rsidR="00ED52D3" w:rsidRDefault="00ED52D3">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c"/>
      </w:rPr>
      <w:id w:val="-1387642546"/>
      <w:docPartObj>
        <w:docPartGallery w:val="Page Numbers (Bottom of Page)"/>
        <w:docPartUnique/>
      </w:docPartObj>
    </w:sdtPr>
    <w:sdtContent>
      <w:p w:rsidR="00ED52D3" w:rsidRDefault="00ED52D3" w:rsidP="00634A73">
        <w:pPr>
          <w:pStyle w:val="aa"/>
          <w:framePr w:wrap="none" w:vAnchor="text" w:hAnchor="margin" w:xAlign="center" w:y="1"/>
          <w:rPr>
            <w:rStyle w:val="ac"/>
          </w:rPr>
        </w:pPr>
        <w:r>
          <w:rPr>
            <w:rStyle w:val="ac"/>
          </w:rPr>
          <w:fldChar w:fldCharType="begin"/>
        </w:r>
        <w:r>
          <w:rPr>
            <w:rStyle w:val="ac"/>
          </w:rPr>
          <w:instrText xml:space="preserve"> PAGE </w:instrText>
        </w:r>
        <w:r>
          <w:rPr>
            <w:rStyle w:val="ac"/>
          </w:rPr>
          <w:fldChar w:fldCharType="separate"/>
        </w:r>
        <w:r>
          <w:rPr>
            <w:rStyle w:val="ac"/>
            <w:noProof/>
          </w:rPr>
          <w:t>1</w:t>
        </w:r>
        <w:r>
          <w:rPr>
            <w:rStyle w:val="ac"/>
          </w:rPr>
          <w:fldChar w:fldCharType="end"/>
        </w:r>
      </w:p>
    </w:sdtContent>
  </w:sdt>
  <w:p w:rsidR="00ED52D3" w:rsidRDefault="00ED52D3">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43FEF" w:rsidRDefault="00E43FEF" w:rsidP="00ED52D3">
      <w:r>
        <w:separator/>
      </w:r>
    </w:p>
  </w:footnote>
  <w:footnote w:type="continuationSeparator" w:id="0">
    <w:p w:rsidR="00E43FEF" w:rsidRDefault="00E43FEF" w:rsidP="00ED52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9B272D"/>
    <w:multiLevelType w:val="hybridMultilevel"/>
    <w:tmpl w:val="243C762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6DDE3468"/>
    <w:multiLevelType w:val="hybridMultilevel"/>
    <w:tmpl w:val="73AC0BFA"/>
    <w:lvl w:ilvl="0" w:tplc="7F066984">
      <w:start w:val="1"/>
      <w:numFmt w:val="low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285235639">
    <w:abstractNumId w:val="0"/>
  </w:num>
  <w:num w:numId="2" w16cid:durableId="1312890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bordersDoNotSurroundHeader/>
  <w:bordersDoNotSurroundFooter/>
  <w:proofState w:spelling="clean" w:grammar="clean"/>
  <w:defaultTabStop w:val="840"/>
  <w:drawingGridHorizontalSpacing w:val="201"/>
  <w:drawingGridVerticalSpacing w:val="15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2D3"/>
    <w:rsid w:val="0001121C"/>
    <w:rsid w:val="000149E4"/>
    <w:rsid w:val="00030FC4"/>
    <w:rsid w:val="0005144B"/>
    <w:rsid w:val="00056156"/>
    <w:rsid w:val="00073D6F"/>
    <w:rsid w:val="000A1D5C"/>
    <w:rsid w:val="000B0179"/>
    <w:rsid w:val="001143AF"/>
    <w:rsid w:val="00134905"/>
    <w:rsid w:val="001C7136"/>
    <w:rsid w:val="00204025"/>
    <w:rsid w:val="00205EB3"/>
    <w:rsid w:val="002304F5"/>
    <w:rsid w:val="00282F78"/>
    <w:rsid w:val="00294E00"/>
    <w:rsid w:val="002B2C16"/>
    <w:rsid w:val="002C1578"/>
    <w:rsid w:val="002C400F"/>
    <w:rsid w:val="002E06D0"/>
    <w:rsid w:val="00342725"/>
    <w:rsid w:val="00374716"/>
    <w:rsid w:val="00387BE3"/>
    <w:rsid w:val="003A5D49"/>
    <w:rsid w:val="003C7E22"/>
    <w:rsid w:val="003D0073"/>
    <w:rsid w:val="003F2F1A"/>
    <w:rsid w:val="003F69B6"/>
    <w:rsid w:val="003F705D"/>
    <w:rsid w:val="00405336"/>
    <w:rsid w:val="004210B3"/>
    <w:rsid w:val="00474DA7"/>
    <w:rsid w:val="00485B5D"/>
    <w:rsid w:val="004A6A99"/>
    <w:rsid w:val="005148FF"/>
    <w:rsid w:val="005542D0"/>
    <w:rsid w:val="005547C4"/>
    <w:rsid w:val="00555E88"/>
    <w:rsid w:val="0056212F"/>
    <w:rsid w:val="0058607A"/>
    <w:rsid w:val="00606312"/>
    <w:rsid w:val="0062277B"/>
    <w:rsid w:val="0063143B"/>
    <w:rsid w:val="00650326"/>
    <w:rsid w:val="00652F25"/>
    <w:rsid w:val="006619C2"/>
    <w:rsid w:val="0069479D"/>
    <w:rsid w:val="00697560"/>
    <w:rsid w:val="006D1F2A"/>
    <w:rsid w:val="006E0445"/>
    <w:rsid w:val="006E3D39"/>
    <w:rsid w:val="006F1E3F"/>
    <w:rsid w:val="006F24F3"/>
    <w:rsid w:val="006F5B28"/>
    <w:rsid w:val="007229E2"/>
    <w:rsid w:val="00734981"/>
    <w:rsid w:val="0077448D"/>
    <w:rsid w:val="00780FDD"/>
    <w:rsid w:val="00791D1E"/>
    <w:rsid w:val="007A3FF7"/>
    <w:rsid w:val="007B7F64"/>
    <w:rsid w:val="007C61B7"/>
    <w:rsid w:val="007E1240"/>
    <w:rsid w:val="007F6F7E"/>
    <w:rsid w:val="00823586"/>
    <w:rsid w:val="00834749"/>
    <w:rsid w:val="00867DF8"/>
    <w:rsid w:val="008C6D88"/>
    <w:rsid w:val="008F0811"/>
    <w:rsid w:val="008F1463"/>
    <w:rsid w:val="008F35F1"/>
    <w:rsid w:val="00911302"/>
    <w:rsid w:val="009479DA"/>
    <w:rsid w:val="0098464B"/>
    <w:rsid w:val="00992336"/>
    <w:rsid w:val="00996811"/>
    <w:rsid w:val="009F4BE5"/>
    <w:rsid w:val="00A418B1"/>
    <w:rsid w:val="00A66FBD"/>
    <w:rsid w:val="00A772A1"/>
    <w:rsid w:val="00A874AF"/>
    <w:rsid w:val="00A913CC"/>
    <w:rsid w:val="00AA219A"/>
    <w:rsid w:val="00AB1378"/>
    <w:rsid w:val="00AB4303"/>
    <w:rsid w:val="00AC4379"/>
    <w:rsid w:val="00AF38B8"/>
    <w:rsid w:val="00AF4179"/>
    <w:rsid w:val="00B211E9"/>
    <w:rsid w:val="00B60491"/>
    <w:rsid w:val="00B86B14"/>
    <w:rsid w:val="00BA1C59"/>
    <w:rsid w:val="00BA32C2"/>
    <w:rsid w:val="00BC45F9"/>
    <w:rsid w:val="00BE5A66"/>
    <w:rsid w:val="00C032DA"/>
    <w:rsid w:val="00C25FC0"/>
    <w:rsid w:val="00C53FCB"/>
    <w:rsid w:val="00C66F02"/>
    <w:rsid w:val="00C700F5"/>
    <w:rsid w:val="00C71E2C"/>
    <w:rsid w:val="00CB7AAF"/>
    <w:rsid w:val="00CC78E2"/>
    <w:rsid w:val="00CD607D"/>
    <w:rsid w:val="00CF7D10"/>
    <w:rsid w:val="00D06DD1"/>
    <w:rsid w:val="00D13F4A"/>
    <w:rsid w:val="00D21509"/>
    <w:rsid w:val="00D402EB"/>
    <w:rsid w:val="00D61F76"/>
    <w:rsid w:val="00D632E2"/>
    <w:rsid w:val="00DA4E94"/>
    <w:rsid w:val="00DB6DCA"/>
    <w:rsid w:val="00DE6F66"/>
    <w:rsid w:val="00E00B04"/>
    <w:rsid w:val="00E00E99"/>
    <w:rsid w:val="00E04250"/>
    <w:rsid w:val="00E24813"/>
    <w:rsid w:val="00E43FEF"/>
    <w:rsid w:val="00E57838"/>
    <w:rsid w:val="00E66D36"/>
    <w:rsid w:val="00EB1340"/>
    <w:rsid w:val="00ED52D3"/>
    <w:rsid w:val="00F01304"/>
    <w:rsid w:val="00F451FB"/>
    <w:rsid w:val="00F60C16"/>
    <w:rsid w:val="00F758E2"/>
    <w:rsid w:val="00F82AB6"/>
    <w:rsid w:val="00F87270"/>
    <w:rsid w:val="00F938E6"/>
    <w:rsid w:val="00FD60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4E372EFE-7256-A54D-9D02-9DEB239CA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3D6F"/>
    <w:pPr>
      <w:widowControl w:val="0"/>
      <w:jc w:val="both"/>
    </w:pPr>
  </w:style>
  <w:style w:type="paragraph" w:styleId="1">
    <w:name w:val="heading 1"/>
    <w:basedOn w:val="a"/>
    <w:next w:val="a"/>
    <w:link w:val="10"/>
    <w:uiPriority w:val="9"/>
    <w:qFormat/>
    <w:rsid w:val="00ED52D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D52D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unhideWhenUsed/>
    <w:qFormat/>
    <w:rsid w:val="00ED52D3"/>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unhideWhenUsed/>
    <w:qFormat/>
    <w:rsid w:val="00ED52D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D52D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D52D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D52D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D52D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D52D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D52D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D52D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rsid w:val="00ED52D3"/>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rsid w:val="00ED52D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D52D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D52D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D52D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D52D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D52D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D52D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D52D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D52D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D52D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D52D3"/>
    <w:pPr>
      <w:spacing w:before="160" w:after="160"/>
      <w:jc w:val="center"/>
    </w:pPr>
    <w:rPr>
      <w:i/>
      <w:iCs/>
      <w:color w:val="404040" w:themeColor="text1" w:themeTint="BF"/>
    </w:rPr>
  </w:style>
  <w:style w:type="character" w:customStyle="1" w:styleId="a8">
    <w:name w:val="引用文 (文字)"/>
    <w:basedOn w:val="a0"/>
    <w:link w:val="a7"/>
    <w:uiPriority w:val="29"/>
    <w:rsid w:val="00ED52D3"/>
    <w:rPr>
      <w:i/>
      <w:iCs/>
      <w:color w:val="404040" w:themeColor="text1" w:themeTint="BF"/>
    </w:rPr>
  </w:style>
  <w:style w:type="paragraph" w:styleId="a9">
    <w:name w:val="List Paragraph"/>
    <w:basedOn w:val="a"/>
    <w:uiPriority w:val="34"/>
    <w:qFormat/>
    <w:rsid w:val="00ED52D3"/>
    <w:pPr>
      <w:ind w:left="720"/>
      <w:contextualSpacing/>
    </w:pPr>
  </w:style>
  <w:style w:type="character" w:styleId="21">
    <w:name w:val="Intense Emphasis"/>
    <w:basedOn w:val="a0"/>
    <w:uiPriority w:val="21"/>
    <w:qFormat/>
    <w:rsid w:val="00ED52D3"/>
    <w:rPr>
      <w:i/>
      <w:iCs/>
      <w:color w:val="0F4761" w:themeColor="accent1" w:themeShade="BF"/>
    </w:rPr>
  </w:style>
  <w:style w:type="paragraph" w:styleId="22">
    <w:name w:val="Intense Quote"/>
    <w:basedOn w:val="a"/>
    <w:next w:val="a"/>
    <w:link w:val="23"/>
    <w:uiPriority w:val="30"/>
    <w:qFormat/>
    <w:rsid w:val="00ED52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D52D3"/>
    <w:rPr>
      <w:i/>
      <w:iCs/>
      <w:color w:val="0F4761" w:themeColor="accent1" w:themeShade="BF"/>
    </w:rPr>
  </w:style>
  <w:style w:type="character" w:styleId="24">
    <w:name w:val="Intense Reference"/>
    <w:basedOn w:val="a0"/>
    <w:uiPriority w:val="32"/>
    <w:qFormat/>
    <w:rsid w:val="00ED52D3"/>
    <w:rPr>
      <w:b/>
      <w:bCs/>
      <w:smallCaps/>
      <w:color w:val="0F4761" w:themeColor="accent1" w:themeShade="BF"/>
      <w:spacing w:val="5"/>
    </w:rPr>
  </w:style>
  <w:style w:type="paragraph" w:styleId="aa">
    <w:name w:val="footer"/>
    <w:basedOn w:val="a"/>
    <w:link w:val="ab"/>
    <w:uiPriority w:val="99"/>
    <w:unhideWhenUsed/>
    <w:rsid w:val="00ED52D3"/>
    <w:pPr>
      <w:tabs>
        <w:tab w:val="center" w:pos="4252"/>
        <w:tab w:val="right" w:pos="8504"/>
      </w:tabs>
      <w:snapToGrid w:val="0"/>
    </w:pPr>
  </w:style>
  <w:style w:type="character" w:customStyle="1" w:styleId="ab">
    <w:name w:val="フッター (文字)"/>
    <w:basedOn w:val="a0"/>
    <w:link w:val="aa"/>
    <w:uiPriority w:val="99"/>
    <w:rsid w:val="00ED52D3"/>
  </w:style>
  <w:style w:type="character" w:styleId="ac">
    <w:name w:val="page number"/>
    <w:basedOn w:val="a0"/>
    <w:uiPriority w:val="99"/>
    <w:semiHidden/>
    <w:unhideWhenUsed/>
    <w:rsid w:val="00ED52D3"/>
  </w:style>
  <w:style w:type="character" w:styleId="ad">
    <w:name w:val="Hyperlink"/>
    <w:basedOn w:val="a0"/>
    <w:uiPriority w:val="99"/>
    <w:unhideWhenUsed/>
    <w:rsid w:val="00405336"/>
    <w:rPr>
      <w:color w:val="467886" w:themeColor="hyperlink"/>
      <w:u w:val="single"/>
    </w:rPr>
  </w:style>
  <w:style w:type="character" w:styleId="ae">
    <w:name w:val="Unresolved Mention"/>
    <w:basedOn w:val="a0"/>
    <w:uiPriority w:val="99"/>
    <w:semiHidden/>
    <w:unhideWhenUsed/>
    <w:rsid w:val="00405336"/>
    <w:rPr>
      <w:color w:val="605E5C"/>
      <w:shd w:val="clear" w:color="auto" w:fill="E1DFDD"/>
    </w:rPr>
  </w:style>
  <w:style w:type="paragraph" w:customStyle="1" w:styleId="p2">
    <w:name w:val="p2"/>
    <w:basedOn w:val="a"/>
    <w:rsid w:val="00B86B14"/>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p3">
    <w:name w:val="p3"/>
    <w:basedOn w:val="a"/>
    <w:rsid w:val="00B86B14"/>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f">
    <w:name w:val="Table Grid"/>
    <w:basedOn w:val="a1"/>
    <w:uiPriority w:val="39"/>
    <w:rsid w:val="00D13F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
    <w:rsid w:val="0056212F"/>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Web">
    <w:name w:val="Normal (Web)"/>
    <w:basedOn w:val="a"/>
    <w:uiPriority w:val="99"/>
    <w:semiHidden/>
    <w:unhideWhenUsed/>
    <w:rsid w:val="00BE5A66"/>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4914">
      <w:bodyDiv w:val="1"/>
      <w:marLeft w:val="0"/>
      <w:marRight w:val="0"/>
      <w:marTop w:val="0"/>
      <w:marBottom w:val="0"/>
      <w:divBdr>
        <w:top w:val="none" w:sz="0" w:space="0" w:color="auto"/>
        <w:left w:val="none" w:sz="0" w:space="0" w:color="auto"/>
        <w:bottom w:val="none" w:sz="0" w:space="0" w:color="auto"/>
        <w:right w:val="none" w:sz="0" w:space="0" w:color="auto"/>
      </w:divBdr>
    </w:div>
    <w:div w:id="28186628">
      <w:bodyDiv w:val="1"/>
      <w:marLeft w:val="0"/>
      <w:marRight w:val="0"/>
      <w:marTop w:val="0"/>
      <w:marBottom w:val="0"/>
      <w:divBdr>
        <w:top w:val="none" w:sz="0" w:space="0" w:color="auto"/>
        <w:left w:val="none" w:sz="0" w:space="0" w:color="auto"/>
        <w:bottom w:val="none" w:sz="0" w:space="0" w:color="auto"/>
        <w:right w:val="none" w:sz="0" w:space="0" w:color="auto"/>
      </w:divBdr>
    </w:div>
    <w:div w:id="32198375">
      <w:bodyDiv w:val="1"/>
      <w:marLeft w:val="0"/>
      <w:marRight w:val="0"/>
      <w:marTop w:val="0"/>
      <w:marBottom w:val="0"/>
      <w:divBdr>
        <w:top w:val="none" w:sz="0" w:space="0" w:color="auto"/>
        <w:left w:val="none" w:sz="0" w:space="0" w:color="auto"/>
        <w:bottom w:val="none" w:sz="0" w:space="0" w:color="auto"/>
        <w:right w:val="none" w:sz="0" w:space="0" w:color="auto"/>
      </w:divBdr>
    </w:div>
    <w:div w:id="100346745">
      <w:bodyDiv w:val="1"/>
      <w:marLeft w:val="0"/>
      <w:marRight w:val="0"/>
      <w:marTop w:val="0"/>
      <w:marBottom w:val="0"/>
      <w:divBdr>
        <w:top w:val="none" w:sz="0" w:space="0" w:color="auto"/>
        <w:left w:val="none" w:sz="0" w:space="0" w:color="auto"/>
        <w:bottom w:val="none" w:sz="0" w:space="0" w:color="auto"/>
        <w:right w:val="none" w:sz="0" w:space="0" w:color="auto"/>
      </w:divBdr>
    </w:div>
    <w:div w:id="126971635">
      <w:bodyDiv w:val="1"/>
      <w:marLeft w:val="0"/>
      <w:marRight w:val="0"/>
      <w:marTop w:val="0"/>
      <w:marBottom w:val="0"/>
      <w:divBdr>
        <w:top w:val="none" w:sz="0" w:space="0" w:color="auto"/>
        <w:left w:val="none" w:sz="0" w:space="0" w:color="auto"/>
        <w:bottom w:val="none" w:sz="0" w:space="0" w:color="auto"/>
        <w:right w:val="none" w:sz="0" w:space="0" w:color="auto"/>
      </w:divBdr>
    </w:div>
    <w:div w:id="320739622">
      <w:bodyDiv w:val="1"/>
      <w:marLeft w:val="0"/>
      <w:marRight w:val="0"/>
      <w:marTop w:val="0"/>
      <w:marBottom w:val="0"/>
      <w:divBdr>
        <w:top w:val="none" w:sz="0" w:space="0" w:color="auto"/>
        <w:left w:val="none" w:sz="0" w:space="0" w:color="auto"/>
        <w:bottom w:val="none" w:sz="0" w:space="0" w:color="auto"/>
        <w:right w:val="none" w:sz="0" w:space="0" w:color="auto"/>
      </w:divBdr>
    </w:div>
    <w:div w:id="321324548">
      <w:bodyDiv w:val="1"/>
      <w:marLeft w:val="0"/>
      <w:marRight w:val="0"/>
      <w:marTop w:val="0"/>
      <w:marBottom w:val="0"/>
      <w:divBdr>
        <w:top w:val="none" w:sz="0" w:space="0" w:color="auto"/>
        <w:left w:val="none" w:sz="0" w:space="0" w:color="auto"/>
        <w:bottom w:val="none" w:sz="0" w:space="0" w:color="auto"/>
        <w:right w:val="none" w:sz="0" w:space="0" w:color="auto"/>
      </w:divBdr>
    </w:div>
    <w:div w:id="367723842">
      <w:bodyDiv w:val="1"/>
      <w:marLeft w:val="0"/>
      <w:marRight w:val="0"/>
      <w:marTop w:val="0"/>
      <w:marBottom w:val="0"/>
      <w:divBdr>
        <w:top w:val="none" w:sz="0" w:space="0" w:color="auto"/>
        <w:left w:val="none" w:sz="0" w:space="0" w:color="auto"/>
        <w:bottom w:val="none" w:sz="0" w:space="0" w:color="auto"/>
        <w:right w:val="none" w:sz="0" w:space="0" w:color="auto"/>
      </w:divBdr>
    </w:div>
    <w:div w:id="403915006">
      <w:bodyDiv w:val="1"/>
      <w:marLeft w:val="0"/>
      <w:marRight w:val="0"/>
      <w:marTop w:val="0"/>
      <w:marBottom w:val="0"/>
      <w:divBdr>
        <w:top w:val="none" w:sz="0" w:space="0" w:color="auto"/>
        <w:left w:val="none" w:sz="0" w:space="0" w:color="auto"/>
        <w:bottom w:val="none" w:sz="0" w:space="0" w:color="auto"/>
        <w:right w:val="none" w:sz="0" w:space="0" w:color="auto"/>
      </w:divBdr>
    </w:div>
    <w:div w:id="406612787">
      <w:bodyDiv w:val="1"/>
      <w:marLeft w:val="0"/>
      <w:marRight w:val="0"/>
      <w:marTop w:val="0"/>
      <w:marBottom w:val="0"/>
      <w:divBdr>
        <w:top w:val="none" w:sz="0" w:space="0" w:color="auto"/>
        <w:left w:val="none" w:sz="0" w:space="0" w:color="auto"/>
        <w:bottom w:val="none" w:sz="0" w:space="0" w:color="auto"/>
        <w:right w:val="none" w:sz="0" w:space="0" w:color="auto"/>
      </w:divBdr>
    </w:div>
    <w:div w:id="447704345">
      <w:bodyDiv w:val="1"/>
      <w:marLeft w:val="0"/>
      <w:marRight w:val="0"/>
      <w:marTop w:val="0"/>
      <w:marBottom w:val="0"/>
      <w:divBdr>
        <w:top w:val="none" w:sz="0" w:space="0" w:color="auto"/>
        <w:left w:val="none" w:sz="0" w:space="0" w:color="auto"/>
        <w:bottom w:val="none" w:sz="0" w:space="0" w:color="auto"/>
        <w:right w:val="none" w:sz="0" w:space="0" w:color="auto"/>
      </w:divBdr>
    </w:div>
    <w:div w:id="470247988">
      <w:bodyDiv w:val="1"/>
      <w:marLeft w:val="0"/>
      <w:marRight w:val="0"/>
      <w:marTop w:val="0"/>
      <w:marBottom w:val="0"/>
      <w:divBdr>
        <w:top w:val="none" w:sz="0" w:space="0" w:color="auto"/>
        <w:left w:val="none" w:sz="0" w:space="0" w:color="auto"/>
        <w:bottom w:val="none" w:sz="0" w:space="0" w:color="auto"/>
        <w:right w:val="none" w:sz="0" w:space="0" w:color="auto"/>
      </w:divBdr>
    </w:div>
    <w:div w:id="481165616">
      <w:bodyDiv w:val="1"/>
      <w:marLeft w:val="0"/>
      <w:marRight w:val="0"/>
      <w:marTop w:val="0"/>
      <w:marBottom w:val="0"/>
      <w:divBdr>
        <w:top w:val="none" w:sz="0" w:space="0" w:color="auto"/>
        <w:left w:val="none" w:sz="0" w:space="0" w:color="auto"/>
        <w:bottom w:val="none" w:sz="0" w:space="0" w:color="auto"/>
        <w:right w:val="none" w:sz="0" w:space="0" w:color="auto"/>
      </w:divBdr>
    </w:div>
    <w:div w:id="492338446">
      <w:bodyDiv w:val="1"/>
      <w:marLeft w:val="0"/>
      <w:marRight w:val="0"/>
      <w:marTop w:val="0"/>
      <w:marBottom w:val="0"/>
      <w:divBdr>
        <w:top w:val="none" w:sz="0" w:space="0" w:color="auto"/>
        <w:left w:val="none" w:sz="0" w:space="0" w:color="auto"/>
        <w:bottom w:val="none" w:sz="0" w:space="0" w:color="auto"/>
        <w:right w:val="none" w:sz="0" w:space="0" w:color="auto"/>
      </w:divBdr>
    </w:div>
    <w:div w:id="492912852">
      <w:bodyDiv w:val="1"/>
      <w:marLeft w:val="0"/>
      <w:marRight w:val="0"/>
      <w:marTop w:val="0"/>
      <w:marBottom w:val="0"/>
      <w:divBdr>
        <w:top w:val="none" w:sz="0" w:space="0" w:color="auto"/>
        <w:left w:val="none" w:sz="0" w:space="0" w:color="auto"/>
        <w:bottom w:val="none" w:sz="0" w:space="0" w:color="auto"/>
        <w:right w:val="none" w:sz="0" w:space="0" w:color="auto"/>
      </w:divBdr>
    </w:div>
    <w:div w:id="507183503">
      <w:bodyDiv w:val="1"/>
      <w:marLeft w:val="0"/>
      <w:marRight w:val="0"/>
      <w:marTop w:val="0"/>
      <w:marBottom w:val="0"/>
      <w:divBdr>
        <w:top w:val="none" w:sz="0" w:space="0" w:color="auto"/>
        <w:left w:val="none" w:sz="0" w:space="0" w:color="auto"/>
        <w:bottom w:val="none" w:sz="0" w:space="0" w:color="auto"/>
        <w:right w:val="none" w:sz="0" w:space="0" w:color="auto"/>
      </w:divBdr>
    </w:div>
    <w:div w:id="534538395">
      <w:bodyDiv w:val="1"/>
      <w:marLeft w:val="0"/>
      <w:marRight w:val="0"/>
      <w:marTop w:val="0"/>
      <w:marBottom w:val="0"/>
      <w:divBdr>
        <w:top w:val="none" w:sz="0" w:space="0" w:color="auto"/>
        <w:left w:val="none" w:sz="0" w:space="0" w:color="auto"/>
        <w:bottom w:val="none" w:sz="0" w:space="0" w:color="auto"/>
        <w:right w:val="none" w:sz="0" w:space="0" w:color="auto"/>
      </w:divBdr>
    </w:div>
    <w:div w:id="562448331">
      <w:bodyDiv w:val="1"/>
      <w:marLeft w:val="0"/>
      <w:marRight w:val="0"/>
      <w:marTop w:val="0"/>
      <w:marBottom w:val="0"/>
      <w:divBdr>
        <w:top w:val="none" w:sz="0" w:space="0" w:color="auto"/>
        <w:left w:val="none" w:sz="0" w:space="0" w:color="auto"/>
        <w:bottom w:val="none" w:sz="0" w:space="0" w:color="auto"/>
        <w:right w:val="none" w:sz="0" w:space="0" w:color="auto"/>
      </w:divBdr>
    </w:div>
    <w:div w:id="703941002">
      <w:bodyDiv w:val="1"/>
      <w:marLeft w:val="0"/>
      <w:marRight w:val="0"/>
      <w:marTop w:val="0"/>
      <w:marBottom w:val="0"/>
      <w:divBdr>
        <w:top w:val="none" w:sz="0" w:space="0" w:color="auto"/>
        <w:left w:val="none" w:sz="0" w:space="0" w:color="auto"/>
        <w:bottom w:val="none" w:sz="0" w:space="0" w:color="auto"/>
        <w:right w:val="none" w:sz="0" w:space="0" w:color="auto"/>
      </w:divBdr>
    </w:div>
    <w:div w:id="736900729">
      <w:bodyDiv w:val="1"/>
      <w:marLeft w:val="0"/>
      <w:marRight w:val="0"/>
      <w:marTop w:val="0"/>
      <w:marBottom w:val="0"/>
      <w:divBdr>
        <w:top w:val="none" w:sz="0" w:space="0" w:color="auto"/>
        <w:left w:val="none" w:sz="0" w:space="0" w:color="auto"/>
        <w:bottom w:val="none" w:sz="0" w:space="0" w:color="auto"/>
        <w:right w:val="none" w:sz="0" w:space="0" w:color="auto"/>
      </w:divBdr>
    </w:div>
    <w:div w:id="837304690">
      <w:bodyDiv w:val="1"/>
      <w:marLeft w:val="0"/>
      <w:marRight w:val="0"/>
      <w:marTop w:val="0"/>
      <w:marBottom w:val="0"/>
      <w:divBdr>
        <w:top w:val="none" w:sz="0" w:space="0" w:color="auto"/>
        <w:left w:val="none" w:sz="0" w:space="0" w:color="auto"/>
        <w:bottom w:val="none" w:sz="0" w:space="0" w:color="auto"/>
        <w:right w:val="none" w:sz="0" w:space="0" w:color="auto"/>
      </w:divBdr>
    </w:div>
    <w:div w:id="872886698">
      <w:bodyDiv w:val="1"/>
      <w:marLeft w:val="0"/>
      <w:marRight w:val="0"/>
      <w:marTop w:val="0"/>
      <w:marBottom w:val="0"/>
      <w:divBdr>
        <w:top w:val="none" w:sz="0" w:space="0" w:color="auto"/>
        <w:left w:val="none" w:sz="0" w:space="0" w:color="auto"/>
        <w:bottom w:val="none" w:sz="0" w:space="0" w:color="auto"/>
        <w:right w:val="none" w:sz="0" w:space="0" w:color="auto"/>
      </w:divBdr>
    </w:div>
    <w:div w:id="895774463">
      <w:bodyDiv w:val="1"/>
      <w:marLeft w:val="0"/>
      <w:marRight w:val="0"/>
      <w:marTop w:val="0"/>
      <w:marBottom w:val="0"/>
      <w:divBdr>
        <w:top w:val="none" w:sz="0" w:space="0" w:color="auto"/>
        <w:left w:val="none" w:sz="0" w:space="0" w:color="auto"/>
        <w:bottom w:val="none" w:sz="0" w:space="0" w:color="auto"/>
        <w:right w:val="none" w:sz="0" w:space="0" w:color="auto"/>
      </w:divBdr>
    </w:div>
    <w:div w:id="899369059">
      <w:bodyDiv w:val="1"/>
      <w:marLeft w:val="0"/>
      <w:marRight w:val="0"/>
      <w:marTop w:val="0"/>
      <w:marBottom w:val="0"/>
      <w:divBdr>
        <w:top w:val="none" w:sz="0" w:space="0" w:color="auto"/>
        <w:left w:val="none" w:sz="0" w:space="0" w:color="auto"/>
        <w:bottom w:val="none" w:sz="0" w:space="0" w:color="auto"/>
        <w:right w:val="none" w:sz="0" w:space="0" w:color="auto"/>
      </w:divBdr>
    </w:div>
    <w:div w:id="900286604">
      <w:bodyDiv w:val="1"/>
      <w:marLeft w:val="0"/>
      <w:marRight w:val="0"/>
      <w:marTop w:val="0"/>
      <w:marBottom w:val="0"/>
      <w:divBdr>
        <w:top w:val="none" w:sz="0" w:space="0" w:color="auto"/>
        <w:left w:val="none" w:sz="0" w:space="0" w:color="auto"/>
        <w:bottom w:val="none" w:sz="0" w:space="0" w:color="auto"/>
        <w:right w:val="none" w:sz="0" w:space="0" w:color="auto"/>
      </w:divBdr>
    </w:div>
    <w:div w:id="942221722">
      <w:bodyDiv w:val="1"/>
      <w:marLeft w:val="0"/>
      <w:marRight w:val="0"/>
      <w:marTop w:val="0"/>
      <w:marBottom w:val="0"/>
      <w:divBdr>
        <w:top w:val="none" w:sz="0" w:space="0" w:color="auto"/>
        <w:left w:val="none" w:sz="0" w:space="0" w:color="auto"/>
        <w:bottom w:val="none" w:sz="0" w:space="0" w:color="auto"/>
        <w:right w:val="none" w:sz="0" w:space="0" w:color="auto"/>
      </w:divBdr>
    </w:div>
    <w:div w:id="947203925">
      <w:bodyDiv w:val="1"/>
      <w:marLeft w:val="0"/>
      <w:marRight w:val="0"/>
      <w:marTop w:val="0"/>
      <w:marBottom w:val="0"/>
      <w:divBdr>
        <w:top w:val="none" w:sz="0" w:space="0" w:color="auto"/>
        <w:left w:val="none" w:sz="0" w:space="0" w:color="auto"/>
        <w:bottom w:val="none" w:sz="0" w:space="0" w:color="auto"/>
        <w:right w:val="none" w:sz="0" w:space="0" w:color="auto"/>
      </w:divBdr>
    </w:div>
    <w:div w:id="1030230202">
      <w:bodyDiv w:val="1"/>
      <w:marLeft w:val="0"/>
      <w:marRight w:val="0"/>
      <w:marTop w:val="0"/>
      <w:marBottom w:val="0"/>
      <w:divBdr>
        <w:top w:val="none" w:sz="0" w:space="0" w:color="auto"/>
        <w:left w:val="none" w:sz="0" w:space="0" w:color="auto"/>
        <w:bottom w:val="none" w:sz="0" w:space="0" w:color="auto"/>
        <w:right w:val="none" w:sz="0" w:space="0" w:color="auto"/>
      </w:divBdr>
    </w:div>
    <w:div w:id="1046373406">
      <w:bodyDiv w:val="1"/>
      <w:marLeft w:val="0"/>
      <w:marRight w:val="0"/>
      <w:marTop w:val="0"/>
      <w:marBottom w:val="0"/>
      <w:divBdr>
        <w:top w:val="none" w:sz="0" w:space="0" w:color="auto"/>
        <w:left w:val="none" w:sz="0" w:space="0" w:color="auto"/>
        <w:bottom w:val="none" w:sz="0" w:space="0" w:color="auto"/>
        <w:right w:val="none" w:sz="0" w:space="0" w:color="auto"/>
      </w:divBdr>
    </w:div>
    <w:div w:id="1076590631">
      <w:bodyDiv w:val="1"/>
      <w:marLeft w:val="0"/>
      <w:marRight w:val="0"/>
      <w:marTop w:val="0"/>
      <w:marBottom w:val="0"/>
      <w:divBdr>
        <w:top w:val="none" w:sz="0" w:space="0" w:color="auto"/>
        <w:left w:val="none" w:sz="0" w:space="0" w:color="auto"/>
        <w:bottom w:val="none" w:sz="0" w:space="0" w:color="auto"/>
        <w:right w:val="none" w:sz="0" w:space="0" w:color="auto"/>
      </w:divBdr>
    </w:div>
    <w:div w:id="1104031632">
      <w:bodyDiv w:val="1"/>
      <w:marLeft w:val="0"/>
      <w:marRight w:val="0"/>
      <w:marTop w:val="0"/>
      <w:marBottom w:val="0"/>
      <w:divBdr>
        <w:top w:val="none" w:sz="0" w:space="0" w:color="auto"/>
        <w:left w:val="none" w:sz="0" w:space="0" w:color="auto"/>
        <w:bottom w:val="none" w:sz="0" w:space="0" w:color="auto"/>
        <w:right w:val="none" w:sz="0" w:space="0" w:color="auto"/>
      </w:divBdr>
    </w:div>
    <w:div w:id="1107698313">
      <w:bodyDiv w:val="1"/>
      <w:marLeft w:val="0"/>
      <w:marRight w:val="0"/>
      <w:marTop w:val="0"/>
      <w:marBottom w:val="0"/>
      <w:divBdr>
        <w:top w:val="none" w:sz="0" w:space="0" w:color="auto"/>
        <w:left w:val="none" w:sz="0" w:space="0" w:color="auto"/>
        <w:bottom w:val="none" w:sz="0" w:space="0" w:color="auto"/>
        <w:right w:val="none" w:sz="0" w:space="0" w:color="auto"/>
      </w:divBdr>
    </w:div>
    <w:div w:id="1145509277">
      <w:bodyDiv w:val="1"/>
      <w:marLeft w:val="0"/>
      <w:marRight w:val="0"/>
      <w:marTop w:val="0"/>
      <w:marBottom w:val="0"/>
      <w:divBdr>
        <w:top w:val="none" w:sz="0" w:space="0" w:color="auto"/>
        <w:left w:val="none" w:sz="0" w:space="0" w:color="auto"/>
        <w:bottom w:val="none" w:sz="0" w:space="0" w:color="auto"/>
        <w:right w:val="none" w:sz="0" w:space="0" w:color="auto"/>
      </w:divBdr>
    </w:div>
    <w:div w:id="1147824329">
      <w:bodyDiv w:val="1"/>
      <w:marLeft w:val="0"/>
      <w:marRight w:val="0"/>
      <w:marTop w:val="0"/>
      <w:marBottom w:val="0"/>
      <w:divBdr>
        <w:top w:val="none" w:sz="0" w:space="0" w:color="auto"/>
        <w:left w:val="none" w:sz="0" w:space="0" w:color="auto"/>
        <w:bottom w:val="none" w:sz="0" w:space="0" w:color="auto"/>
        <w:right w:val="none" w:sz="0" w:space="0" w:color="auto"/>
      </w:divBdr>
    </w:div>
    <w:div w:id="1186018930">
      <w:bodyDiv w:val="1"/>
      <w:marLeft w:val="0"/>
      <w:marRight w:val="0"/>
      <w:marTop w:val="0"/>
      <w:marBottom w:val="0"/>
      <w:divBdr>
        <w:top w:val="none" w:sz="0" w:space="0" w:color="auto"/>
        <w:left w:val="none" w:sz="0" w:space="0" w:color="auto"/>
        <w:bottom w:val="none" w:sz="0" w:space="0" w:color="auto"/>
        <w:right w:val="none" w:sz="0" w:space="0" w:color="auto"/>
      </w:divBdr>
    </w:div>
    <w:div w:id="1241600996">
      <w:bodyDiv w:val="1"/>
      <w:marLeft w:val="0"/>
      <w:marRight w:val="0"/>
      <w:marTop w:val="0"/>
      <w:marBottom w:val="0"/>
      <w:divBdr>
        <w:top w:val="none" w:sz="0" w:space="0" w:color="auto"/>
        <w:left w:val="none" w:sz="0" w:space="0" w:color="auto"/>
        <w:bottom w:val="none" w:sz="0" w:space="0" w:color="auto"/>
        <w:right w:val="none" w:sz="0" w:space="0" w:color="auto"/>
      </w:divBdr>
    </w:div>
    <w:div w:id="1262103500">
      <w:bodyDiv w:val="1"/>
      <w:marLeft w:val="0"/>
      <w:marRight w:val="0"/>
      <w:marTop w:val="0"/>
      <w:marBottom w:val="0"/>
      <w:divBdr>
        <w:top w:val="none" w:sz="0" w:space="0" w:color="auto"/>
        <w:left w:val="none" w:sz="0" w:space="0" w:color="auto"/>
        <w:bottom w:val="none" w:sz="0" w:space="0" w:color="auto"/>
        <w:right w:val="none" w:sz="0" w:space="0" w:color="auto"/>
      </w:divBdr>
    </w:div>
    <w:div w:id="1269698830">
      <w:bodyDiv w:val="1"/>
      <w:marLeft w:val="0"/>
      <w:marRight w:val="0"/>
      <w:marTop w:val="0"/>
      <w:marBottom w:val="0"/>
      <w:divBdr>
        <w:top w:val="none" w:sz="0" w:space="0" w:color="auto"/>
        <w:left w:val="none" w:sz="0" w:space="0" w:color="auto"/>
        <w:bottom w:val="none" w:sz="0" w:space="0" w:color="auto"/>
        <w:right w:val="none" w:sz="0" w:space="0" w:color="auto"/>
      </w:divBdr>
    </w:div>
    <w:div w:id="1282033694">
      <w:bodyDiv w:val="1"/>
      <w:marLeft w:val="0"/>
      <w:marRight w:val="0"/>
      <w:marTop w:val="0"/>
      <w:marBottom w:val="0"/>
      <w:divBdr>
        <w:top w:val="none" w:sz="0" w:space="0" w:color="auto"/>
        <w:left w:val="none" w:sz="0" w:space="0" w:color="auto"/>
        <w:bottom w:val="none" w:sz="0" w:space="0" w:color="auto"/>
        <w:right w:val="none" w:sz="0" w:space="0" w:color="auto"/>
      </w:divBdr>
    </w:div>
    <w:div w:id="1300109970">
      <w:bodyDiv w:val="1"/>
      <w:marLeft w:val="0"/>
      <w:marRight w:val="0"/>
      <w:marTop w:val="0"/>
      <w:marBottom w:val="0"/>
      <w:divBdr>
        <w:top w:val="none" w:sz="0" w:space="0" w:color="auto"/>
        <w:left w:val="none" w:sz="0" w:space="0" w:color="auto"/>
        <w:bottom w:val="none" w:sz="0" w:space="0" w:color="auto"/>
        <w:right w:val="none" w:sz="0" w:space="0" w:color="auto"/>
      </w:divBdr>
    </w:div>
    <w:div w:id="1301569039">
      <w:bodyDiv w:val="1"/>
      <w:marLeft w:val="0"/>
      <w:marRight w:val="0"/>
      <w:marTop w:val="0"/>
      <w:marBottom w:val="0"/>
      <w:divBdr>
        <w:top w:val="none" w:sz="0" w:space="0" w:color="auto"/>
        <w:left w:val="none" w:sz="0" w:space="0" w:color="auto"/>
        <w:bottom w:val="none" w:sz="0" w:space="0" w:color="auto"/>
        <w:right w:val="none" w:sz="0" w:space="0" w:color="auto"/>
      </w:divBdr>
    </w:div>
    <w:div w:id="1317998091">
      <w:bodyDiv w:val="1"/>
      <w:marLeft w:val="0"/>
      <w:marRight w:val="0"/>
      <w:marTop w:val="0"/>
      <w:marBottom w:val="0"/>
      <w:divBdr>
        <w:top w:val="none" w:sz="0" w:space="0" w:color="auto"/>
        <w:left w:val="none" w:sz="0" w:space="0" w:color="auto"/>
        <w:bottom w:val="none" w:sz="0" w:space="0" w:color="auto"/>
        <w:right w:val="none" w:sz="0" w:space="0" w:color="auto"/>
      </w:divBdr>
    </w:div>
    <w:div w:id="1357462420">
      <w:bodyDiv w:val="1"/>
      <w:marLeft w:val="0"/>
      <w:marRight w:val="0"/>
      <w:marTop w:val="0"/>
      <w:marBottom w:val="0"/>
      <w:divBdr>
        <w:top w:val="none" w:sz="0" w:space="0" w:color="auto"/>
        <w:left w:val="none" w:sz="0" w:space="0" w:color="auto"/>
        <w:bottom w:val="none" w:sz="0" w:space="0" w:color="auto"/>
        <w:right w:val="none" w:sz="0" w:space="0" w:color="auto"/>
      </w:divBdr>
    </w:div>
    <w:div w:id="1362778286">
      <w:bodyDiv w:val="1"/>
      <w:marLeft w:val="0"/>
      <w:marRight w:val="0"/>
      <w:marTop w:val="0"/>
      <w:marBottom w:val="0"/>
      <w:divBdr>
        <w:top w:val="none" w:sz="0" w:space="0" w:color="auto"/>
        <w:left w:val="none" w:sz="0" w:space="0" w:color="auto"/>
        <w:bottom w:val="none" w:sz="0" w:space="0" w:color="auto"/>
        <w:right w:val="none" w:sz="0" w:space="0" w:color="auto"/>
      </w:divBdr>
    </w:div>
    <w:div w:id="1403603651">
      <w:bodyDiv w:val="1"/>
      <w:marLeft w:val="0"/>
      <w:marRight w:val="0"/>
      <w:marTop w:val="0"/>
      <w:marBottom w:val="0"/>
      <w:divBdr>
        <w:top w:val="none" w:sz="0" w:space="0" w:color="auto"/>
        <w:left w:val="none" w:sz="0" w:space="0" w:color="auto"/>
        <w:bottom w:val="none" w:sz="0" w:space="0" w:color="auto"/>
        <w:right w:val="none" w:sz="0" w:space="0" w:color="auto"/>
      </w:divBdr>
    </w:div>
    <w:div w:id="1414425018">
      <w:bodyDiv w:val="1"/>
      <w:marLeft w:val="0"/>
      <w:marRight w:val="0"/>
      <w:marTop w:val="0"/>
      <w:marBottom w:val="0"/>
      <w:divBdr>
        <w:top w:val="none" w:sz="0" w:space="0" w:color="auto"/>
        <w:left w:val="none" w:sz="0" w:space="0" w:color="auto"/>
        <w:bottom w:val="none" w:sz="0" w:space="0" w:color="auto"/>
        <w:right w:val="none" w:sz="0" w:space="0" w:color="auto"/>
      </w:divBdr>
    </w:div>
    <w:div w:id="1415934793">
      <w:bodyDiv w:val="1"/>
      <w:marLeft w:val="0"/>
      <w:marRight w:val="0"/>
      <w:marTop w:val="0"/>
      <w:marBottom w:val="0"/>
      <w:divBdr>
        <w:top w:val="none" w:sz="0" w:space="0" w:color="auto"/>
        <w:left w:val="none" w:sz="0" w:space="0" w:color="auto"/>
        <w:bottom w:val="none" w:sz="0" w:space="0" w:color="auto"/>
        <w:right w:val="none" w:sz="0" w:space="0" w:color="auto"/>
      </w:divBdr>
    </w:div>
    <w:div w:id="1416392646">
      <w:bodyDiv w:val="1"/>
      <w:marLeft w:val="0"/>
      <w:marRight w:val="0"/>
      <w:marTop w:val="0"/>
      <w:marBottom w:val="0"/>
      <w:divBdr>
        <w:top w:val="none" w:sz="0" w:space="0" w:color="auto"/>
        <w:left w:val="none" w:sz="0" w:space="0" w:color="auto"/>
        <w:bottom w:val="none" w:sz="0" w:space="0" w:color="auto"/>
        <w:right w:val="none" w:sz="0" w:space="0" w:color="auto"/>
      </w:divBdr>
    </w:div>
    <w:div w:id="1452939189">
      <w:bodyDiv w:val="1"/>
      <w:marLeft w:val="0"/>
      <w:marRight w:val="0"/>
      <w:marTop w:val="0"/>
      <w:marBottom w:val="0"/>
      <w:divBdr>
        <w:top w:val="none" w:sz="0" w:space="0" w:color="auto"/>
        <w:left w:val="none" w:sz="0" w:space="0" w:color="auto"/>
        <w:bottom w:val="none" w:sz="0" w:space="0" w:color="auto"/>
        <w:right w:val="none" w:sz="0" w:space="0" w:color="auto"/>
      </w:divBdr>
    </w:div>
    <w:div w:id="1456486075">
      <w:bodyDiv w:val="1"/>
      <w:marLeft w:val="0"/>
      <w:marRight w:val="0"/>
      <w:marTop w:val="0"/>
      <w:marBottom w:val="0"/>
      <w:divBdr>
        <w:top w:val="none" w:sz="0" w:space="0" w:color="auto"/>
        <w:left w:val="none" w:sz="0" w:space="0" w:color="auto"/>
        <w:bottom w:val="none" w:sz="0" w:space="0" w:color="auto"/>
        <w:right w:val="none" w:sz="0" w:space="0" w:color="auto"/>
      </w:divBdr>
    </w:div>
    <w:div w:id="1459952357">
      <w:bodyDiv w:val="1"/>
      <w:marLeft w:val="0"/>
      <w:marRight w:val="0"/>
      <w:marTop w:val="0"/>
      <w:marBottom w:val="0"/>
      <w:divBdr>
        <w:top w:val="none" w:sz="0" w:space="0" w:color="auto"/>
        <w:left w:val="none" w:sz="0" w:space="0" w:color="auto"/>
        <w:bottom w:val="none" w:sz="0" w:space="0" w:color="auto"/>
        <w:right w:val="none" w:sz="0" w:space="0" w:color="auto"/>
      </w:divBdr>
    </w:div>
    <w:div w:id="1466660832">
      <w:bodyDiv w:val="1"/>
      <w:marLeft w:val="0"/>
      <w:marRight w:val="0"/>
      <w:marTop w:val="0"/>
      <w:marBottom w:val="0"/>
      <w:divBdr>
        <w:top w:val="none" w:sz="0" w:space="0" w:color="auto"/>
        <w:left w:val="none" w:sz="0" w:space="0" w:color="auto"/>
        <w:bottom w:val="none" w:sz="0" w:space="0" w:color="auto"/>
        <w:right w:val="none" w:sz="0" w:space="0" w:color="auto"/>
      </w:divBdr>
    </w:div>
    <w:div w:id="1502502546">
      <w:bodyDiv w:val="1"/>
      <w:marLeft w:val="0"/>
      <w:marRight w:val="0"/>
      <w:marTop w:val="0"/>
      <w:marBottom w:val="0"/>
      <w:divBdr>
        <w:top w:val="none" w:sz="0" w:space="0" w:color="auto"/>
        <w:left w:val="none" w:sz="0" w:space="0" w:color="auto"/>
        <w:bottom w:val="none" w:sz="0" w:space="0" w:color="auto"/>
        <w:right w:val="none" w:sz="0" w:space="0" w:color="auto"/>
      </w:divBdr>
    </w:div>
    <w:div w:id="1505778579">
      <w:bodyDiv w:val="1"/>
      <w:marLeft w:val="0"/>
      <w:marRight w:val="0"/>
      <w:marTop w:val="0"/>
      <w:marBottom w:val="0"/>
      <w:divBdr>
        <w:top w:val="none" w:sz="0" w:space="0" w:color="auto"/>
        <w:left w:val="none" w:sz="0" w:space="0" w:color="auto"/>
        <w:bottom w:val="none" w:sz="0" w:space="0" w:color="auto"/>
        <w:right w:val="none" w:sz="0" w:space="0" w:color="auto"/>
      </w:divBdr>
    </w:div>
    <w:div w:id="1548567341">
      <w:bodyDiv w:val="1"/>
      <w:marLeft w:val="0"/>
      <w:marRight w:val="0"/>
      <w:marTop w:val="0"/>
      <w:marBottom w:val="0"/>
      <w:divBdr>
        <w:top w:val="none" w:sz="0" w:space="0" w:color="auto"/>
        <w:left w:val="none" w:sz="0" w:space="0" w:color="auto"/>
        <w:bottom w:val="none" w:sz="0" w:space="0" w:color="auto"/>
        <w:right w:val="none" w:sz="0" w:space="0" w:color="auto"/>
      </w:divBdr>
    </w:div>
    <w:div w:id="1587154253">
      <w:bodyDiv w:val="1"/>
      <w:marLeft w:val="0"/>
      <w:marRight w:val="0"/>
      <w:marTop w:val="0"/>
      <w:marBottom w:val="0"/>
      <w:divBdr>
        <w:top w:val="none" w:sz="0" w:space="0" w:color="auto"/>
        <w:left w:val="none" w:sz="0" w:space="0" w:color="auto"/>
        <w:bottom w:val="none" w:sz="0" w:space="0" w:color="auto"/>
        <w:right w:val="none" w:sz="0" w:space="0" w:color="auto"/>
      </w:divBdr>
    </w:div>
    <w:div w:id="1603151778">
      <w:bodyDiv w:val="1"/>
      <w:marLeft w:val="0"/>
      <w:marRight w:val="0"/>
      <w:marTop w:val="0"/>
      <w:marBottom w:val="0"/>
      <w:divBdr>
        <w:top w:val="none" w:sz="0" w:space="0" w:color="auto"/>
        <w:left w:val="none" w:sz="0" w:space="0" w:color="auto"/>
        <w:bottom w:val="none" w:sz="0" w:space="0" w:color="auto"/>
        <w:right w:val="none" w:sz="0" w:space="0" w:color="auto"/>
      </w:divBdr>
    </w:div>
    <w:div w:id="1660187346">
      <w:bodyDiv w:val="1"/>
      <w:marLeft w:val="0"/>
      <w:marRight w:val="0"/>
      <w:marTop w:val="0"/>
      <w:marBottom w:val="0"/>
      <w:divBdr>
        <w:top w:val="none" w:sz="0" w:space="0" w:color="auto"/>
        <w:left w:val="none" w:sz="0" w:space="0" w:color="auto"/>
        <w:bottom w:val="none" w:sz="0" w:space="0" w:color="auto"/>
        <w:right w:val="none" w:sz="0" w:space="0" w:color="auto"/>
      </w:divBdr>
    </w:div>
    <w:div w:id="1664897520">
      <w:bodyDiv w:val="1"/>
      <w:marLeft w:val="0"/>
      <w:marRight w:val="0"/>
      <w:marTop w:val="0"/>
      <w:marBottom w:val="0"/>
      <w:divBdr>
        <w:top w:val="none" w:sz="0" w:space="0" w:color="auto"/>
        <w:left w:val="none" w:sz="0" w:space="0" w:color="auto"/>
        <w:bottom w:val="none" w:sz="0" w:space="0" w:color="auto"/>
        <w:right w:val="none" w:sz="0" w:space="0" w:color="auto"/>
      </w:divBdr>
    </w:div>
    <w:div w:id="1677659337">
      <w:bodyDiv w:val="1"/>
      <w:marLeft w:val="0"/>
      <w:marRight w:val="0"/>
      <w:marTop w:val="0"/>
      <w:marBottom w:val="0"/>
      <w:divBdr>
        <w:top w:val="none" w:sz="0" w:space="0" w:color="auto"/>
        <w:left w:val="none" w:sz="0" w:space="0" w:color="auto"/>
        <w:bottom w:val="none" w:sz="0" w:space="0" w:color="auto"/>
        <w:right w:val="none" w:sz="0" w:space="0" w:color="auto"/>
      </w:divBdr>
    </w:div>
    <w:div w:id="1721243081">
      <w:bodyDiv w:val="1"/>
      <w:marLeft w:val="0"/>
      <w:marRight w:val="0"/>
      <w:marTop w:val="0"/>
      <w:marBottom w:val="0"/>
      <w:divBdr>
        <w:top w:val="none" w:sz="0" w:space="0" w:color="auto"/>
        <w:left w:val="none" w:sz="0" w:space="0" w:color="auto"/>
        <w:bottom w:val="none" w:sz="0" w:space="0" w:color="auto"/>
        <w:right w:val="none" w:sz="0" w:space="0" w:color="auto"/>
      </w:divBdr>
    </w:div>
    <w:div w:id="1724524114">
      <w:bodyDiv w:val="1"/>
      <w:marLeft w:val="0"/>
      <w:marRight w:val="0"/>
      <w:marTop w:val="0"/>
      <w:marBottom w:val="0"/>
      <w:divBdr>
        <w:top w:val="none" w:sz="0" w:space="0" w:color="auto"/>
        <w:left w:val="none" w:sz="0" w:space="0" w:color="auto"/>
        <w:bottom w:val="none" w:sz="0" w:space="0" w:color="auto"/>
        <w:right w:val="none" w:sz="0" w:space="0" w:color="auto"/>
      </w:divBdr>
    </w:div>
    <w:div w:id="1775246381">
      <w:bodyDiv w:val="1"/>
      <w:marLeft w:val="0"/>
      <w:marRight w:val="0"/>
      <w:marTop w:val="0"/>
      <w:marBottom w:val="0"/>
      <w:divBdr>
        <w:top w:val="none" w:sz="0" w:space="0" w:color="auto"/>
        <w:left w:val="none" w:sz="0" w:space="0" w:color="auto"/>
        <w:bottom w:val="none" w:sz="0" w:space="0" w:color="auto"/>
        <w:right w:val="none" w:sz="0" w:space="0" w:color="auto"/>
      </w:divBdr>
    </w:div>
    <w:div w:id="1786003521">
      <w:bodyDiv w:val="1"/>
      <w:marLeft w:val="0"/>
      <w:marRight w:val="0"/>
      <w:marTop w:val="0"/>
      <w:marBottom w:val="0"/>
      <w:divBdr>
        <w:top w:val="none" w:sz="0" w:space="0" w:color="auto"/>
        <w:left w:val="none" w:sz="0" w:space="0" w:color="auto"/>
        <w:bottom w:val="none" w:sz="0" w:space="0" w:color="auto"/>
        <w:right w:val="none" w:sz="0" w:space="0" w:color="auto"/>
      </w:divBdr>
    </w:div>
    <w:div w:id="1834641319">
      <w:bodyDiv w:val="1"/>
      <w:marLeft w:val="0"/>
      <w:marRight w:val="0"/>
      <w:marTop w:val="0"/>
      <w:marBottom w:val="0"/>
      <w:divBdr>
        <w:top w:val="none" w:sz="0" w:space="0" w:color="auto"/>
        <w:left w:val="none" w:sz="0" w:space="0" w:color="auto"/>
        <w:bottom w:val="none" w:sz="0" w:space="0" w:color="auto"/>
        <w:right w:val="none" w:sz="0" w:space="0" w:color="auto"/>
      </w:divBdr>
    </w:div>
    <w:div w:id="1901744133">
      <w:bodyDiv w:val="1"/>
      <w:marLeft w:val="0"/>
      <w:marRight w:val="0"/>
      <w:marTop w:val="0"/>
      <w:marBottom w:val="0"/>
      <w:divBdr>
        <w:top w:val="none" w:sz="0" w:space="0" w:color="auto"/>
        <w:left w:val="none" w:sz="0" w:space="0" w:color="auto"/>
        <w:bottom w:val="none" w:sz="0" w:space="0" w:color="auto"/>
        <w:right w:val="none" w:sz="0" w:space="0" w:color="auto"/>
      </w:divBdr>
    </w:div>
    <w:div w:id="1906603293">
      <w:bodyDiv w:val="1"/>
      <w:marLeft w:val="0"/>
      <w:marRight w:val="0"/>
      <w:marTop w:val="0"/>
      <w:marBottom w:val="0"/>
      <w:divBdr>
        <w:top w:val="none" w:sz="0" w:space="0" w:color="auto"/>
        <w:left w:val="none" w:sz="0" w:space="0" w:color="auto"/>
        <w:bottom w:val="none" w:sz="0" w:space="0" w:color="auto"/>
        <w:right w:val="none" w:sz="0" w:space="0" w:color="auto"/>
      </w:divBdr>
    </w:div>
    <w:div w:id="1945267849">
      <w:bodyDiv w:val="1"/>
      <w:marLeft w:val="0"/>
      <w:marRight w:val="0"/>
      <w:marTop w:val="0"/>
      <w:marBottom w:val="0"/>
      <w:divBdr>
        <w:top w:val="none" w:sz="0" w:space="0" w:color="auto"/>
        <w:left w:val="none" w:sz="0" w:space="0" w:color="auto"/>
        <w:bottom w:val="none" w:sz="0" w:space="0" w:color="auto"/>
        <w:right w:val="none" w:sz="0" w:space="0" w:color="auto"/>
      </w:divBdr>
    </w:div>
    <w:div w:id="1959218791">
      <w:bodyDiv w:val="1"/>
      <w:marLeft w:val="0"/>
      <w:marRight w:val="0"/>
      <w:marTop w:val="0"/>
      <w:marBottom w:val="0"/>
      <w:divBdr>
        <w:top w:val="none" w:sz="0" w:space="0" w:color="auto"/>
        <w:left w:val="none" w:sz="0" w:space="0" w:color="auto"/>
        <w:bottom w:val="none" w:sz="0" w:space="0" w:color="auto"/>
        <w:right w:val="none" w:sz="0" w:space="0" w:color="auto"/>
      </w:divBdr>
    </w:div>
    <w:div w:id="1968732618">
      <w:bodyDiv w:val="1"/>
      <w:marLeft w:val="0"/>
      <w:marRight w:val="0"/>
      <w:marTop w:val="0"/>
      <w:marBottom w:val="0"/>
      <w:divBdr>
        <w:top w:val="none" w:sz="0" w:space="0" w:color="auto"/>
        <w:left w:val="none" w:sz="0" w:space="0" w:color="auto"/>
        <w:bottom w:val="none" w:sz="0" w:space="0" w:color="auto"/>
        <w:right w:val="none" w:sz="0" w:space="0" w:color="auto"/>
      </w:divBdr>
    </w:div>
    <w:div w:id="1976446824">
      <w:bodyDiv w:val="1"/>
      <w:marLeft w:val="0"/>
      <w:marRight w:val="0"/>
      <w:marTop w:val="0"/>
      <w:marBottom w:val="0"/>
      <w:divBdr>
        <w:top w:val="none" w:sz="0" w:space="0" w:color="auto"/>
        <w:left w:val="none" w:sz="0" w:space="0" w:color="auto"/>
        <w:bottom w:val="none" w:sz="0" w:space="0" w:color="auto"/>
        <w:right w:val="none" w:sz="0" w:space="0" w:color="auto"/>
      </w:divBdr>
    </w:div>
    <w:div w:id="2013096470">
      <w:bodyDiv w:val="1"/>
      <w:marLeft w:val="0"/>
      <w:marRight w:val="0"/>
      <w:marTop w:val="0"/>
      <w:marBottom w:val="0"/>
      <w:divBdr>
        <w:top w:val="none" w:sz="0" w:space="0" w:color="auto"/>
        <w:left w:val="none" w:sz="0" w:space="0" w:color="auto"/>
        <w:bottom w:val="none" w:sz="0" w:space="0" w:color="auto"/>
        <w:right w:val="none" w:sz="0" w:space="0" w:color="auto"/>
      </w:divBdr>
    </w:div>
    <w:div w:id="2021925660">
      <w:bodyDiv w:val="1"/>
      <w:marLeft w:val="0"/>
      <w:marRight w:val="0"/>
      <w:marTop w:val="0"/>
      <w:marBottom w:val="0"/>
      <w:divBdr>
        <w:top w:val="none" w:sz="0" w:space="0" w:color="auto"/>
        <w:left w:val="none" w:sz="0" w:space="0" w:color="auto"/>
        <w:bottom w:val="none" w:sz="0" w:space="0" w:color="auto"/>
        <w:right w:val="none" w:sz="0" w:space="0" w:color="auto"/>
      </w:divBdr>
    </w:div>
    <w:div w:id="2025201041">
      <w:bodyDiv w:val="1"/>
      <w:marLeft w:val="0"/>
      <w:marRight w:val="0"/>
      <w:marTop w:val="0"/>
      <w:marBottom w:val="0"/>
      <w:divBdr>
        <w:top w:val="none" w:sz="0" w:space="0" w:color="auto"/>
        <w:left w:val="none" w:sz="0" w:space="0" w:color="auto"/>
        <w:bottom w:val="none" w:sz="0" w:space="0" w:color="auto"/>
        <w:right w:val="none" w:sz="0" w:space="0" w:color="auto"/>
      </w:divBdr>
    </w:div>
    <w:div w:id="2091459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3B0F48-1CBF-0D4D-A6E7-87FF5E7A3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Pages>
  <Words>506</Words>
  <Characters>2885</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池田　樹生</dc:creator>
  <cp:keywords/>
  <dc:description/>
  <cp:lastModifiedBy>池田　樹生</cp:lastModifiedBy>
  <cp:revision>5</cp:revision>
  <dcterms:created xsi:type="dcterms:W3CDTF">2026-01-06T10:40:00Z</dcterms:created>
  <dcterms:modified xsi:type="dcterms:W3CDTF">2026-01-11T07:29:00Z</dcterms:modified>
</cp:coreProperties>
</file>