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D7A9" w14:textId="77777777" w:rsidR="00D10E27" w:rsidRPr="00C22D7D" w:rsidRDefault="00D10E27" w:rsidP="00D10E27">
      <w:pPr>
        <w:rPr>
          <w:b/>
          <w:bCs/>
          <w:sz w:val="32"/>
          <w:szCs w:val="32"/>
        </w:rPr>
      </w:pPr>
      <w:r w:rsidRPr="00C22D7D">
        <w:rPr>
          <w:b/>
          <w:bCs/>
          <w:sz w:val="32"/>
          <w:szCs w:val="32"/>
        </w:rPr>
        <w:t xml:space="preserve">Shading </w:t>
      </w:r>
      <w:r w:rsidRPr="00C22D7D">
        <w:rPr>
          <w:b/>
          <w:bCs/>
          <w:i/>
          <w:iCs/>
          <w:sz w:val="32"/>
          <w:szCs w:val="32"/>
        </w:rPr>
        <w:t>Acropora kenti</w:t>
      </w:r>
      <w:r w:rsidRPr="00C22D7D">
        <w:rPr>
          <w:b/>
          <w:bCs/>
          <w:sz w:val="32"/>
          <w:szCs w:val="32"/>
        </w:rPr>
        <w:t xml:space="preserve"> during doldrum-like conditions can reduce mortality risk during high-thermal stress events</w:t>
      </w:r>
    </w:p>
    <w:p w14:paraId="26C06A2E" w14:textId="77777777" w:rsidR="00D10E27" w:rsidRDefault="00D10E27" w:rsidP="00D10E27"/>
    <w:p w14:paraId="107D3749" w14:textId="77777777" w:rsidR="00E4790D" w:rsidRDefault="00E4790D" w:rsidP="00E4790D">
      <w:r>
        <w:t>Butcherine, Peter</w:t>
      </w:r>
      <w:r>
        <w:rPr>
          <w:vertAlign w:val="superscript"/>
        </w:rPr>
        <w:t>1*</w:t>
      </w:r>
      <w:r>
        <w:t>; Fiori, Amarah</w:t>
      </w:r>
      <w:r>
        <w:rPr>
          <w:vertAlign w:val="superscript"/>
        </w:rPr>
        <w:t>2</w:t>
      </w:r>
      <w:r>
        <w:t>; Ellis, Sophia L.</w:t>
      </w:r>
      <w:r>
        <w:rPr>
          <w:vertAlign w:val="superscript"/>
        </w:rPr>
        <w:t>1</w:t>
      </w:r>
      <w:r>
        <w:t>; Hendrickson, Conor A.</w:t>
      </w:r>
      <w:r>
        <w:rPr>
          <w:vertAlign w:val="superscript"/>
        </w:rPr>
        <w:t>1</w:t>
      </w:r>
      <w:r>
        <w:t>; Harrison, Daniel P.</w:t>
      </w:r>
      <w:r>
        <w:rPr>
          <w:vertAlign w:val="superscript"/>
        </w:rPr>
        <w:t>1,3</w:t>
      </w:r>
    </w:p>
    <w:p w14:paraId="60905DB2" w14:textId="77777777" w:rsidR="00E4790D" w:rsidRDefault="00E4790D" w:rsidP="00E4790D">
      <w:r>
        <w:t>Affiliation/contact</w:t>
      </w:r>
    </w:p>
    <w:p w14:paraId="1D676D1A" w14:textId="77777777" w:rsidR="00E4790D" w:rsidRDefault="00E4790D" w:rsidP="00E4790D">
      <w:r>
        <w:rPr>
          <w:vertAlign w:val="superscript"/>
        </w:rPr>
        <w:t xml:space="preserve">1 </w:t>
      </w:r>
      <w:r>
        <w:t>National Marine Science Centre, Southern Cross University, Coffs Harbour, NSW, Australia</w:t>
      </w:r>
    </w:p>
    <w:p w14:paraId="23D14674" w14:textId="77777777" w:rsidR="00E4790D" w:rsidRDefault="00E4790D" w:rsidP="00E4790D">
      <w:r>
        <w:rPr>
          <w:vertAlign w:val="superscript"/>
        </w:rPr>
        <w:t xml:space="preserve">2 </w:t>
      </w:r>
      <w:r>
        <w:t>College of Science and Engineering, James Cook University, Townsville, Queensland, Australia</w:t>
      </w:r>
    </w:p>
    <w:p w14:paraId="2E8898F9" w14:textId="77777777" w:rsidR="00E4790D" w:rsidRDefault="00E4790D" w:rsidP="00E4790D">
      <w:r>
        <w:rPr>
          <w:vertAlign w:val="superscript"/>
        </w:rPr>
        <w:t xml:space="preserve">3 </w:t>
      </w:r>
      <w:r>
        <w:t>School of Geosciences, University of Sydney, Sydney, NSW, Australia</w:t>
      </w:r>
    </w:p>
    <w:p w14:paraId="66C0CAE5" w14:textId="77777777" w:rsidR="00D10E27" w:rsidRDefault="00D10E27" w:rsidP="00844C78">
      <w:pPr>
        <w:pStyle w:val="Caption"/>
        <w:keepNext/>
      </w:pPr>
    </w:p>
    <w:p w14:paraId="3697209C" w14:textId="77777777" w:rsidR="00D10E27" w:rsidRPr="00D10E27" w:rsidRDefault="00D10E27" w:rsidP="00E4790D"/>
    <w:p w14:paraId="2320AD65" w14:textId="6F2B2F41" w:rsidR="00844C78" w:rsidRDefault="00844C78" w:rsidP="00844C78">
      <w:pPr>
        <w:pStyle w:val="Caption"/>
        <w:keepNext/>
      </w:pPr>
      <w:r>
        <w:rPr>
          <w:noProof/>
        </w:rPr>
        <w:drawing>
          <wp:inline distT="0" distB="0" distL="0" distR="0" wp14:anchorId="73679744" wp14:editId="4A463EDB">
            <wp:extent cx="5943600" cy="3962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6B2C9" w14:textId="31586E8D" w:rsidR="00844C78" w:rsidRDefault="00844C78" w:rsidP="00E4790D">
      <w:pPr>
        <w:pStyle w:val="Caption"/>
      </w:pPr>
      <w:r>
        <w:t xml:space="preserve">Fig. </w:t>
      </w:r>
      <w:fldSimple w:instr=" SEQ Fig. \* ARABIC ">
        <w:r w:rsidR="00A276D6">
          <w:rPr>
            <w:noProof/>
          </w:rPr>
          <w:t>1</w:t>
        </w:r>
      </w:fldSimple>
      <w:r>
        <w:t>.</w:t>
      </w:r>
      <w:r w:rsidR="00AC1F70">
        <w:t xml:space="preserve"> Temporal and spatial variation</w:t>
      </w:r>
      <w:r w:rsidR="001067BF">
        <w:t xml:space="preserve"> of doldrum conditions on the Great Barrier Reef using seven years of mass beaching data.</w:t>
      </w:r>
      <w:r>
        <w:t xml:space="preserve"> (A) </w:t>
      </w:r>
      <w:r w:rsidR="00022390">
        <w:t>m</w:t>
      </w:r>
      <w:r w:rsidR="00963308">
        <w:t>ean</w:t>
      </w:r>
      <w:r w:rsidR="00344168">
        <w:t xml:space="preserve"> coverage of </w:t>
      </w:r>
      <w:r>
        <w:t>doldrum conditions</w:t>
      </w:r>
      <w:r w:rsidR="00963308">
        <w:t xml:space="preserve"> (%)</w:t>
      </w:r>
      <w:r w:rsidR="006A1B40">
        <w:t xml:space="preserve"> </w:t>
      </w:r>
      <w:r w:rsidR="00022390">
        <w:t>and</w:t>
      </w:r>
      <w:r w:rsidR="00527A0F">
        <w:t xml:space="preserve"> </w:t>
      </w:r>
      <w:r w:rsidR="007C3B55">
        <w:t>(B)</w:t>
      </w:r>
      <w:r w:rsidR="007C7CFD">
        <w:t xml:space="preserve"> </w:t>
      </w:r>
      <w:r w:rsidR="00022390">
        <w:t>m</w:t>
      </w:r>
      <w:r w:rsidR="00FB2879">
        <w:t xml:space="preserve">ean </w:t>
      </w:r>
      <w:r w:rsidR="008F79F4">
        <w:t xml:space="preserve">accrued </w:t>
      </w:r>
      <w:r w:rsidR="00FB2879">
        <w:t>thermal stress (</w:t>
      </w:r>
      <w:r w:rsidR="007B03E6">
        <w:t>°C-week</w:t>
      </w:r>
      <w:r w:rsidR="00FB2879">
        <w:t>)</w:t>
      </w:r>
      <w:r w:rsidR="00022390">
        <w:t xml:space="preserve">. </w:t>
      </w:r>
    </w:p>
    <w:p w14:paraId="5BFA4347" w14:textId="77777777" w:rsidR="00746B18" w:rsidRDefault="00746B18" w:rsidP="00377B4C">
      <w:pPr>
        <w:pStyle w:val="Caption"/>
        <w:keepNext/>
      </w:pPr>
    </w:p>
    <w:p w14:paraId="18DF7EFE" w14:textId="77777777" w:rsidR="00A276D6" w:rsidRDefault="00A276D6">
      <w:pPr>
        <w:rPr>
          <w:iCs/>
          <w:szCs w:val="18"/>
        </w:rPr>
      </w:pPr>
      <w:r>
        <w:br w:type="page"/>
      </w:r>
    </w:p>
    <w:p w14:paraId="2D1E1919" w14:textId="697A6E1F" w:rsidR="00377B4C" w:rsidRDefault="00377B4C" w:rsidP="00377B4C">
      <w:pPr>
        <w:pStyle w:val="Caption"/>
        <w:keepNext/>
      </w:pPr>
      <w:r>
        <w:lastRenderedPageBreak/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A276D6">
        <w:rPr>
          <w:noProof/>
        </w:rPr>
        <w:t>1</w:t>
      </w:r>
      <w:r>
        <w:fldChar w:fldCharType="end"/>
      </w:r>
      <w:r>
        <w:t>. Mean weekly water quality parameters of experimental tank water.</w:t>
      </w:r>
    </w:p>
    <w:tbl>
      <w:tblPr>
        <w:tblW w:w="2984" w:type="pct"/>
        <w:tblLook w:val="04A0" w:firstRow="1" w:lastRow="0" w:firstColumn="1" w:lastColumn="0" w:noHBand="0" w:noVBand="1"/>
      </w:tblPr>
      <w:tblGrid>
        <w:gridCol w:w="2646"/>
        <w:gridCol w:w="1764"/>
        <w:gridCol w:w="1176"/>
      </w:tblGrid>
      <w:tr w:rsidR="00377B4C" w:rsidRPr="00756B9F" w14:paraId="5DA1FF8C" w14:textId="77777777" w:rsidTr="1142051E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6B5A17B" w14:textId="77777777" w:rsidR="00377B4C" w:rsidRPr="00312A2B" w:rsidRDefault="00377B4C" w:rsidP="00153793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312A2B">
              <w:rPr>
                <w:rFonts w:eastAsia="Times New Roman" w:cs="Times New Roman"/>
                <w:color w:val="000000"/>
                <w:lang w:eastAsia="en-AU"/>
              </w:rPr>
              <w:t>Water Quality Parameter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100DDE0" w14:textId="77777777" w:rsidR="00377B4C" w:rsidRPr="00312A2B" w:rsidRDefault="00377B4C" w:rsidP="00153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312A2B">
              <w:rPr>
                <w:rFonts w:eastAsia="Times New Roman" w:cs="Times New Roman"/>
                <w:color w:val="000000"/>
                <w:lang w:eastAsia="en-AU"/>
              </w:rPr>
              <w:t>Mean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94CAD53" w14:textId="77777777" w:rsidR="00377B4C" w:rsidRPr="00312A2B" w:rsidRDefault="00377B4C" w:rsidP="00153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312A2B">
              <w:rPr>
                <w:rFonts w:eastAsia="Times New Roman" w:cs="Times New Roman"/>
                <w:color w:val="000000"/>
                <w:lang w:eastAsia="en-AU"/>
              </w:rPr>
              <w:t>SD</w:t>
            </w:r>
          </w:p>
        </w:tc>
      </w:tr>
      <w:tr w:rsidR="00377B4C" w:rsidRPr="00756B9F" w14:paraId="3D592488" w14:textId="77777777" w:rsidTr="1142051E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991E" w14:textId="77777777" w:rsidR="00377B4C" w:rsidRPr="00312A2B" w:rsidRDefault="00377B4C" w:rsidP="00153793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312A2B">
              <w:rPr>
                <w:rFonts w:eastAsia="Times New Roman" w:cs="Times New Roman"/>
                <w:color w:val="000000"/>
                <w:lang w:eastAsia="en-AU"/>
              </w:rPr>
              <w:t>Salinity (ppt)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E605" w14:textId="77777777" w:rsidR="00377B4C" w:rsidRPr="00312A2B" w:rsidRDefault="00377B4C" w:rsidP="00153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312A2B">
              <w:rPr>
                <w:rFonts w:eastAsia="Times New Roman" w:cs="Times New Roman"/>
                <w:color w:val="000000"/>
                <w:lang w:eastAsia="en-AU"/>
              </w:rPr>
              <w:t>35.01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2AA6" w14:textId="77777777" w:rsidR="00377B4C" w:rsidRPr="00312A2B" w:rsidRDefault="00377B4C" w:rsidP="00153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312A2B">
              <w:rPr>
                <w:rFonts w:eastAsia="Times New Roman" w:cs="Times New Roman"/>
                <w:color w:val="000000"/>
                <w:lang w:eastAsia="en-AU"/>
              </w:rPr>
              <w:t>0.36</w:t>
            </w:r>
          </w:p>
        </w:tc>
      </w:tr>
      <w:tr w:rsidR="00377B4C" w:rsidRPr="00756B9F" w14:paraId="0DCB2034" w14:textId="77777777" w:rsidTr="1142051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438F" w14:textId="77777777" w:rsidR="00377B4C" w:rsidRPr="00312A2B" w:rsidRDefault="00377B4C" w:rsidP="00153793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312A2B">
              <w:rPr>
                <w:rFonts w:eastAsia="Times New Roman" w:cs="Times New Roman"/>
                <w:color w:val="000000"/>
                <w:lang w:eastAsia="en-AU"/>
              </w:rPr>
              <w:t>PO</w:t>
            </w:r>
            <w:r w:rsidRPr="00312A2B">
              <w:rPr>
                <w:rFonts w:eastAsia="Times New Roman" w:cs="Times New Roman"/>
                <w:color w:val="000000"/>
                <w:vertAlign w:val="subscript"/>
                <w:lang w:eastAsia="en-AU"/>
              </w:rPr>
              <w:t>4</w:t>
            </w:r>
            <w:r w:rsidRPr="00312A2B">
              <w:rPr>
                <w:rFonts w:eastAsia="Times New Roman" w:cs="Times New Roman"/>
                <w:color w:val="000000"/>
                <w:lang w:eastAsia="en-AU"/>
              </w:rPr>
              <w:t xml:space="preserve"> (</w:t>
            </w:r>
            <w:r>
              <w:rPr>
                <w:rFonts w:eastAsia="Times New Roman" w:cs="Times New Roman"/>
                <w:color w:val="000000"/>
                <w:lang w:eastAsia="en-AU"/>
              </w:rPr>
              <w:t>µ</w:t>
            </w:r>
            <w:r w:rsidRPr="00312A2B">
              <w:rPr>
                <w:rFonts w:eastAsia="Times New Roman" w:cs="Times New Roman"/>
                <w:color w:val="000000"/>
                <w:lang w:eastAsia="en-AU"/>
              </w:rPr>
              <w:t>mol</w:t>
            </w:r>
            <w:r>
              <w:rPr>
                <w:rFonts w:eastAsia="Times New Roman" w:cs="Times New Roman"/>
                <w:color w:val="000000"/>
                <w:lang w:eastAsia="en-AU"/>
              </w:rPr>
              <w:t xml:space="preserve"> </w:t>
            </w:r>
            <w:r w:rsidRPr="00312A2B">
              <w:rPr>
                <w:rFonts w:eastAsia="Times New Roman" w:cs="Times New Roman"/>
                <w:color w:val="000000"/>
                <w:lang w:eastAsia="en-AU"/>
              </w:rPr>
              <w:t>L</w:t>
            </w:r>
            <w:r>
              <w:rPr>
                <w:rFonts w:eastAsia="Times New Roman" w:cs="Times New Roman"/>
                <w:color w:val="000000"/>
                <w:vertAlign w:val="superscript"/>
                <w:lang w:eastAsia="en-AU"/>
              </w:rPr>
              <w:t>-1</w:t>
            </w:r>
            <w:r w:rsidRPr="00312A2B">
              <w:rPr>
                <w:rFonts w:eastAsia="Times New Roman" w:cs="Times New Roman"/>
                <w:color w:val="000000"/>
                <w:lang w:eastAsia="en-A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89BC" w14:textId="77777777" w:rsidR="00377B4C" w:rsidRPr="00312A2B" w:rsidRDefault="00377B4C" w:rsidP="00153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312A2B">
              <w:rPr>
                <w:rFonts w:eastAsia="Times New Roman" w:cs="Times New Roman"/>
                <w:color w:val="000000"/>
                <w:lang w:eastAsia="en-AU"/>
              </w:rPr>
              <w:t>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C165" w14:textId="2EE3CC95" w:rsidR="00377B4C" w:rsidRPr="00312A2B" w:rsidRDefault="00377B4C" w:rsidP="64EC87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64EC87C9">
              <w:rPr>
                <w:rFonts w:eastAsia="Times New Roman" w:cs="Times New Roman"/>
                <w:color w:val="000000" w:themeColor="text1"/>
                <w:lang w:eastAsia="en-AU"/>
              </w:rPr>
              <w:t>0.0</w:t>
            </w:r>
            <w:r w:rsidR="315D3423" w:rsidRPr="64EC87C9">
              <w:rPr>
                <w:rFonts w:eastAsia="Times New Roman" w:cs="Times New Roman"/>
                <w:color w:val="000000" w:themeColor="text1"/>
                <w:lang w:eastAsia="en-AU"/>
              </w:rPr>
              <w:t>3</w:t>
            </w:r>
          </w:p>
        </w:tc>
      </w:tr>
      <w:tr w:rsidR="00377B4C" w:rsidRPr="00756B9F" w14:paraId="1D54BE92" w14:textId="77777777" w:rsidTr="1142051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1C91" w14:textId="77777777" w:rsidR="00377B4C" w:rsidRPr="00312A2B" w:rsidRDefault="00377B4C" w:rsidP="00153793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312A2B">
              <w:rPr>
                <w:rFonts w:eastAsia="Times New Roman" w:cs="Times New Roman"/>
                <w:color w:val="000000"/>
                <w:lang w:eastAsia="en-AU"/>
              </w:rPr>
              <w:t>NO</w:t>
            </w:r>
            <w:r w:rsidRPr="00312A2B">
              <w:rPr>
                <w:rFonts w:eastAsia="Times New Roman" w:cs="Times New Roman"/>
                <w:color w:val="000000"/>
                <w:vertAlign w:val="subscript"/>
                <w:lang w:eastAsia="en-AU"/>
              </w:rPr>
              <w:t>2</w:t>
            </w:r>
            <w:r w:rsidRPr="00312A2B">
              <w:rPr>
                <w:rFonts w:eastAsia="Times New Roman" w:cs="Times New Roman"/>
                <w:color w:val="000000"/>
                <w:lang w:eastAsia="en-AU"/>
              </w:rPr>
              <w:t>+NO</w:t>
            </w:r>
            <w:r w:rsidRPr="00312A2B">
              <w:rPr>
                <w:rFonts w:eastAsia="Times New Roman" w:cs="Times New Roman"/>
                <w:color w:val="000000"/>
                <w:vertAlign w:val="subscript"/>
                <w:lang w:eastAsia="en-AU"/>
              </w:rPr>
              <w:t>3</w:t>
            </w:r>
            <w:r w:rsidRPr="00312A2B">
              <w:rPr>
                <w:rFonts w:eastAsia="Times New Roman" w:cs="Times New Roman"/>
                <w:color w:val="000000"/>
                <w:lang w:eastAsia="en-AU"/>
              </w:rPr>
              <w:t xml:space="preserve"> </w:t>
            </w:r>
            <w:r w:rsidRPr="00153793">
              <w:rPr>
                <w:rFonts w:eastAsia="Times New Roman" w:cs="Times New Roman"/>
                <w:color w:val="000000"/>
                <w:lang w:eastAsia="en-AU"/>
              </w:rPr>
              <w:t>(</w:t>
            </w:r>
            <w:r>
              <w:rPr>
                <w:rFonts w:eastAsia="Times New Roman" w:cs="Times New Roman"/>
                <w:color w:val="000000"/>
                <w:lang w:eastAsia="en-AU"/>
              </w:rPr>
              <w:t>µ</w:t>
            </w:r>
            <w:r w:rsidRPr="00153793">
              <w:rPr>
                <w:rFonts w:eastAsia="Times New Roman" w:cs="Times New Roman"/>
                <w:color w:val="000000"/>
                <w:lang w:eastAsia="en-AU"/>
              </w:rPr>
              <w:t>mol</w:t>
            </w:r>
            <w:r>
              <w:rPr>
                <w:rFonts w:eastAsia="Times New Roman" w:cs="Times New Roman"/>
                <w:color w:val="000000"/>
                <w:lang w:eastAsia="en-AU"/>
              </w:rPr>
              <w:t xml:space="preserve"> </w:t>
            </w:r>
            <w:r w:rsidRPr="00153793">
              <w:rPr>
                <w:rFonts w:eastAsia="Times New Roman" w:cs="Times New Roman"/>
                <w:color w:val="000000"/>
                <w:lang w:eastAsia="en-AU"/>
              </w:rPr>
              <w:t>L</w:t>
            </w:r>
            <w:r>
              <w:rPr>
                <w:rFonts w:eastAsia="Times New Roman" w:cs="Times New Roman"/>
                <w:color w:val="000000"/>
                <w:vertAlign w:val="superscript"/>
                <w:lang w:eastAsia="en-AU"/>
              </w:rPr>
              <w:t>-1</w:t>
            </w:r>
            <w:r w:rsidRPr="00153793">
              <w:rPr>
                <w:rFonts w:eastAsia="Times New Roman" w:cs="Times New Roman"/>
                <w:color w:val="000000"/>
                <w:lang w:eastAsia="en-A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D0ED" w14:textId="77777777" w:rsidR="00377B4C" w:rsidRPr="00312A2B" w:rsidRDefault="00377B4C" w:rsidP="00153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1142051E">
              <w:rPr>
                <w:rFonts w:eastAsia="Times New Roman" w:cs="Times New Roman"/>
                <w:color w:val="000000" w:themeColor="text1"/>
                <w:lang w:eastAsia="en-AU"/>
              </w:rPr>
              <w:t>1.9</w:t>
            </w:r>
            <w:r w:rsidRPr="00D10E27">
              <w:rPr>
                <w:rFonts w:eastAsia="Times New Roman" w:cs="Times New Roman"/>
                <w:color w:val="000000" w:themeColor="text1"/>
                <w:lang w:eastAsia="en-A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DD4D" w14:textId="77777777" w:rsidR="00377B4C" w:rsidRPr="00312A2B" w:rsidRDefault="00377B4C" w:rsidP="00153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312A2B">
              <w:rPr>
                <w:rFonts w:eastAsia="Times New Roman" w:cs="Times New Roman"/>
                <w:color w:val="000000"/>
                <w:lang w:eastAsia="en-AU"/>
              </w:rPr>
              <w:t>0.20</w:t>
            </w:r>
          </w:p>
        </w:tc>
      </w:tr>
      <w:tr w:rsidR="00377B4C" w:rsidRPr="00756B9F" w14:paraId="48E47709" w14:textId="77777777" w:rsidTr="1142051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BA95" w14:textId="77777777" w:rsidR="00377B4C" w:rsidRPr="00312A2B" w:rsidRDefault="00377B4C" w:rsidP="00153793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312A2B">
              <w:rPr>
                <w:rFonts w:eastAsia="Times New Roman" w:cs="Times New Roman"/>
                <w:color w:val="000000"/>
                <w:lang w:eastAsia="en-AU"/>
              </w:rPr>
              <w:t>NO</w:t>
            </w:r>
            <w:r w:rsidRPr="00312A2B">
              <w:rPr>
                <w:rFonts w:eastAsia="Times New Roman" w:cs="Times New Roman"/>
                <w:color w:val="000000"/>
                <w:vertAlign w:val="subscript"/>
                <w:lang w:eastAsia="en-AU"/>
              </w:rPr>
              <w:t>2</w:t>
            </w:r>
            <w:r w:rsidRPr="00312A2B">
              <w:rPr>
                <w:rFonts w:eastAsia="Times New Roman" w:cs="Times New Roman"/>
                <w:color w:val="000000"/>
                <w:lang w:eastAsia="en-AU"/>
              </w:rPr>
              <w:t xml:space="preserve"> </w:t>
            </w:r>
            <w:r w:rsidRPr="00153793">
              <w:rPr>
                <w:rFonts w:eastAsia="Times New Roman" w:cs="Times New Roman"/>
                <w:color w:val="000000"/>
                <w:lang w:eastAsia="en-AU"/>
              </w:rPr>
              <w:t>(</w:t>
            </w:r>
            <w:r>
              <w:rPr>
                <w:rFonts w:eastAsia="Times New Roman" w:cs="Times New Roman"/>
                <w:color w:val="000000"/>
                <w:lang w:eastAsia="en-AU"/>
              </w:rPr>
              <w:t>µ</w:t>
            </w:r>
            <w:r w:rsidRPr="00153793">
              <w:rPr>
                <w:rFonts w:eastAsia="Times New Roman" w:cs="Times New Roman"/>
                <w:color w:val="000000"/>
                <w:lang w:eastAsia="en-AU"/>
              </w:rPr>
              <w:t>mol</w:t>
            </w:r>
            <w:r>
              <w:rPr>
                <w:rFonts w:eastAsia="Times New Roman" w:cs="Times New Roman"/>
                <w:color w:val="000000"/>
                <w:lang w:eastAsia="en-AU"/>
              </w:rPr>
              <w:t xml:space="preserve"> </w:t>
            </w:r>
            <w:r w:rsidRPr="00153793">
              <w:rPr>
                <w:rFonts w:eastAsia="Times New Roman" w:cs="Times New Roman"/>
                <w:color w:val="000000"/>
                <w:lang w:eastAsia="en-AU"/>
              </w:rPr>
              <w:t>L</w:t>
            </w:r>
            <w:r>
              <w:rPr>
                <w:rFonts w:eastAsia="Times New Roman" w:cs="Times New Roman"/>
                <w:color w:val="000000"/>
                <w:vertAlign w:val="superscript"/>
                <w:lang w:eastAsia="en-AU"/>
              </w:rPr>
              <w:t>-1</w:t>
            </w:r>
            <w:r w:rsidRPr="00153793">
              <w:rPr>
                <w:rFonts w:eastAsia="Times New Roman" w:cs="Times New Roman"/>
                <w:color w:val="000000"/>
                <w:lang w:eastAsia="en-A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D445" w14:textId="77777777" w:rsidR="00377B4C" w:rsidRPr="00312A2B" w:rsidRDefault="00377B4C" w:rsidP="00153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312A2B">
              <w:rPr>
                <w:rFonts w:eastAsia="Times New Roman" w:cs="Times New Roman"/>
                <w:color w:val="000000"/>
                <w:lang w:eastAsia="en-AU"/>
              </w:rPr>
              <w:t>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5BB8" w14:textId="4776698A" w:rsidR="00377B4C" w:rsidRPr="00312A2B" w:rsidRDefault="00377B4C" w:rsidP="64EC87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64EC87C9">
              <w:rPr>
                <w:rFonts w:eastAsia="Times New Roman" w:cs="Times New Roman"/>
                <w:color w:val="000000" w:themeColor="text1"/>
                <w:lang w:eastAsia="en-AU"/>
              </w:rPr>
              <w:t>0.0</w:t>
            </w:r>
            <w:r w:rsidR="43C7FACF" w:rsidRPr="64EC87C9">
              <w:rPr>
                <w:rFonts w:eastAsia="Times New Roman" w:cs="Times New Roman"/>
                <w:color w:val="000000" w:themeColor="text1"/>
                <w:lang w:eastAsia="en-AU"/>
              </w:rPr>
              <w:t>3</w:t>
            </w:r>
          </w:p>
        </w:tc>
      </w:tr>
      <w:tr w:rsidR="00377B4C" w:rsidRPr="00756B9F" w14:paraId="2B0F6890" w14:textId="77777777" w:rsidTr="1142051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8243" w14:textId="77777777" w:rsidR="00377B4C" w:rsidRPr="00312A2B" w:rsidRDefault="00377B4C" w:rsidP="00153793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312A2B">
              <w:rPr>
                <w:rFonts w:eastAsia="Times New Roman" w:cs="Times New Roman"/>
                <w:color w:val="000000"/>
                <w:lang w:eastAsia="en-AU"/>
              </w:rPr>
              <w:t>NO</w:t>
            </w:r>
            <w:r w:rsidRPr="00312A2B">
              <w:rPr>
                <w:rFonts w:eastAsia="Times New Roman" w:cs="Times New Roman"/>
                <w:color w:val="000000"/>
                <w:vertAlign w:val="subscript"/>
                <w:lang w:eastAsia="en-AU"/>
              </w:rPr>
              <w:t>3</w:t>
            </w:r>
            <w:r w:rsidRPr="00312A2B">
              <w:rPr>
                <w:rFonts w:eastAsia="Times New Roman" w:cs="Times New Roman"/>
                <w:color w:val="000000"/>
                <w:lang w:eastAsia="en-AU"/>
              </w:rPr>
              <w:t xml:space="preserve"> </w:t>
            </w:r>
            <w:r w:rsidRPr="00153793">
              <w:rPr>
                <w:rFonts w:eastAsia="Times New Roman" w:cs="Times New Roman"/>
                <w:color w:val="000000"/>
                <w:lang w:eastAsia="en-AU"/>
              </w:rPr>
              <w:t>(</w:t>
            </w:r>
            <w:r>
              <w:rPr>
                <w:rFonts w:eastAsia="Times New Roman" w:cs="Times New Roman"/>
                <w:color w:val="000000"/>
                <w:lang w:eastAsia="en-AU"/>
              </w:rPr>
              <w:t>µ</w:t>
            </w:r>
            <w:r w:rsidRPr="00153793">
              <w:rPr>
                <w:rFonts w:eastAsia="Times New Roman" w:cs="Times New Roman"/>
                <w:color w:val="000000"/>
                <w:lang w:eastAsia="en-AU"/>
              </w:rPr>
              <w:t>mol</w:t>
            </w:r>
            <w:r>
              <w:rPr>
                <w:rFonts w:eastAsia="Times New Roman" w:cs="Times New Roman"/>
                <w:color w:val="000000"/>
                <w:lang w:eastAsia="en-AU"/>
              </w:rPr>
              <w:t xml:space="preserve"> </w:t>
            </w:r>
            <w:r w:rsidRPr="00153793">
              <w:rPr>
                <w:rFonts w:eastAsia="Times New Roman" w:cs="Times New Roman"/>
                <w:color w:val="000000"/>
                <w:lang w:eastAsia="en-AU"/>
              </w:rPr>
              <w:t>L</w:t>
            </w:r>
            <w:r>
              <w:rPr>
                <w:rFonts w:eastAsia="Times New Roman" w:cs="Times New Roman"/>
                <w:color w:val="000000"/>
                <w:vertAlign w:val="superscript"/>
                <w:lang w:eastAsia="en-AU"/>
              </w:rPr>
              <w:t>-1</w:t>
            </w:r>
            <w:r w:rsidRPr="00153793">
              <w:rPr>
                <w:rFonts w:eastAsia="Times New Roman" w:cs="Times New Roman"/>
                <w:color w:val="000000"/>
                <w:lang w:eastAsia="en-A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370E" w14:textId="77777777" w:rsidR="00377B4C" w:rsidRPr="00312A2B" w:rsidRDefault="00377B4C" w:rsidP="00153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312A2B">
              <w:rPr>
                <w:rFonts w:eastAsia="Times New Roman" w:cs="Times New Roman"/>
                <w:color w:val="000000"/>
                <w:lang w:eastAsia="en-AU"/>
              </w:rPr>
              <w:t>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F186" w14:textId="77777777" w:rsidR="00377B4C" w:rsidRPr="00312A2B" w:rsidRDefault="00377B4C" w:rsidP="00153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312A2B">
              <w:rPr>
                <w:rFonts w:eastAsia="Times New Roman" w:cs="Times New Roman"/>
                <w:color w:val="000000"/>
                <w:lang w:eastAsia="en-AU"/>
              </w:rPr>
              <w:t>0.19</w:t>
            </w:r>
          </w:p>
        </w:tc>
      </w:tr>
      <w:tr w:rsidR="00377B4C" w:rsidRPr="00756B9F" w14:paraId="20D5D0ED" w14:textId="77777777" w:rsidTr="1142051E">
        <w:trPr>
          <w:trHeight w:val="300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2FB6" w14:textId="77777777" w:rsidR="00377B4C" w:rsidRPr="00312A2B" w:rsidRDefault="00377B4C" w:rsidP="00153793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312A2B">
              <w:rPr>
                <w:rFonts w:eastAsia="Times New Roman" w:cs="Times New Roman"/>
                <w:color w:val="000000"/>
                <w:lang w:eastAsia="en-AU"/>
              </w:rPr>
              <w:t>NH</w:t>
            </w:r>
            <w:r w:rsidRPr="00312A2B">
              <w:rPr>
                <w:rFonts w:eastAsia="Times New Roman" w:cs="Times New Roman"/>
                <w:color w:val="000000"/>
                <w:vertAlign w:val="subscript"/>
                <w:lang w:eastAsia="en-AU"/>
              </w:rPr>
              <w:t>4</w:t>
            </w:r>
            <w:r w:rsidRPr="00312A2B">
              <w:rPr>
                <w:rFonts w:eastAsia="Times New Roman" w:cs="Times New Roman"/>
                <w:color w:val="000000"/>
                <w:lang w:eastAsia="en-AU"/>
              </w:rPr>
              <w:t xml:space="preserve"> </w:t>
            </w:r>
            <w:r w:rsidRPr="00153793">
              <w:rPr>
                <w:rFonts w:eastAsia="Times New Roman" w:cs="Times New Roman"/>
                <w:color w:val="000000"/>
                <w:lang w:eastAsia="en-AU"/>
              </w:rPr>
              <w:t>(</w:t>
            </w:r>
            <w:r>
              <w:rPr>
                <w:rFonts w:eastAsia="Times New Roman" w:cs="Times New Roman"/>
                <w:color w:val="000000"/>
                <w:lang w:eastAsia="en-AU"/>
              </w:rPr>
              <w:t>µ</w:t>
            </w:r>
            <w:r w:rsidRPr="00153793">
              <w:rPr>
                <w:rFonts w:eastAsia="Times New Roman" w:cs="Times New Roman"/>
                <w:color w:val="000000"/>
                <w:lang w:eastAsia="en-AU"/>
              </w:rPr>
              <w:t>mol</w:t>
            </w:r>
            <w:r>
              <w:rPr>
                <w:rFonts w:eastAsia="Times New Roman" w:cs="Times New Roman"/>
                <w:color w:val="000000"/>
                <w:lang w:eastAsia="en-AU"/>
              </w:rPr>
              <w:t xml:space="preserve"> </w:t>
            </w:r>
            <w:r w:rsidRPr="00153793">
              <w:rPr>
                <w:rFonts w:eastAsia="Times New Roman" w:cs="Times New Roman"/>
                <w:color w:val="000000"/>
                <w:lang w:eastAsia="en-AU"/>
              </w:rPr>
              <w:t>L</w:t>
            </w:r>
            <w:r>
              <w:rPr>
                <w:rFonts w:eastAsia="Times New Roman" w:cs="Times New Roman"/>
                <w:color w:val="000000"/>
                <w:vertAlign w:val="superscript"/>
                <w:lang w:eastAsia="en-AU"/>
              </w:rPr>
              <w:t>-1</w:t>
            </w:r>
            <w:r w:rsidRPr="00153793">
              <w:rPr>
                <w:rFonts w:eastAsia="Times New Roman" w:cs="Times New Roman"/>
                <w:color w:val="000000"/>
                <w:lang w:eastAsia="en-A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12F6" w14:textId="77777777" w:rsidR="00377B4C" w:rsidRPr="00312A2B" w:rsidRDefault="00377B4C" w:rsidP="00153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312A2B">
              <w:rPr>
                <w:rFonts w:eastAsia="Times New Roman" w:cs="Times New Roman"/>
                <w:color w:val="000000"/>
                <w:lang w:eastAsia="en-AU"/>
              </w:rPr>
              <w:t>0.16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49E7" w14:textId="77777777" w:rsidR="00377B4C" w:rsidRPr="00312A2B" w:rsidRDefault="00377B4C" w:rsidP="00153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312A2B">
              <w:rPr>
                <w:rFonts w:eastAsia="Times New Roman" w:cs="Times New Roman"/>
                <w:color w:val="000000"/>
                <w:lang w:eastAsia="en-AU"/>
              </w:rPr>
              <w:t>0.05</w:t>
            </w:r>
          </w:p>
        </w:tc>
      </w:tr>
      <w:tr w:rsidR="00377B4C" w:rsidRPr="00756B9F" w14:paraId="0B6D904C" w14:textId="77777777" w:rsidTr="1142051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CDBCE" w14:textId="77777777" w:rsidR="00377B4C" w:rsidRPr="00312A2B" w:rsidRDefault="00377B4C" w:rsidP="00153793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312A2B">
              <w:rPr>
                <w:rFonts w:eastAsia="Times New Roman" w:cs="Times New Roman"/>
                <w:color w:val="000000"/>
                <w:lang w:eastAsia="en-AU"/>
              </w:rPr>
              <w:t>SiO</w:t>
            </w:r>
            <w:r w:rsidRPr="00312A2B">
              <w:rPr>
                <w:rFonts w:eastAsia="Times New Roman" w:cs="Times New Roman"/>
                <w:color w:val="000000"/>
                <w:vertAlign w:val="subscript"/>
                <w:lang w:eastAsia="en-AU"/>
              </w:rPr>
              <w:t>2</w:t>
            </w:r>
            <w:r w:rsidRPr="00312A2B">
              <w:rPr>
                <w:rFonts w:eastAsia="Times New Roman" w:cs="Times New Roman"/>
                <w:color w:val="000000"/>
                <w:lang w:eastAsia="en-AU"/>
              </w:rPr>
              <w:t xml:space="preserve"> </w:t>
            </w:r>
            <w:r w:rsidRPr="00153793">
              <w:rPr>
                <w:rFonts w:eastAsia="Times New Roman" w:cs="Times New Roman"/>
                <w:color w:val="000000"/>
                <w:lang w:eastAsia="en-AU"/>
              </w:rPr>
              <w:t>(</w:t>
            </w:r>
            <w:r>
              <w:rPr>
                <w:rFonts w:eastAsia="Times New Roman" w:cs="Times New Roman"/>
                <w:color w:val="000000"/>
                <w:lang w:eastAsia="en-AU"/>
              </w:rPr>
              <w:t>µ</w:t>
            </w:r>
            <w:r w:rsidRPr="00153793">
              <w:rPr>
                <w:rFonts w:eastAsia="Times New Roman" w:cs="Times New Roman"/>
                <w:color w:val="000000"/>
                <w:lang w:eastAsia="en-AU"/>
              </w:rPr>
              <w:t>mol</w:t>
            </w:r>
            <w:r>
              <w:rPr>
                <w:rFonts w:eastAsia="Times New Roman" w:cs="Times New Roman"/>
                <w:color w:val="000000"/>
                <w:lang w:eastAsia="en-AU"/>
              </w:rPr>
              <w:t xml:space="preserve"> </w:t>
            </w:r>
            <w:r w:rsidRPr="00153793">
              <w:rPr>
                <w:rFonts w:eastAsia="Times New Roman" w:cs="Times New Roman"/>
                <w:color w:val="000000"/>
                <w:lang w:eastAsia="en-AU"/>
              </w:rPr>
              <w:t>L</w:t>
            </w:r>
            <w:r>
              <w:rPr>
                <w:rFonts w:eastAsia="Times New Roman" w:cs="Times New Roman"/>
                <w:color w:val="000000"/>
                <w:vertAlign w:val="superscript"/>
                <w:lang w:eastAsia="en-AU"/>
              </w:rPr>
              <w:t>-1</w:t>
            </w:r>
            <w:r w:rsidRPr="00153793">
              <w:rPr>
                <w:rFonts w:eastAsia="Times New Roman" w:cs="Times New Roman"/>
                <w:color w:val="000000"/>
                <w:lang w:eastAsia="en-A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94127" w14:textId="77777777" w:rsidR="00377B4C" w:rsidRPr="00312A2B" w:rsidRDefault="00377B4C" w:rsidP="00153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00312A2B">
              <w:rPr>
                <w:rFonts w:eastAsia="Times New Roman" w:cs="Times New Roman"/>
                <w:color w:val="000000"/>
                <w:lang w:eastAsia="en-AU"/>
              </w:rPr>
              <w:t>9.19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574C6" w14:textId="27944B7B" w:rsidR="00377B4C" w:rsidRPr="00312A2B" w:rsidRDefault="00377B4C" w:rsidP="00153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AU"/>
              </w:rPr>
            </w:pPr>
            <w:r w:rsidRPr="64EC87C9">
              <w:rPr>
                <w:rFonts w:eastAsia="Times New Roman" w:cs="Times New Roman"/>
                <w:color w:val="000000" w:themeColor="text1"/>
                <w:lang w:eastAsia="en-AU"/>
              </w:rPr>
              <w:t>4.</w:t>
            </w:r>
            <w:r w:rsidR="0FA32823" w:rsidRPr="64EC87C9">
              <w:rPr>
                <w:rFonts w:eastAsia="Times New Roman" w:cs="Times New Roman"/>
                <w:color w:val="000000" w:themeColor="text1"/>
                <w:lang w:eastAsia="en-AU"/>
              </w:rPr>
              <w:t>50</w:t>
            </w:r>
          </w:p>
        </w:tc>
      </w:tr>
    </w:tbl>
    <w:p w14:paraId="413E72B7" w14:textId="77777777" w:rsidR="00377B4C" w:rsidRDefault="00377B4C"/>
    <w:p w14:paraId="539DFEFD" w14:textId="77777777" w:rsidR="00377B4C" w:rsidRDefault="00377B4C"/>
    <w:p w14:paraId="1746AC43" w14:textId="6F4C11C4" w:rsidR="00377B4C" w:rsidRDefault="00377B4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8"/>
        <w:gridCol w:w="5422"/>
      </w:tblGrid>
      <w:tr w:rsidR="006639FD" w14:paraId="38F5E3B5" w14:textId="77777777" w:rsidTr="00E4790D">
        <w:tc>
          <w:tcPr>
            <w:tcW w:w="3934" w:type="dxa"/>
          </w:tcPr>
          <w:p w14:paraId="67C6404F" w14:textId="1202FA3D" w:rsidR="006639FD" w:rsidRDefault="006639FD" w:rsidP="000538D5">
            <w:r>
              <w:rPr>
                <w:noProof/>
              </w:rPr>
              <w:drawing>
                <wp:inline distT="0" distB="0" distL="0" distR="0" wp14:anchorId="28F61A22" wp14:editId="38753B3C">
                  <wp:extent cx="2451100" cy="1838325"/>
                  <wp:effectExtent l="0" t="0" r="635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437" cy="1853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6" w:type="dxa"/>
          </w:tcPr>
          <w:p w14:paraId="3B9E0A17" w14:textId="706F0828" w:rsidR="006639FD" w:rsidRDefault="006639FD" w:rsidP="000538D5">
            <w:r>
              <w:rPr>
                <w:noProof/>
              </w:rPr>
              <w:drawing>
                <wp:inline distT="0" distB="0" distL="0" distR="0" wp14:anchorId="6E98E8FB" wp14:editId="0DD3BAB5">
                  <wp:extent cx="3436984" cy="193330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0519" cy="1952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F0E7B4" w14:textId="59CE7CAB" w:rsidR="001023F1" w:rsidRDefault="001023F1" w:rsidP="001023F1">
      <w:pPr>
        <w:pStyle w:val="Caption"/>
      </w:pPr>
      <w:r>
        <w:t xml:space="preserve">Fig. </w:t>
      </w:r>
      <w:fldSimple w:instr=" SEQ Fig. \* ARABIC ">
        <w:r w:rsidR="00A276D6">
          <w:rPr>
            <w:noProof/>
          </w:rPr>
          <w:t>2</w:t>
        </w:r>
      </w:fldSimple>
      <w:r>
        <w:t xml:space="preserve">. (A) Mean </w:t>
      </w:r>
      <w:r>
        <w:t>above water PAR (</w:t>
      </w:r>
      <w:r>
        <w:rPr>
          <w:rFonts w:cs="Times New Roman"/>
        </w:rPr>
        <w:t>µ</w:t>
      </w:r>
      <w:r>
        <w:t>mol photons m</w:t>
      </w:r>
      <w:r>
        <w:rPr>
          <w:vertAlign w:val="superscript"/>
        </w:rPr>
        <w:t>-2</w:t>
      </w:r>
      <w:r>
        <w:t xml:space="preserve"> s</w:t>
      </w:r>
      <w:r>
        <w:rPr>
          <w:vertAlign w:val="superscript"/>
        </w:rPr>
        <w:t>-1</w:t>
      </w:r>
      <w:r>
        <w:t xml:space="preserve">) </w:t>
      </w:r>
      <w:r>
        <w:rPr>
          <w:rFonts w:cs="Times New Roman"/>
        </w:rPr>
        <w:t>±</w:t>
      </w:r>
      <w:r>
        <w:t xml:space="preserve"> SE for each lighting condition over daylight hours. Mean above water absolute spectral irradiance (W m</w:t>
      </w:r>
      <w:r w:rsidRPr="0086704A">
        <w:rPr>
          <w:vertAlign w:val="superscript"/>
        </w:rPr>
        <w:t>-2</w:t>
      </w:r>
      <w:r>
        <w:t xml:space="preserve"> nm</w:t>
      </w:r>
      <w:r>
        <w:rPr>
          <w:vertAlign w:val="superscript"/>
        </w:rPr>
        <w:t>-1</w:t>
      </w:r>
      <w:r>
        <w:t xml:space="preserve">) </w:t>
      </w:r>
      <w:r>
        <w:rPr>
          <w:rFonts w:cs="Times New Roman"/>
        </w:rPr>
        <w:t>±</w:t>
      </w:r>
      <w:r>
        <w:t xml:space="preserve"> SE measured above water for unshaded (0</w:t>
      </w:r>
      <w:r w:rsidR="007809F9">
        <w:t>%</w:t>
      </w:r>
      <w:r>
        <w:t>), 15% shade, 30% shaded, and recovery periods.</w:t>
      </w:r>
    </w:p>
    <w:p w14:paraId="400F0325" w14:textId="5833B80D" w:rsidR="007F24A3" w:rsidRDefault="007F24A3" w:rsidP="000538D5"/>
    <w:p w14:paraId="1147CDF5" w14:textId="77777777" w:rsidR="00B57957" w:rsidRDefault="00B57957" w:rsidP="00B57957">
      <w:r>
        <w:rPr>
          <w:noProof/>
        </w:rPr>
        <w:drawing>
          <wp:inline distT="0" distB="0" distL="0" distR="0" wp14:anchorId="56FDE912" wp14:editId="682AE2CA">
            <wp:extent cx="4392706" cy="2196353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521" cy="219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4D938" w14:textId="3F3FBBA7" w:rsidR="00B57957" w:rsidRDefault="00B57957" w:rsidP="00B57957">
      <w:pPr>
        <w:pStyle w:val="Caption"/>
      </w:pPr>
      <w:r>
        <w:lastRenderedPageBreak/>
        <w:t xml:space="preserve">Fig. </w:t>
      </w:r>
      <w:r w:rsidR="006042AA">
        <w:fldChar w:fldCharType="begin"/>
      </w:r>
      <w:r w:rsidR="006042AA">
        <w:instrText xml:space="preserve"> SEQ Fig. \* ARABIC </w:instrText>
      </w:r>
      <w:r w:rsidR="006042AA">
        <w:fldChar w:fldCharType="separate"/>
      </w:r>
      <w:r w:rsidR="00A276D6">
        <w:rPr>
          <w:noProof/>
        </w:rPr>
        <w:t>3</w:t>
      </w:r>
      <w:r w:rsidR="006042AA">
        <w:rPr>
          <w:noProof/>
        </w:rPr>
        <w:fldChar w:fldCharType="end"/>
      </w:r>
      <w:r>
        <w:t>. Mean daily water temperature + 95% C.I. for the unheated, moderate, and high-thermal stress treatments (</w:t>
      </w:r>
      <w:r w:rsidRPr="006042AA">
        <w:rPr>
          <w:i/>
        </w:rPr>
        <w:t>n</w:t>
      </w:r>
      <w:r>
        <w:t xml:space="preserve"> = 3 tanks per treatment). Daily mean temperature was calculated using 5-minute time series data.</w:t>
      </w:r>
      <w:r w:rsidR="00B9462D">
        <w:t xml:space="preserve"> Note the 95% C.I. is very small</w:t>
      </w:r>
    </w:p>
    <w:p w14:paraId="270F4E9E" w14:textId="77777777" w:rsidR="00B57957" w:rsidRDefault="00B57957" w:rsidP="000538D5"/>
    <w:p w14:paraId="094DDC66" w14:textId="529D3B80" w:rsidR="000538D5" w:rsidRDefault="000538D5" w:rsidP="000538D5">
      <w:pPr>
        <w:pStyle w:val="Caption"/>
        <w:keepNext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A276D6">
        <w:rPr>
          <w:noProof/>
        </w:rPr>
        <w:t>2</w:t>
      </w:r>
      <w:r>
        <w:fldChar w:fldCharType="end"/>
      </w:r>
      <w:r>
        <w:t xml:space="preserve">. </w:t>
      </w:r>
      <w:r w:rsidR="00DD1EBC">
        <w:t>Within</w:t>
      </w:r>
      <w:r w:rsidR="00B46C2F">
        <w:t>-</w:t>
      </w:r>
      <w:r w:rsidR="00DD1EBC">
        <w:t>temperature treatment p</w:t>
      </w:r>
      <w:r>
        <w:t xml:space="preserve">airwise test results for </w:t>
      </w:r>
      <w:r w:rsidR="00DD1EBC">
        <w:t xml:space="preserve">a </w:t>
      </w:r>
      <w:r w:rsidR="00D623E2">
        <w:t xml:space="preserve">significant day </w:t>
      </w:r>
      <w:r w:rsidR="00D623E2">
        <w:rPr>
          <w:rFonts w:cstheme="minorHAnsi"/>
        </w:rPr>
        <w:t>×</w:t>
      </w:r>
      <w:r w:rsidR="00D623E2">
        <w:t xml:space="preserve"> temperature interaction among multivariate pigment concentrations</w:t>
      </w:r>
      <w:r w:rsidR="00DD1EBC">
        <w:t xml:space="preserve"> from </w:t>
      </w:r>
      <w:r w:rsidR="00DD1EBC" w:rsidRPr="00DD1EBC">
        <w:rPr>
          <w:i/>
          <w:iCs w:val="0"/>
        </w:rPr>
        <w:t>A. kenti</w:t>
      </w:r>
      <w:r w:rsidR="00DD1EBC">
        <w:t xml:space="preserve"> </w:t>
      </w:r>
      <w:r w:rsidR="00456A33">
        <w:t xml:space="preserve">subjected to one of 30% shade, 15% shade </w:t>
      </w:r>
      <w:r w:rsidR="007D10B6">
        <w:t>or unshaded treatments at unheated (</w:t>
      </w:r>
      <w:r w:rsidR="007D10B6" w:rsidRPr="00D6191E">
        <w:t>0</w:t>
      </w:r>
      <w:r w:rsidR="007D10B6">
        <w:t xml:space="preserve"> DHW)</w:t>
      </w:r>
      <w:r w:rsidR="007D10B6" w:rsidRPr="00D6191E">
        <w:t>,</w:t>
      </w:r>
      <w:r w:rsidR="007D10B6">
        <w:t xml:space="preserve"> moderate (4 DHW)</w:t>
      </w:r>
      <w:r w:rsidR="007D10B6" w:rsidRPr="00D6191E">
        <w:t xml:space="preserve">, or </w:t>
      </w:r>
      <w:r w:rsidR="007D10B6">
        <w:t>high (6</w:t>
      </w:r>
      <w:r w:rsidR="007D10B6" w:rsidRPr="00D6191E">
        <w:t xml:space="preserve"> DHW</w:t>
      </w:r>
      <w:r w:rsidR="007D10B6">
        <w:t>) thermal stress treatments</w:t>
      </w:r>
      <w:r w:rsidR="00456A33">
        <w:t xml:space="preserve"> (days 5, 29, 64, and 77).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640"/>
        <w:gridCol w:w="708"/>
        <w:gridCol w:w="1134"/>
        <w:gridCol w:w="851"/>
        <w:gridCol w:w="992"/>
        <w:gridCol w:w="1134"/>
        <w:gridCol w:w="851"/>
        <w:gridCol w:w="1063"/>
        <w:gridCol w:w="1057"/>
      </w:tblGrid>
      <w:tr w:rsidR="00156F7C" w:rsidRPr="00AA72F3" w14:paraId="5BB7D7D2" w14:textId="77777777" w:rsidTr="009F2E34"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8EE955" w14:textId="73631B4D" w:rsidR="009F2E34" w:rsidRPr="006042AA" w:rsidRDefault="009F2E34" w:rsidP="006042AA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92CC46" w14:textId="75008439" w:rsidR="009F2E34" w:rsidRPr="006042AA" w:rsidRDefault="009F2E34" w:rsidP="006042AA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Unheated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753494" w14:textId="2FDD8009" w:rsidR="009F2E34" w:rsidRPr="006042AA" w:rsidRDefault="009F2E34" w:rsidP="006042AA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Moderate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72AF32" w14:textId="5F85A086" w:rsidR="009F2E34" w:rsidRPr="006042AA" w:rsidRDefault="009F2E34" w:rsidP="006042AA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High</w:t>
            </w:r>
          </w:p>
        </w:tc>
      </w:tr>
      <w:tr w:rsidR="00156F7C" w:rsidRPr="00AA72F3" w14:paraId="09C2CE90" w14:textId="77777777" w:rsidTr="009F2E34">
        <w:tc>
          <w:tcPr>
            <w:tcW w:w="920" w:type="dxa"/>
            <w:tcBorders>
              <w:top w:val="single" w:sz="4" w:space="0" w:color="auto"/>
            </w:tcBorders>
          </w:tcPr>
          <w:p w14:paraId="21572521" w14:textId="77777777" w:rsidR="009350E6" w:rsidRPr="00AA72F3" w:rsidRDefault="009350E6" w:rsidP="009350E6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</w:tcBorders>
          </w:tcPr>
          <w:p w14:paraId="385FCEAF" w14:textId="501A4F3B" w:rsidR="009350E6" w:rsidRPr="00AA72F3" w:rsidRDefault="009350E6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df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7381CAF" w14:textId="1C5E5BE2" w:rsidR="009350E6" w:rsidRPr="00AA72F3" w:rsidRDefault="009350E6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B13A2B" w14:textId="57653121" w:rsidR="009350E6" w:rsidRPr="00AA72F3" w:rsidRDefault="009350E6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P(Perm)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011603B" w14:textId="0160B4A3" w:rsidR="009350E6" w:rsidRPr="00AA72F3" w:rsidRDefault="009350E6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df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5A5A4C2" w14:textId="75FE76C0" w:rsidR="009350E6" w:rsidRPr="00AA72F3" w:rsidRDefault="009350E6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AE5A7B" w14:textId="3E1EA407" w:rsidR="009350E6" w:rsidRPr="00AA72F3" w:rsidRDefault="009350E6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P(Perm)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1D1D668" w14:textId="6B40500F" w:rsidR="009350E6" w:rsidRPr="00AA72F3" w:rsidRDefault="009350E6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df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7A1B36AF" w14:textId="1D4C48D6" w:rsidR="009350E6" w:rsidRPr="00AA72F3" w:rsidRDefault="009350E6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t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010DCECA" w14:textId="1292F71D" w:rsidR="009350E6" w:rsidRPr="00AA72F3" w:rsidRDefault="009350E6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P(Perm)</w:t>
            </w:r>
          </w:p>
        </w:tc>
      </w:tr>
      <w:tr w:rsidR="00156F7C" w:rsidRPr="00AA72F3" w14:paraId="1EAFEFE1" w14:textId="77777777" w:rsidTr="009F2E34">
        <w:tc>
          <w:tcPr>
            <w:tcW w:w="920" w:type="dxa"/>
          </w:tcPr>
          <w:p w14:paraId="36DF7825" w14:textId="2FBA71FA" w:rsidR="0019254E" w:rsidRPr="00AA72F3" w:rsidRDefault="0019254E" w:rsidP="0019254E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5, 15</w:t>
            </w:r>
          </w:p>
        </w:tc>
        <w:tc>
          <w:tcPr>
            <w:tcW w:w="640" w:type="dxa"/>
          </w:tcPr>
          <w:p w14:paraId="559072D4" w14:textId="32D47D1E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3610E9A6" w14:textId="2AC8178A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2.8</w:t>
            </w:r>
            <w:r w:rsidR="004C3ED8" w:rsidRPr="00AA72F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1E066B6" w14:textId="246C2AEB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0.008</w:t>
            </w:r>
          </w:p>
        </w:tc>
        <w:tc>
          <w:tcPr>
            <w:tcW w:w="851" w:type="dxa"/>
          </w:tcPr>
          <w:p w14:paraId="58D1330D" w14:textId="283C9612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6CA058E1" w14:textId="452F0689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1.41</w:t>
            </w:r>
          </w:p>
        </w:tc>
        <w:tc>
          <w:tcPr>
            <w:tcW w:w="1134" w:type="dxa"/>
          </w:tcPr>
          <w:p w14:paraId="5E7EA3CD" w14:textId="34A2698F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0.181</w:t>
            </w:r>
          </w:p>
        </w:tc>
        <w:tc>
          <w:tcPr>
            <w:tcW w:w="851" w:type="dxa"/>
          </w:tcPr>
          <w:p w14:paraId="3B5ED740" w14:textId="6F7A3E04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</w:tcPr>
          <w:p w14:paraId="40747BAE" w14:textId="6A3F8E06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3.87</w:t>
            </w:r>
          </w:p>
        </w:tc>
        <w:tc>
          <w:tcPr>
            <w:tcW w:w="1057" w:type="dxa"/>
          </w:tcPr>
          <w:p w14:paraId="4FB99C59" w14:textId="64B744F9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0.001</w:t>
            </w:r>
          </w:p>
        </w:tc>
      </w:tr>
      <w:tr w:rsidR="00156F7C" w:rsidRPr="00AA72F3" w14:paraId="5B43A504" w14:textId="77777777" w:rsidTr="009F2E34">
        <w:tc>
          <w:tcPr>
            <w:tcW w:w="920" w:type="dxa"/>
          </w:tcPr>
          <w:p w14:paraId="5E9253A4" w14:textId="60C3FD95" w:rsidR="0019254E" w:rsidRPr="00AA72F3" w:rsidRDefault="0019254E" w:rsidP="0019254E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5, 29</w:t>
            </w:r>
          </w:p>
        </w:tc>
        <w:tc>
          <w:tcPr>
            <w:tcW w:w="640" w:type="dxa"/>
          </w:tcPr>
          <w:p w14:paraId="7DB484DA" w14:textId="1CD0B8E6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2E9FB0AB" w14:textId="668B3E24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3.63</w:t>
            </w:r>
          </w:p>
        </w:tc>
        <w:tc>
          <w:tcPr>
            <w:tcW w:w="1134" w:type="dxa"/>
          </w:tcPr>
          <w:p w14:paraId="3F494DCA" w14:textId="65DDE8DC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0.002</w:t>
            </w:r>
          </w:p>
        </w:tc>
        <w:tc>
          <w:tcPr>
            <w:tcW w:w="851" w:type="dxa"/>
          </w:tcPr>
          <w:p w14:paraId="7A3A04AA" w14:textId="3755E849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1ED1D623" w14:textId="5D5EDACB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2.</w:t>
            </w:r>
            <w:r w:rsidR="004C3ED8" w:rsidRPr="00AA72F3">
              <w:rPr>
                <w:rFonts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7310B13D" w14:textId="0D3B290D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0.017</w:t>
            </w:r>
          </w:p>
        </w:tc>
        <w:tc>
          <w:tcPr>
            <w:tcW w:w="851" w:type="dxa"/>
          </w:tcPr>
          <w:p w14:paraId="626C57A9" w14:textId="6FA19576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</w:tcPr>
          <w:p w14:paraId="716BDAD0" w14:textId="2338696D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3.76</w:t>
            </w:r>
          </w:p>
        </w:tc>
        <w:tc>
          <w:tcPr>
            <w:tcW w:w="1057" w:type="dxa"/>
          </w:tcPr>
          <w:p w14:paraId="51B65765" w14:textId="31A28521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0.003</w:t>
            </w:r>
          </w:p>
        </w:tc>
      </w:tr>
      <w:tr w:rsidR="00156F7C" w:rsidRPr="00AA72F3" w14:paraId="459B1DBD" w14:textId="77777777" w:rsidTr="009F2E34">
        <w:tc>
          <w:tcPr>
            <w:tcW w:w="920" w:type="dxa"/>
          </w:tcPr>
          <w:p w14:paraId="4D1E76CD" w14:textId="235F7F92" w:rsidR="0019254E" w:rsidRPr="00AA72F3" w:rsidRDefault="0019254E" w:rsidP="0019254E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5, 50</w:t>
            </w:r>
          </w:p>
        </w:tc>
        <w:tc>
          <w:tcPr>
            <w:tcW w:w="640" w:type="dxa"/>
          </w:tcPr>
          <w:p w14:paraId="6C791786" w14:textId="0E521099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24C062FA" w14:textId="397FCD23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1.78</w:t>
            </w:r>
          </w:p>
        </w:tc>
        <w:tc>
          <w:tcPr>
            <w:tcW w:w="1134" w:type="dxa"/>
          </w:tcPr>
          <w:p w14:paraId="03A1D5C2" w14:textId="3498536B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0.063</w:t>
            </w:r>
          </w:p>
        </w:tc>
        <w:tc>
          <w:tcPr>
            <w:tcW w:w="851" w:type="dxa"/>
          </w:tcPr>
          <w:p w14:paraId="72922B25" w14:textId="75BD17C0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6C8E2911" w14:textId="31FB20E1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1.8</w:t>
            </w:r>
            <w:r w:rsidR="004C3ED8" w:rsidRPr="00AA72F3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4CA707B" w14:textId="42DA1FAD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0.061</w:t>
            </w:r>
          </w:p>
        </w:tc>
        <w:tc>
          <w:tcPr>
            <w:tcW w:w="851" w:type="dxa"/>
          </w:tcPr>
          <w:p w14:paraId="0549E98A" w14:textId="747868AF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</w:tcPr>
          <w:p w14:paraId="7F911837" w14:textId="46314DFE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2.88</w:t>
            </w:r>
          </w:p>
        </w:tc>
        <w:tc>
          <w:tcPr>
            <w:tcW w:w="1057" w:type="dxa"/>
          </w:tcPr>
          <w:p w14:paraId="7C5AE1F3" w14:textId="44FDFDC6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0.008</w:t>
            </w:r>
          </w:p>
        </w:tc>
      </w:tr>
      <w:tr w:rsidR="00156F7C" w:rsidRPr="00AA72F3" w14:paraId="5A5D5CC6" w14:textId="77777777" w:rsidTr="009F2E34">
        <w:tc>
          <w:tcPr>
            <w:tcW w:w="920" w:type="dxa"/>
          </w:tcPr>
          <w:p w14:paraId="6AD0BC3E" w14:textId="242069B1" w:rsidR="0019254E" w:rsidRPr="00AA72F3" w:rsidRDefault="0019254E" w:rsidP="0019254E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5, 64</w:t>
            </w:r>
          </w:p>
        </w:tc>
        <w:tc>
          <w:tcPr>
            <w:tcW w:w="640" w:type="dxa"/>
          </w:tcPr>
          <w:p w14:paraId="0E0541BA" w14:textId="7D53642B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64D27588" w14:textId="6815FF2B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3.</w:t>
            </w:r>
            <w:r w:rsidR="004C3ED8" w:rsidRPr="00AA72F3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78F3C888" w14:textId="5EFD6B2C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851" w:type="dxa"/>
          </w:tcPr>
          <w:p w14:paraId="3B60F95A" w14:textId="72451BC8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124AB38F" w14:textId="26A49EC1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2.1</w:t>
            </w:r>
            <w:r w:rsidR="004C3ED8" w:rsidRPr="00AA72F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6D741D3" w14:textId="3B055372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0.021</w:t>
            </w:r>
          </w:p>
        </w:tc>
        <w:tc>
          <w:tcPr>
            <w:tcW w:w="851" w:type="dxa"/>
          </w:tcPr>
          <w:p w14:paraId="1B05236E" w14:textId="25E84B04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</w:tcPr>
          <w:p w14:paraId="2F2CFC64" w14:textId="6C89E97B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5.11</w:t>
            </w:r>
          </w:p>
        </w:tc>
        <w:tc>
          <w:tcPr>
            <w:tcW w:w="1057" w:type="dxa"/>
          </w:tcPr>
          <w:p w14:paraId="6BDB6277" w14:textId="565F1BCC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0.001</w:t>
            </w:r>
          </w:p>
        </w:tc>
      </w:tr>
      <w:tr w:rsidR="00156F7C" w:rsidRPr="00AA72F3" w14:paraId="476A62C9" w14:textId="77777777" w:rsidTr="009F2E34">
        <w:tc>
          <w:tcPr>
            <w:tcW w:w="920" w:type="dxa"/>
          </w:tcPr>
          <w:p w14:paraId="4ABD0759" w14:textId="6EB4F47F" w:rsidR="0019254E" w:rsidRPr="00AA72F3" w:rsidRDefault="0019254E" w:rsidP="0019254E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5, 77</w:t>
            </w:r>
          </w:p>
        </w:tc>
        <w:tc>
          <w:tcPr>
            <w:tcW w:w="640" w:type="dxa"/>
          </w:tcPr>
          <w:p w14:paraId="11A03C77" w14:textId="0336B45F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50CFBEFE" w14:textId="074C2537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1.55</w:t>
            </w:r>
          </w:p>
        </w:tc>
        <w:tc>
          <w:tcPr>
            <w:tcW w:w="1134" w:type="dxa"/>
          </w:tcPr>
          <w:p w14:paraId="4CDEF20F" w14:textId="3558B948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0.122</w:t>
            </w:r>
          </w:p>
        </w:tc>
        <w:tc>
          <w:tcPr>
            <w:tcW w:w="851" w:type="dxa"/>
          </w:tcPr>
          <w:p w14:paraId="1FF916D9" w14:textId="6047AB62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31EE3DCD" w14:textId="146B2270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1.27</w:t>
            </w:r>
          </w:p>
        </w:tc>
        <w:tc>
          <w:tcPr>
            <w:tcW w:w="1134" w:type="dxa"/>
          </w:tcPr>
          <w:p w14:paraId="1BC5B971" w14:textId="298BDB89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0.223</w:t>
            </w:r>
          </w:p>
        </w:tc>
        <w:tc>
          <w:tcPr>
            <w:tcW w:w="851" w:type="dxa"/>
          </w:tcPr>
          <w:p w14:paraId="0B67E0F9" w14:textId="0F2D61E0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</w:tcPr>
          <w:p w14:paraId="2B2E576C" w14:textId="01CEF638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4.67</w:t>
            </w:r>
          </w:p>
        </w:tc>
        <w:tc>
          <w:tcPr>
            <w:tcW w:w="1057" w:type="dxa"/>
          </w:tcPr>
          <w:p w14:paraId="2BDC8F18" w14:textId="19BA43B8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0.001</w:t>
            </w:r>
          </w:p>
        </w:tc>
      </w:tr>
      <w:tr w:rsidR="00156F7C" w:rsidRPr="00AA72F3" w14:paraId="0D20A586" w14:textId="77777777" w:rsidTr="009F2E34">
        <w:tc>
          <w:tcPr>
            <w:tcW w:w="920" w:type="dxa"/>
          </w:tcPr>
          <w:p w14:paraId="2604AD65" w14:textId="424A8F39" w:rsidR="0019254E" w:rsidRPr="00AA72F3" w:rsidRDefault="0019254E" w:rsidP="0019254E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15, 29</w:t>
            </w:r>
          </w:p>
        </w:tc>
        <w:tc>
          <w:tcPr>
            <w:tcW w:w="640" w:type="dxa"/>
          </w:tcPr>
          <w:p w14:paraId="6FD03615" w14:textId="64B23F9B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1C7CCC64" w14:textId="0603327C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0.78</w:t>
            </w:r>
          </w:p>
        </w:tc>
        <w:tc>
          <w:tcPr>
            <w:tcW w:w="1134" w:type="dxa"/>
          </w:tcPr>
          <w:p w14:paraId="7AB9E3DA" w14:textId="5BE6B4F9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0.447</w:t>
            </w:r>
          </w:p>
        </w:tc>
        <w:tc>
          <w:tcPr>
            <w:tcW w:w="851" w:type="dxa"/>
          </w:tcPr>
          <w:p w14:paraId="486725FE" w14:textId="3886C5D0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38296E98" w14:textId="7DDBEDC3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0.95</w:t>
            </w:r>
          </w:p>
        </w:tc>
        <w:tc>
          <w:tcPr>
            <w:tcW w:w="1134" w:type="dxa"/>
          </w:tcPr>
          <w:p w14:paraId="28849796" w14:textId="2E92E912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0.363</w:t>
            </w:r>
          </w:p>
        </w:tc>
        <w:tc>
          <w:tcPr>
            <w:tcW w:w="851" w:type="dxa"/>
          </w:tcPr>
          <w:p w14:paraId="01B80B38" w14:textId="42E1D39E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</w:tcPr>
          <w:p w14:paraId="0C931FE4" w14:textId="6C80277E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0.507</w:t>
            </w:r>
          </w:p>
        </w:tc>
        <w:tc>
          <w:tcPr>
            <w:tcW w:w="1057" w:type="dxa"/>
          </w:tcPr>
          <w:p w14:paraId="033B1852" w14:textId="57F35F20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0.756</w:t>
            </w:r>
          </w:p>
        </w:tc>
      </w:tr>
      <w:tr w:rsidR="00156F7C" w:rsidRPr="00AA72F3" w14:paraId="0E232FA1" w14:textId="77777777" w:rsidTr="009F2E34">
        <w:tc>
          <w:tcPr>
            <w:tcW w:w="920" w:type="dxa"/>
          </w:tcPr>
          <w:p w14:paraId="730CED2E" w14:textId="656CA398" w:rsidR="0019254E" w:rsidRPr="00AA72F3" w:rsidRDefault="0019254E" w:rsidP="0019254E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15, 50</w:t>
            </w:r>
          </w:p>
        </w:tc>
        <w:tc>
          <w:tcPr>
            <w:tcW w:w="640" w:type="dxa"/>
          </w:tcPr>
          <w:p w14:paraId="45B47F66" w14:textId="253F05C3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51F3E975" w14:textId="43B465B6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3.19</w:t>
            </w:r>
          </w:p>
        </w:tc>
        <w:tc>
          <w:tcPr>
            <w:tcW w:w="1134" w:type="dxa"/>
          </w:tcPr>
          <w:p w14:paraId="15500F23" w14:textId="19C49ED2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0.002</w:t>
            </w:r>
          </w:p>
        </w:tc>
        <w:tc>
          <w:tcPr>
            <w:tcW w:w="851" w:type="dxa"/>
          </w:tcPr>
          <w:p w14:paraId="3B617F31" w14:textId="255F9607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26594D99" w14:textId="7B179FAD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0.94</w:t>
            </w:r>
          </w:p>
        </w:tc>
        <w:tc>
          <w:tcPr>
            <w:tcW w:w="1134" w:type="dxa"/>
          </w:tcPr>
          <w:p w14:paraId="4B02B568" w14:textId="1A7A43D9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0.427</w:t>
            </w:r>
          </w:p>
        </w:tc>
        <w:tc>
          <w:tcPr>
            <w:tcW w:w="851" w:type="dxa"/>
          </w:tcPr>
          <w:p w14:paraId="41F633EB" w14:textId="145DA99D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</w:tcPr>
          <w:p w14:paraId="1D328FBF" w14:textId="7BC8706C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1.347</w:t>
            </w:r>
          </w:p>
        </w:tc>
        <w:tc>
          <w:tcPr>
            <w:tcW w:w="1057" w:type="dxa"/>
          </w:tcPr>
          <w:p w14:paraId="37C14FE7" w14:textId="2CFEA91D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0.184</w:t>
            </w:r>
          </w:p>
        </w:tc>
      </w:tr>
      <w:tr w:rsidR="00156F7C" w:rsidRPr="00AA72F3" w14:paraId="5DB1F598" w14:textId="77777777" w:rsidTr="009F2E34">
        <w:tc>
          <w:tcPr>
            <w:tcW w:w="920" w:type="dxa"/>
          </w:tcPr>
          <w:p w14:paraId="43696BBE" w14:textId="36415556" w:rsidR="0019254E" w:rsidRPr="00AA72F3" w:rsidRDefault="0019254E" w:rsidP="0019254E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15, 64</w:t>
            </w:r>
          </w:p>
        </w:tc>
        <w:tc>
          <w:tcPr>
            <w:tcW w:w="640" w:type="dxa"/>
          </w:tcPr>
          <w:p w14:paraId="3FFBF1A5" w14:textId="7DCCDC42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3E573BC1" w14:textId="1E00AAC9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2.83</w:t>
            </w:r>
          </w:p>
        </w:tc>
        <w:tc>
          <w:tcPr>
            <w:tcW w:w="1134" w:type="dxa"/>
          </w:tcPr>
          <w:p w14:paraId="339C2BE3" w14:textId="270DA1E0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0.005</w:t>
            </w:r>
          </w:p>
        </w:tc>
        <w:tc>
          <w:tcPr>
            <w:tcW w:w="851" w:type="dxa"/>
          </w:tcPr>
          <w:p w14:paraId="094C75F7" w14:textId="5F0B5FBC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555637AE" w14:textId="13D15119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1.7</w:t>
            </w:r>
            <w:r w:rsidR="004C3ED8" w:rsidRPr="00AA72F3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7A2FBD4" w14:textId="3C654EB3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0.062</w:t>
            </w:r>
          </w:p>
        </w:tc>
        <w:tc>
          <w:tcPr>
            <w:tcW w:w="851" w:type="dxa"/>
          </w:tcPr>
          <w:p w14:paraId="72A3EA40" w14:textId="687E09E5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</w:tcPr>
          <w:p w14:paraId="155E8B38" w14:textId="538DD446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1.577</w:t>
            </w:r>
          </w:p>
        </w:tc>
        <w:tc>
          <w:tcPr>
            <w:tcW w:w="1057" w:type="dxa"/>
          </w:tcPr>
          <w:p w14:paraId="670FA175" w14:textId="6C194890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0.103</w:t>
            </w:r>
          </w:p>
        </w:tc>
      </w:tr>
      <w:tr w:rsidR="00156F7C" w:rsidRPr="00AA72F3" w14:paraId="3B9B56A4" w14:textId="77777777" w:rsidTr="009F2E34">
        <w:tc>
          <w:tcPr>
            <w:tcW w:w="920" w:type="dxa"/>
          </w:tcPr>
          <w:p w14:paraId="57ECD0CC" w14:textId="02F21AEC" w:rsidR="0019254E" w:rsidRPr="00AA72F3" w:rsidRDefault="0019254E" w:rsidP="0019254E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15, 77</w:t>
            </w:r>
          </w:p>
        </w:tc>
        <w:tc>
          <w:tcPr>
            <w:tcW w:w="640" w:type="dxa"/>
          </w:tcPr>
          <w:p w14:paraId="37B1E11C" w14:textId="372AC8B0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3312F4C2" w14:textId="370F9BBD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0.97</w:t>
            </w:r>
          </w:p>
        </w:tc>
        <w:tc>
          <w:tcPr>
            <w:tcW w:w="1134" w:type="dxa"/>
          </w:tcPr>
          <w:p w14:paraId="7944775C" w14:textId="7450D7BD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0.407</w:t>
            </w:r>
          </w:p>
        </w:tc>
        <w:tc>
          <w:tcPr>
            <w:tcW w:w="851" w:type="dxa"/>
          </w:tcPr>
          <w:p w14:paraId="52A4102A" w14:textId="52649D4A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7B0CEBF4" w14:textId="13B52AA4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0.69</w:t>
            </w:r>
          </w:p>
        </w:tc>
        <w:tc>
          <w:tcPr>
            <w:tcW w:w="1134" w:type="dxa"/>
          </w:tcPr>
          <w:p w14:paraId="39C4E188" w14:textId="41267404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0.553</w:t>
            </w:r>
          </w:p>
        </w:tc>
        <w:tc>
          <w:tcPr>
            <w:tcW w:w="851" w:type="dxa"/>
          </w:tcPr>
          <w:p w14:paraId="510CFBD7" w14:textId="373786FC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</w:tcPr>
          <w:p w14:paraId="7A265459" w14:textId="68423DAC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0.557</w:t>
            </w:r>
          </w:p>
        </w:tc>
        <w:tc>
          <w:tcPr>
            <w:tcW w:w="1057" w:type="dxa"/>
          </w:tcPr>
          <w:p w14:paraId="2B7ED418" w14:textId="55FE1B80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0.737</w:t>
            </w:r>
          </w:p>
        </w:tc>
      </w:tr>
      <w:tr w:rsidR="00156F7C" w:rsidRPr="00AA72F3" w14:paraId="048C91E1" w14:textId="77777777" w:rsidTr="009F2E34">
        <w:tc>
          <w:tcPr>
            <w:tcW w:w="920" w:type="dxa"/>
          </w:tcPr>
          <w:p w14:paraId="61A847D7" w14:textId="1CFF7367" w:rsidR="0019254E" w:rsidRPr="00AA72F3" w:rsidRDefault="0019254E" w:rsidP="0019254E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29, 50</w:t>
            </w:r>
          </w:p>
        </w:tc>
        <w:tc>
          <w:tcPr>
            <w:tcW w:w="640" w:type="dxa"/>
          </w:tcPr>
          <w:p w14:paraId="6111A045" w14:textId="7F61D363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0FD8DB00" w14:textId="187CE129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4.2</w:t>
            </w:r>
            <w:r w:rsidR="004C3ED8" w:rsidRPr="00AA72F3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0D5644F4" w14:textId="5107E212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851" w:type="dxa"/>
          </w:tcPr>
          <w:p w14:paraId="419FEFBA" w14:textId="78F31298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2FBC770E" w14:textId="0EF0B4EF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1.47</w:t>
            </w:r>
          </w:p>
        </w:tc>
        <w:tc>
          <w:tcPr>
            <w:tcW w:w="1134" w:type="dxa"/>
          </w:tcPr>
          <w:p w14:paraId="6C302EAC" w14:textId="02CB41FA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0.168</w:t>
            </w:r>
          </w:p>
        </w:tc>
        <w:tc>
          <w:tcPr>
            <w:tcW w:w="851" w:type="dxa"/>
          </w:tcPr>
          <w:p w14:paraId="0F7B6D7B" w14:textId="7D11229C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</w:tcPr>
          <w:p w14:paraId="0D23B7DE" w14:textId="031567B6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1.66</w:t>
            </w:r>
          </w:p>
        </w:tc>
        <w:tc>
          <w:tcPr>
            <w:tcW w:w="1057" w:type="dxa"/>
          </w:tcPr>
          <w:p w14:paraId="2E516B42" w14:textId="798D1FB7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0.092</w:t>
            </w:r>
          </w:p>
        </w:tc>
      </w:tr>
      <w:tr w:rsidR="00156F7C" w:rsidRPr="00AA72F3" w14:paraId="5B498598" w14:textId="77777777" w:rsidTr="009F2E34">
        <w:tc>
          <w:tcPr>
            <w:tcW w:w="920" w:type="dxa"/>
          </w:tcPr>
          <w:p w14:paraId="674742FB" w14:textId="0EFAFB95" w:rsidR="0019254E" w:rsidRPr="00AA72F3" w:rsidRDefault="0019254E" w:rsidP="0019254E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29, 64</w:t>
            </w:r>
          </w:p>
        </w:tc>
        <w:tc>
          <w:tcPr>
            <w:tcW w:w="640" w:type="dxa"/>
          </w:tcPr>
          <w:p w14:paraId="3AFB7A9A" w14:textId="66F779CB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33E193B7" w14:textId="34B8DDAA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3.8</w:t>
            </w:r>
            <w:r w:rsidR="004C3ED8" w:rsidRPr="00AA72F3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6FECA8F9" w14:textId="3678A242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851" w:type="dxa"/>
          </w:tcPr>
          <w:p w14:paraId="651B3BF6" w14:textId="201D54F2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60D82E99" w14:textId="6CD550C3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2.18</w:t>
            </w:r>
          </w:p>
        </w:tc>
        <w:tc>
          <w:tcPr>
            <w:tcW w:w="1134" w:type="dxa"/>
          </w:tcPr>
          <w:p w14:paraId="60808271" w14:textId="4CF59006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0.017</w:t>
            </w:r>
          </w:p>
        </w:tc>
        <w:tc>
          <w:tcPr>
            <w:tcW w:w="851" w:type="dxa"/>
          </w:tcPr>
          <w:p w14:paraId="3D19013E" w14:textId="314B7FA6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</w:tcPr>
          <w:p w14:paraId="03517959" w14:textId="67386245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1.99</w:t>
            </w:r>
          </w:p>
        </w:tc>
        <w:tc>
          <w:tcPr>
            <w:tcW w:w="1057" w:type="dxa"/>
          </w:tcPr>
          <w:p w14:paraId="67A90C4B" w14:textId="03A30C0D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0.034</w:t>
            </w:r>
          </w:p>
        </w:tc>
      </w:tr>
      <w:tr w:rsidR="00156F7C" w:rsidRPr="00AA72F3" w14:paraId="5FAEAACB" w14:textId="77777777" w:rsidTr="009F2E34">
        <w:tc>
          <w:tcPr>
            <w:tcW w:w="920" w:type="dxa"/>
          </w:tcPr>
          <w:p w14:paraId="0E72F029" w14:textId="4D924058" w:rsidR="0019254E" w:rsidRPr="00AA72F3" w:rsidRDefault="0019254E" w:rsidP="0019254E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29, 77</w:t>
            </w:r>
          </w:p>
        </w:tc>
        <w:tc>
          <w:tcPr>
            <w:tcW w:w="640" w:type="dxa"/>
          </w:tcPr>
          <w:p w14:paraId="5FB8D124" w14:textId="3F085243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6A73FC4E" w14:textId="44BA686E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1.4</w:t>
            </w:r>
            <w:r w:rsidR="004C3ED8" w:rsidRPr="00AA72F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EA32B00" w14:textId="4EF9FCF1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0.142</w:t>
            </w:r>
          </w:p>
        </w:tc>
        <w:tc>
          <w:tcPr>
            <w:tcW w:w="851" w:type="dxa"/>
          </w:tcPr>
          <w:p w14:paraId="54B5AA11" w14:textId="205087FB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584A2CCF" w14:textId="5967AAC8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1.60</w:t>
            </w:r>
          </w:p>
        </w:tc>
        <w:tc>
          <w:tcPr>
            <w:tcW w:w="1134" w:type="dxa"/>
          </w:tcPr>
          <w:p w14:paraId="30A5EAD9" w14:textId="799BF522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0.105</w:t>
            </w:r>
          </w:p>
        </w:tc>
        <w:tc>
          <w:tcPr>
            <w:tcW w:w="851" w:type="dxa"/>
          </w:tcPr>
          <w:p w14:paraId="682F6504" w14:textId="3DFB480E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</w:tcPr>
          <w:p w14:paraId="7D4330A7" w14:textId="6C0803EB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0.68</w:t>
            </w:r>
          </w:p>
        </w:tc>
        <w:tc>
          <w:tcPr>
            <w:tcW w:w="1057" w:type="dxa"/>
          </w:tcPr>
          <w:p w14:paraId="15AE6D95" w14:textId="7FDD2060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0.551</w:t>
            </w:r>
          </w:p>
        </w:tc>
      </w:tr>
      <w:tr w:rsidR="00156F7C" w:rsidRPr="00AA72F3" w14:paraId="24ED9C67" w14:textId="77777777" w:rsidTr="009F2E34">
        <w:tc>
          <w:tcPr>
            <w:tcW w:w="920" w:type="dxa"/>
          </w:tcPr>
          <w:p w14:paraId="2FCEB1F6" w14:textId="7EBB592A" w:rsidR="0019254E" w:rsidRPr="00AA72F3" w:rsidRDefault="0019254E" w:rsidP="0019254E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50, 64</w:t>
            </w:r>
          </w:p>
        </w:tc>
        <w:tc>
          <w:tcPr>
            <w:tcW w:w="640" w:type="dxa"/>
          </w:tcPr>
          <w:p w14:paraId="371A6F49" w14:textId="3D48B54C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278DF752" w14:textId="7F4F93B7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2.02</w:t>
            </w:r>
          </w:p>
        </w:tc>
        <w:tc>
          <w:tcPr>
            <w:tcW w:w="1134" w:type="dxa"/>
          </w:tcPr>
          <w:p w14:paraId="0C55CD2C" w14:textId="21120858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0.043</w:t>
            </w:r>
          </w:p>
        </w:tc>
        <w:tc>
          <w:tcPr>
            <w:tcW w:w="851" w:type="dxa"/>
          </w:tcPr>
          <w:p w14:paraId="52ACD64B" w14:textId="4C7D6746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4BA5D5C2" w14:textId="0D7C2E99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0.93</w:t>
            </w:r>
          </w:p>
        </w:tc>
        <w:tc>
          <w:tcPr>
            <w:tcW w:w="1134" w:type="dxa"/>
          </w:tcPr>
          <w:p w14:paraId="34065D80" w14:textId="0B4E4643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0.387</w:t>
            </w:r>
          </w:p>
        </w:tc>
        <w:tc>
          <w:tcPr>
            <w:tcW w:w="851" w:type="dxa"/>
          </w:tcPr>
          <w:p w14:paraId="733DD229" w14:textId="1D74AD9A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</w:tcPr>
          <w:p w14:paraId="25B466DB" w14:textId="791ED0E6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2.56</w:t>
            </w:r>
          </w:p>
        </w:tc>
        <w:tc>
          <w:tcPr>
            <w:tcW w:w="1057" w:type="dxa"/>
          </w:tcPr>
          <w:p w14:paraId="14DAB20F" w14:textId="4BD6E598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0.008</w:t>
            </w:r>
          </w:p>
        </w:tc>
      </w:tr>
      <w:tr w:rsidR="00156F7C" w:rsidRPr="00AA72F3" w14:paraId="363A369B" w14:textId="77777777" w:rsidTr="009F2E34">
        <w:tc>
          <w:tcPr>
            <w:tcW w:w="920" w:type="dxa"/>
          </w:tcPr>
          <w:p w14:paraId="3673891D" w14:textId="7458A15B" w:rsidR="0019254E" w:rsidRPr="00AA72F3" w:rsidRDefault="0019254E" w:rsidP="0019254E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50, 77</w:t>
            </w:r>
          </w:p>
        </w:tc>
        <w:tc>
          <w:tcPr>
            <w:tcW w:w="640" w:type="dxa"/>
          </w:tcPr>
          <w:p w14:paraId="6A1D1D4F" w14:textId="29600019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095FDBA8" w14:textId="5A3619E0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2.03</w:t>
            </w:r>
          </w:p>
        </w:tc>
        <w:tc>
          <w:tcPr>
            <w:tcW w:w="1134" w:type="dxa"/>
          </w:tcPr>
          <w:p w14:paraId="3D7A5F66" w14:textId="0E32D8F4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0.033</w:t>
            </w:r>
          </w:p>
        </w:tc>
        <w:tc>
          <w:tcPr>
            <w:tcW w:w="851" w:type="dxa"/>
          </w:tcPr>
          <w:p w14:paraId="1AAA9BB5" w14:textId="01EFC006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1E242574" w14:textId="4222C065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0.7</w:t>
            </w:r>
            <w:r w:rsidR="004C3ED8" w:rsidRPr="00AA72F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BBD9D8B" w14:textId="39FE1BCD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0.538</w:t>
            </w:r>
          </w:p>
        </w:tc>
        <w:tc>
          <w:tcPr>
            <w:tcW w:w="851" w:type="dxa"/>
          </w:tcPr>
          <w:p w14:paraId="6451C57F" w14:textId="7F630256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</w:tcPr>
          <w:p w14:paraId="30127779" w14:textId="0F5AB4A9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1.8</w:t>
            </w:r>
          </w:p>
        </w:tc>
        <w:tc>
          <w:tcPr>
            <w:tcW w:w="1057" w:type="dxa"/>
          </w:tcPr>
          <w:p w14:paraId="4F7E2ABB" w14:textId="34DFD374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0.069</w:t>
            </w:r>
          </w:p>
        </w:tc>
      </w:tr>
      <w:tr w:rsidR="00156F7C" w:rsidRPr="00AA72F3" w14:paraId="23C2F458" w14:textId="77777777" w:rsidTr="009F2E34">
        <w:tc>
          <w:tcPr>
            <w:tcW w:w="920" w:type="dxa"/>
            <w:tcBorders>
              <w:bottom w:val="single" w:sz="4" w:space="0" w:color="auto"/>
            </w:tcBorders>
          </w:tcPr>
          <w:p w14:paraId="267439D9" w14:textId="07331F11" w:rsidR="0019254E" w:rsidRPr="00AA72F3" w:rsidRDefault="0019254E" w:rsidP="0019254E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64, 77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41F90582" w14:textId="62F0909A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3DC00DD" w14:textId="4CA29A0E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2.27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19FF9E" w14:textId="4FB9CF39" w:rsidR="0019254E" w:rsidRPr="006042AA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0.007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70285E" w14:textId="65A6669E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3C95B10" w14:textId="72772B29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1.48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B76881" w14:textId="37AC5B83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0.128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30E1B9" w14:textId="08F0B792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7504D46" w14:textId="25D15EA9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1.58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6EB152D0" w14:textId="1EC487C4" w:rsidR="0019254E" w:rsidRPr="00AA72F3" w:rsidRDefault="0019254E" w:rsidP="004C3ED8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A72F3">
              <w:rPr>
                <w:rFonts w:cs="Times New Roman"/>
                <w:sz w:val="20"/>
                <w:szCs w:val="20"/>
              </w:rPr>
              <w:t>0.095</w:t>
            </w:r>
          </w:p>
        </w:tc>
      </w:tr>
    </w:tbl>
    <w:p w14:paraId="6BBC9F1E" w14:textId="77777777" w:rsidR="00697ADE" w:rsidRDefault="00697ADE" w:rsidP="001A686F">
      <w:pPr>
        <w:tabs>
          <w:tab w:val="left" w:pos="0"/>
          <w:tab w:val="left" w:pos="765"/>
          <w:tab w:val="left" w:pos="1770"/>
          <w:tab w:val="left" w:pos="265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303CE4C" w14:textId="77777777" w:rsidR="00697ADE" w:rsidRDefault="00697ADE" w:rsidP="001A686F">
      <w:pPr>
        <w:tabs>
          <w:tab w:val="left" w:pos="0"/>
          <w:tab w:val="left" w:pos="765"/>
          <w:tab w:val="left" w:pos="1770"/>
          <w:tab w:val="left" w:pos="265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3FA51A9" w14:textId="77777777" w:rsidR="003D79C4" w:rsidRDefault="003D79C4" w:rsidP="003D79C4">
      <w:pPr>
        <w:keepNext/>
        <w:tabs>
          <w:tab w:val="left" w:pos="0"/>
          <w:tab w:val="left" w:pos="765"/>
          <w:tab w:val="left" w:pos="1770"/>
          <w:tab w:val="left" w:pos="2655"/>
        </w:tabs>
        <w:autoSpaceDE w:val="0"/>
        <w:autoSpaceDN w:val="0"/>
        <w:adjustRightInd w:val="0"/>
        <w:spacing w:after="0" w:line="240" w:lineRule="auto"/>
      </w:pPr>
      <w:r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 wp14:anchorId="77995673" wp14:editId="4483062E">
            <wp:extent cx="3631474" cy="2723606"/>
            <wp:effectExtent l="0" t="0" r="762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365" cy="273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5C987" w14:textId="4BD878BD" w:rsidR="003D79C4" w:rsidRPr="00BB2552" w:rsidRDefault="003D79C4" w:rsidP="003D79C4">
      <w:pPr>
        <w:pStyle w:val="Caption"/>
        <w:rPr>
          <w:rFonts w:ascii="Courier New" w:hAnsi="Courier New" w:cs="Courier New"/>
          <w:sz w:val="20"/>
          <w:szCs w:val="20"/>
        </w:rPr>
      </w:pPr>
      <w:r>
        <w:t xml:space="preserve">Fig. </w:t>
      </w:r>
      <w:r w:rsidR="006042AA">
        <w:fldChar w:fldCharType="begin"/>
      </w:r>
      <w:r w:rsidR="006042AA">
        <w:instrText xml:space="preserve"> SEQ Fig. \* ARABIC </w:instrText>
      </w:r>
      <w:r w:rsidR="006042AA">
        <w:fldChar w:fldCharType="separate"/>
      </w:r>
      <w:r w:rsidR="00A276D6">
        <w:rPr>
          <w:noProof/>
        </w:rPr>
        <w:t>4</w:t>
      </w:r>
      <w:r w:rsidR="006042AA">
        <w:rPr>
          <w:noProof/>
        </w:rPr>
        <w:fldChar w:fldCharType="end"/>
      </w:r>
      <w:r>
        <w:t>. Principal component ordination (PCO) plot of multivariate pigment biomarkers (</w:t>
      </w:r>
      <w:r w:rsidR="008B4604">
        <w:t>c</w:t>
      </w:r>
      <w:r w:rsidR="00BB2552">
        <w:t>hlorophyll-</w:t>
      </w:r>
      <w:r w:rsidR="00BB2552" w:rsidRPr="006042AA">
        <w:rPr>
          <w:i/>
        </w:rPr>
        <w:t>a</w:t>
      </w:r>
      <w:r w:rsidR="00BB2552">
        <w:t>, chlorophyll-c</w:t>
      </w:r>
      <w:r w:rsidR="00BB2552" w:rsidRPr="1142051E">
        <w:rPr>
          <w:vertAlign w:val="subscript"/>
        </w:rPr>
        <w:t>2</w:t>
      </w:r>
      <w:r w:rsidR="00BB2552">
        <w:t xml:space="preserve">, peridinin, and </w:t>
      </w:r>
      <w:r w:rsidR="00BB2552" w:rsidRPr="1142051E">
        <w:rPr>
          <w:rFonts w:cs="Times New Roman"/>
        </w:rPr>
        <w:t>β</w:t>
      </w:r>
      <w:r w:rsidR="00BB2552">
        <w:t>-carotene concentrations</w:t>
      </w:r>
      <w:r w:rsidR="008B4604">
        <w:t xml:space="preserve"> from </w:t>
      </w:r>
      <w:r w:rsidR="008B4604" w:rsidRPr="1142051E">
        <w:rPr>
          <w:i/>
        </w:rPr>
        <w:t>A. kenti</w:t>
      </w:r>
      <w:r w:rsidR="008B4604">
        <w:t xml:space="preserve"> tissues</w:t>
      </w:r>
      <w:r w:rsidR="0069293D">
        <w:t xml:space="preserve"> </w:t>
      </w:r>
      <w:r w:rsidR="003A6FF5">
        <w:t>subjected to one of 30% shade, 15% shade or unshaded treatments at unheated (</w:t>
      </w:r>
      <w:r w:rsidR="003A6FF5" w:rsidRPr="00D6191E">
        <w:t>0</w:t>
      </w:r>
      <w:r w:rsidR="003A6FF5">
        <w:t xml:space="preserve"> DHW)</w:t>
      </w:r>
      <w:r w:rsidR="003A6FF5" w:rsidRPr="00D6191E">
        <w:t>,</w:t>
      </w:r>
      <w:r w:rsidR="003A6FF5">
        <w:t xml:space="preserve"> moderate (4 DHW)</w:t>
      </w:r>
      <w:r w:rsidR="003A6FF5" w:rsidRPr="00D6191E">
        <w:t xml:space="preserve">, or </w:t>
      </w:r>
      <w:r w:rsidR="003A6FF5">
        <w:t>high (6</w:t>
      </w:r>
      <w:r w:rsidR="003A6FF5" w:rsidRPr="00D6191E">
        <w:t xml:space="preserve"> DHW</w:t>
      </w:r>
      <w:r w:rsidR="003A6FF5">
        <w:t xml:space="preserve">) thermal stress treatments </w:t>
      </w:r>
      <w:r w:rsidR="004138B2">
        <w:t>(</w:t>
      </w:r>
      <w:r w:rsidR="00682399">
        <w:t xml:space="preserve">sampled on </w:t>
      </w:r>
      <w:r w:rsidR="008B4604">
        <w:t>days</w:t>
      </w:r>
      <w:r w:rsidR="004138B2">
        <w:t xml:space="preserve"> 5, 15, 29, 50, 64, and 77)</w:t>
      </w:r>
      <w:r w:rsidR="00646C0E">
        <w:t xml:space="preserve">. </w:t>
      </w:r>
      <w:r w:rsidR="008B4604">
        <w:t>The overlay</w:t>
      </w:r>
      <w:r w:rsidR="00646C0E">
        <w:t xml:space="preserve"> shows Pearson correlation coefficients &gt; 0.8.</w:t>
      </w:r>
    </w:p>
    <w:p w14:paraId="13BC26E8" w14:textId="77777777" w:rsidR="000830A3" w:rsidRDefault="000830A3" w:rsidP="001A686F">
      <w:pPr>
        <w:tabs>
          <w:tab w:val="left" w:pos="0"/>
          <w:tab w:val="left" w:pos="765"/>
          <w:tab w:val="left" w:pos="1770"/>
          <w:tab w:val="left" w:pos="265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A1E91B2" w14:textId="77777777" w:rsidR="003D79C4" w:rsidRDefault="003D79C4" w:rsidP="001A686F">
      <w:pPr>
        <w:tabs>
          <w:tab w:val="left" w:pos="0"/>
          <w:tab w:val="left" w:pos="765"/>
          <w:tab w:val="left" w:pos="1770"/>
          <w:tab w:val="left" w:pos="265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DECBC09" w14:textId="7CAF42B6" w:rsidR="00B46C2F" w:rsidRDefault="00B46C2F" w:rsidP="00B46C2F">
      <w:pPr>
        <w:pStyle w:val="Caption"/>
        <w:keepNext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A276D6">
        <w:rPr>
          <w:noProof/>
        </w:rPr>
        <w:t>3</w:t>
      </w:r>
      <w:r>
        <w:fldChar w:fldCharType="end"/>
      </w:r>
      <w:r>
        <w:t xml:space="preserve">: Within-day pairwise test results for a significant day </w:t>
      </w:r>
      <w:r>
        <w:rPr>
          <w:rFonts w:cstheme="minorHAnsi"/>
        </w:rPr>
        <w:t>×</w:t>
      </w:r>
      <w:r>
        <w:t xml:space="preserve"> temperature interaction among multivariate pigment concentrations from </w:t>
      </w:r>
      <w:r w:rsidRPr="00DD1EBC">
        <w:rPr>
          <w:i/>
          <w:iCs w:val="0"/>
        </w:rPr>
        <w:t>A. kenti</w:t>
      </w:r>
      <w:r>
        <w:t xml:space="preserve"> </w:t>
      </w:r>
      <w:r w:rsidR="002435DB">
        <w:t>subjected to one of 30% shade, 15% shade, or unshaded treatments at unheated (</w:t>
      </w:r>
      <w:r w:rsidR="002435DB" w:rsidRPr="00D6191E">
        <w:t>0</w:t>
      </w:r>
      <w:r w:rsidR="002435DB">
        <w:t xml:space="preserve"> DHW)</w:t>
      </w:r>
      <w:r w:rsidR="002435DB" w:rsidRPr="00D6191E">
        <w:t>,</w:t>
      </w:r>
      <w:r w:rsidR="002435DB">
        <w:t xml:space="preserve"> moderate (4 DHW)</w:t>
      </w:r>
      <w:r w:rsidR="002435DB" w:rsidRPr="00D6191E">
        <w:t xml:space="preserve">, or </w:t>
      </w:r>
      <w:r w:rsidR="002435DB">
        <w:t>high (6</w:t>
      </w:r>
      <w:r w:rsidR="002435DB" w:rsidRPr="00D6191E">
        <w:t xml:space="preserve"> DHW</w:t>
      </w:r>
      <w:r w:rsidR="002435DB">
        <w:t>) thermal stress treatments</w:t>
      </w:r>
      <w:r w:rsidR="00AA72F3">
        <w:t xml:space="preserve"> (days 5,</w:t>
      </w:r>
      <w:r w:rsidR="00126E20">
        <w:t xml:space="preserve"> 15,</w:t>
      </w:r>
      <w:r w:rsidR="00AA72F3">
        <w:t xml:space="preserve"> 29,</w:t>
      </w:r>
      <w:r w:rsidR="00126E20">
        <w:t xml:space="preserve"> 50,</w:t>
      </w:r>
      <w:r w:rsidR="00AA72F3">
        <w:t xml:space="preserve"> 64, and 77).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2"/>
        <w:gridCol w:w="824"/>
        <w:gridCol w:w="1057"/>
        <w:gridCol w:w="842"/>
        <w:gridCol w:w="918"/>
        <w:gridCol w:w="1057"/>
        <w:gridCol w:w="835"/>
        <w:gridCol w:w="1057"/>
        <w:gridCol w:w="1057"/>
      </w:tblGrid>
      <w:tr w:rsidR="00A21B47" w:rsidRPr="00342A96" w14:paraId="4A963178" w14:textId="77777777" w:rsidTr="006042A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4CF17E" w14:textId="05BDBD6C" w:rsidR="00A21B47" w:rsidRPr="006042AA" w:rsidRDefault="00A21B47" w:rsidP="006042AA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FA2A05" w14:textId="777F5D78" w:rsidR="00A21B47" w:rsidRPr="006042AA" w:rsidRDefault="004A3B81" w:rsidP="006042AA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U</w:t>
            </w:r>
            <w:r w:rsidR="00A21B47" w:rsidRPr="006042AA">
              <w:rPr>
                <w:rFonts w:cs="Times New Roman"/>
                <w:b/>
                <w:bCs/>
                <w:sz w:val="20"/>
                <w:szCs w:val="20"/>
              </w:rPr>
              <w:t xml:space="preserve">nheated –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M</w:t>
            </w:r>
            <w:r w:rsidR="00A21B47" w:rsidRPr="006042AA">
              <w:rPr>
                <w:rFonts w:cs="Times New Roman"/>
                <w:b/>
                <w:bCs/>
                <w:sz w:val="20"/>
                <w:szCs w:val="20"/>
              </w:rPr>
              <w:t>oderate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A1CCFD" w14:textId="4DB92806" w:rsidR="00A21B47" w:rsidRPr="006042AA" w:rsidRDefault="004A3B81" w:rsidP="006042AA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U</w:t>
            </w:r>
            <w:r w:rsidR="00A21B47" w:rsidRPr="006042AA">
              <w:rPr>
                <w:rFonts w:cs="Times New Roman"/>
                <w:b/>
                <w:bCs/>
                <w:sz w:val="20"/>
                <w:szCs w:val="20"/>
              </w:rPr>
              <w:t xml:space="preserve">nheated –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H</w:t>
            </w:r>
            <w:r w:rsidR="00A21B47" w:rsidRPr="006042AA">
              <w:rPr>
                <w:rFonts w:cs="Times New Roman"/>
                <w:b/>
                <w:bCs/>
                <w:sz w:val="20"/>
                <w:szCs w:val="20"/>
              </w:rPr>
              <w:t>igh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0FBB6D" w14:textId="0B43B02E" w:rsidR="00A21B47" w:rsidRPr="006042AA" w:rsidRDefault="004A3B81" w:rsidP="006042AA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M</w:t>
            </w:r>
            <w:r w:rsidR="00342A96" w:rsidRPr="006042AA">
              <w:rPr>
                <w:rFonts w:cs="Times New Roman"/>
                <w:b/>
                <w:bCs/>
                <w:sz w:val="20"/>
                <w:szCs w:val="20"/>
              </w:rPr>
              <w:t xml:space="preserve">oderate </w:t>
            </w:r>
            <w:r w:rsidR="00A21B47" w:rsidRPr="006042AA">
              <w:rPr>
                <w:rFonts w:cs="Times New Roman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H</w:t>
            </w:r>
            <w:r w:rsidR="00342A96" w:rsidRPr="006042AA">
              <w:rPr>
                <w:rFonts w:cs="Times New Roman"/>
                <w:b/>
                <w:bCs/>
                <w:sz w:val="20"/>
                <w:szCs w:val="20"/>
              </w:rPr>
              <w:t>igh</w:t>
            </w:r>
          </w:p>
        </w:tc>
      </w:tr>
      <w:tr w:rsidR="008248F1" w:rsidRPr="00AC37F5" w14:paraId="6C2871B3" w14:textId="77777777" w:rsidTr="006042AA">
        <w:tc>
          <w:tcPr>
            <w:tcW w:w="851" w:type="dxa"/>
            <w:tcBorders>
              <w:top w:val="single" w:sz="4" w:space="0" w:color="auto"/>
            </w:tcBorders>
          </w:tcPr>
          <w:p w14:paraId="7EF49F82" w14:textId="77777777" w:rsidR="004653C5" w:rsidRPr="00AC37F5" w:rsidRDefault="004653C5" w:rsidP="004653C5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998330B" w14:textId="753242B3" w:rsidR="004653C5" w:rsidRPr="006042AA" w:rsidRDefault="004653C5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14:paraId="2EEAE75E" w14:textId="5EC38CA9" w:rsidR="004653C5" w:rsidRPr="006042AA" w:rsidRDefault="004653C5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04BAC7BC" w14:textId="111AC2AB" w:rsidR="004653C5" w:rsidRPr="006042AA" w:rsidRDefault="004653C5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P(perm)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0C8D2ED2" w14:textId="5769CFBF" w:rsidR="004653C5" w:rsidRPr="006042AA" w:rsidRDefault="004653C5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1F49F89F" w14:textId="1153B1D9" w:rsidR="004653C5" w:rsidRPr="006042AA" w:rsidRDefault="004653C5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73D3A66E" w14:textId="52DA950B" w:rsidR="004653C5" w:rsidRPr="006042AA" w:rsidRDefault="004653C5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P(perm)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19A4AC6B" w14:textId="3A72D414" w:rsidR="004653C5" w:rsidRPr="006042AA" w:rsidRDefault="004653C5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5D77526C" w14:textId="623EC580" w:rsidR="004653C5" w:rsidRPr="006042AA" w:rsidRDefault="004653C5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45A1D300" w14:textId="1D2BBAAF" w:rsidR="004653C5" w:rsidRPr="006042AA" w:rsidRDefault="004653C5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P(perm)</w:t>
            </w:r>
          </w:p>
        </w:tc>
      </w:tr>
      <w:tr w:rsidR="008248F1" w:rsidRPr="00AC37F5" w14:paraId="29A0A72F" w14:textId="77777777" w:rsidTr="006042AA">
        <w:tc>
          <w:tcPr>
            <w:tcW w:w="851" w:type="dxa"/>
          </w:tcPr>
          <w:p w14:paraId="669EE3E6" w14:textId="743359E6" w:rsidR="008248F1" w:rsidRPr="00AC37F5" w:rsidRDefault="008248F1" w:rsidP="008248F1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7899E2C4" w14:textId="32567764" w:rsidR="008248F1" w:rsidRPr="00AC37F5" w:rsidRDefault="007A1CB2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14:paraId="429D6ED7" w14:textId="05567BAC" w:rsidR="008248F1" w:rsidRPr="00AC37F5" w:rsidRDefault="008248F1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0.20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2CB20ED7" w14:textId="4105BBBD" w:rsidR="008248F1" w:rsidRPr="00AC37F5" w:rsidRDefault="008248F1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0.962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14:paraId="45F014B0" w14:textId="0C1BF695" w:rsidR="008248F1" w:rsidRPr="00AC37F5" w:rsidRDefault="007A1CB2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14:paraId="265681D3" w14:textId="7C13BFD4" w:rsidR="008248F1" w:rsidRPr="00AC37F5" w:rsidRDefault="008248F1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1.39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5FBF45FB" w14:textId="114268E5" w:rsidR="008248F1" w:rsidRPr="00AC37F5" w:rsidRDefault="008248F1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0.184</w:t>
            </w:r>
          </w:p>
        </w:tc>
        <w:tc>
          <w:tcPr>
            <w:tcW w:w="835" w:type="dxa"/>
            <w:tcBorders>
              <w:top w:val="single" w:sz="4" w:space="0" w:color="auto"/>
            </w:tcBorders>
          </w:tcPr>
          <w:p w14:paraId="47EC8F37" w14:textId="5D90396A" w:rsidR="008248F1" w:rsidRPr="00AC37F5" w:rsidRDefault="007A1CB2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593F136F" w14:textId="21C9EAB2" w:rsidR="008248F1" w:rsidRPr="00AC37F5" w:rsidRDefault="008248F1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2.00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63D97D16" w14:textId="0592E9EC" w:rsidR="008248F1" w:rsidRPr="00AC37F5" w:rsidRDefault="008248F1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02691">
              <w:rPr>
                <w:rFonts w:cs="Times New Roman"/>
                <w:sz w:val="20"/>
                <w:szCs w:val="20"/>
              </w:rPr>
              <w:t>0.0</w:t>
            </w:r>
            <w:r w:rsidR="00A02691" w:rsidRPr="00A02691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7A1CB2" w:rsidRPr="00AC37F5" w14:paraId="78C2531E" w14:textId="77777777" w:rsidTr="006042AA">
        <w:tc>
          <w:tcPr>
            <w:tcW w:w="851" w:type="dxa"/>
          </w:tcPr>
          <w:p w14:paraId="133A8906" w14:textId="0F5ACB5E" w:rsidR="007A1CB2" w:rsidRPr="00AC37F5" w:rsidRDefault="007A1CB2" w:rsidP="007A1CB2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14:paraId="47A76194" w14:textId="03175E64" w:rsidR="007A1CB2" w:rsidRPr="00AC37F5" w:rsidRDefault="007A1CB2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824" w:type="dxa"/>
          </w:tcPr>
          <w:p w14:paraId="7B573FA8" w14:textId="05C79C03" w:rsidR="007A1CB2" w:rsidRPr="00AC37F5" w:rsidRDefault="007A1CB2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0.80</w:t>
            </w:r>
          </w:p>
        </w:tc>
        <w:tc>
          <w:tcPr>
            <w:tcW w:w="1057" w:type="dxa"/>
          </w:tcPr>
          <w:p w14:paraId="5D320884" w14:textId="4FBC4C4A" w:rsidR="007A1CB2" w:rsidRPr="00AC37F5" w:rsidRDefault="007A1CB2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0.524</w:t>
            </w:r>
          </w:p>
        </w:tc>
        <w:tc>
          <w:tcPr>
            <w:tcW w:w="842" w:type="dxa"/>
          </w:tcPr>
          <w:p w14:paraId="637D8CCA" w14:textId="5F6637D8" w:rsidR="007A1CB2" w:rsidRPr="00AC37F5" w:rsidRDefault="007A1CB2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918" w:type="dxa"/>
          </w:tcPr>
          <w:p w14:paraId="628EFD3E" w14:textId="6A809041" w:rsidR="007A1CB2" w:rsidRPr="00AC37F5" w:rsidRDefault="007A1CB2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0.26</w:t>
            </w:r>
          </w:p>
        </w:tc>
        <w:tc>
          <w:tcPr>
            <w:tcW w:w="1057" w:type="dxa"/>
          </w:tcPr>
          <w:p w14:paraId="229627E4" w14:textId="6D89342B" w:rsidR="007A1CB2" w:rsidRPr="00AC37F5" w:rsidRDefault="007A1CB2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0.92</w:t>
            </w:r>
          </w:p>
        </w:tc>
        <w:tc>
          <w:tcPr>
            <w:tcW w:w="835" w:type="dxa"/>
          </w:tcPr>
          <w:p w14:paraId="75850CAC" w14:textId="1C9776FD" w:rsidR="007A1CB2" w:rsidRPr="00AC37F5" w:rsidRDefault="007A1CB2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57" w:type="dxa"/>
          </w:tcPr>
          <w:p w14:paraId="0C442131" w14:textId="224E6C94" w:rsidR="007A1CB2" w:rsidRPr="00AC37F5" w:rsidRDefault="007A1CB2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0.79</w:t>
            </w:r>
          </w:p>
        </w:tc>
        <w:tc>
          <w:tcPr>
            <w:tcW w:w="1057" w:type="dxa"/>
          </w:tcPr>
          <w:p w14:paraId="2CBA0E46" w14:textId="55B8CC7F" w:rsidR="007A1CB2" w:rsidRPr="00AC37F5" w:rsidRDefault="007A1CB2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0.56</w:t>
            </w:r>
          </w:p>
        </w:tc>
      </w:tr>
      <w:tr w:rsidR="007A1CB2" w:rsidRPr="00AC37F5" w14:paraId="3CA31E13" w14:textId="77777777" w:rsidTr="006042AA">
        <w:tc>
          <w:tcPr>
            <w:tcW w:w="851" w:type="dxa"/>
          </w:tcPr>
          <w:p w14:paraId="51FB8EDF" w14:textId="1B400ED5" w:rsidR="007A1CB2" w:rsidRPr="00AC37F5" w:rsidRDefault="007A1CB2" w:rsidP="007A1CB2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852" w:type="dxa"/>
          </w:tcPr>
          <w:p w14:paraId="3AA4ED49" w14:textId="2AA8110F" w:rsidR="007A1CB2" w:rsidRPr="00AC37F5" w:rsidRDefault="00DF0890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824" w:type="dxa"/>
          </w:tcPr>
          <w:p w14:paraId="642FCF0D" w14:textId="52418AF3" w:rsidR="007A1CB2" w:rsidRPr="00AC37F5" w:rsidRDefault="00DF0890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0.49</w:t>
            </w:r>
          </w:p>
        </w:tc>
        <w:tc>
          <w:tcPr>
            <w:tcW w:w="1057" w:type="dxa"/>
          </w:tcPr>
          <w:p w14:paraId="19271525" w14:textId="237E8B95" w:rsidR="007A1CB2" w:rsidRPr="00AC37F5" w:rsidRDefault="00DF0890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0.697</w:t>
            </w:r>
          </w:p>
        </w:tc>
        <w:tc>
          <w:tcPr>
            <w:tcW w:w="842" w:type="dxa"/>
          </w:tcPr>
          <w:p w14:paraId="0B62E3BE" w14:textId="6C5C929E" w:rsidR="007A1CB2" w:rsidRPr="00AC37F5" w:rsidRDefault="00DF0890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918" w:type="dxa"/>
          </w:tcPr>
          <w:p w14:paraId="6BC7A572" w14:textId="663AF143" w:rsidR="007A1CB2" w:rsidRPr="00AC37F5" w:rsidRDefault="00DF0890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0.55</w:t>
            </w:r>
          </w:p>
        </w:tc>
        <w:tc>
          <w:tcPr>
            <w:tcW w:w="1057" w:type="dxa"/>
          </w:tcPr>
          <w:p w14:paraId="6522F3CF" w14:textId="4261D6C2" w:rsidR="007A1CB2" w:rsidRPr="00AC37F5" w:rsidRDefault="00DF0890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0.617</w:t>
            </w:r>
          </w:p>
        </w:tc>
        <w:tc>
          <w:tcPr>
            <w:tcW w:w="835" w:type="dxa"/>
          </w:tcPr>
          <w:p w14:paraId="08F02D89" w14:textId="3F956F0C" w:rsidR="007A1CB2" w:rsidRPr="00AC37F5" w:rsidRDefault="00DF0890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57" w:type="dxa"/>
          </w:tcPr>
          <w:p w14:paraId="010F9260" w14:textId="746A062F" w:rsidR="007A1CB2" w:rsidRPr="00AC37F5" w:rsidRDefault="00DF0890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0.30</w:t>
            </w:r>
          </w:p>
        </w:tc>
        <w:tc>
          <w:tcPr>
            <w:tcW w:w="1057" w:type="dxa"/>
          </w:tcPr>
          <w:p w14:paraId="4D6F29CB" w14:textId="7332FB95" w:rsidR="007A1CB2" w:rsidRPr="00AC37F5" w:rsidRDefault="00DF0890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0.813</w:t>
            </w:r>
          </w:p>
        </w:tc>
      </w:tr>
      <w:tr w:rsidR="007A1CB2" w:rsidRPr="00AC37F5" w14:paraId="2F1D0D75" w14:textId="77777777" w:rsidTr="006042AA">
        <w:tc>
          <w:tcPr>
            <w:tcW w:w="851" w:type="dxa"/>
          </w:tcPr>
          <w:p w14:paraId="6AA7DAE9" w14:textId="7BE0088B" w:rsidR="007A1CB2" w:rsidRPr="00AC37F5" w:rsidRDefault="007A1CB2" w:rsidP="007A1CB2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852" w:type="dxa"/>
          </w:tcPr>
          <w:p w14:paraId="4486094A" w14:textId="131DEA96" w:rsidR="007A1CB2" w:rsidRPr="00AC37F5" w:rsidRDefault="00DF0890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824" w:type="dxa"/>
          </w:tcPr>
          <w:p w14:paraId="651F4442" w14:textId="02E44385" w:rsidR="007A1CB2" w:rsidRPr="00AC37F5" w:rsidRDefault="00DF0890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1</w:t>
            </w:r>
            <w:r w:rsidR="00092F2E" w:rsidRPr="00AC37F5">
              <w:rPr>
                <w:rFonts w:cs="Times New Roman"/>
                <w:sz w:val="20"/>
                <w:szCs w:val="20"/>
              </w:rPr>
              <w:t>.94</w:t>
            </w:r>
          </w:p>
        </w:tc>
        <w:tc>
          <w:tcPr>
            <w:tcW w:w="1057" w:type="dxa"/>
          </w:tcPr>
          <w:p w14:paraId="7B8A72C9" w14:textId="79AAAC57" w:rsidR="007A1CB2" w:rsidRPr="00AC37F5" w:rsidRDefault="00092F2E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0.055</w:t>
            </w:r>
          </w:p>
        </w:tc>
        <w:tc>
          <w:tcPr>
            <w:tcW w:w="842" w:type="dxa"/>
          </w:tcPr>
          <w:p w14:paraId="09628EEC" w14:textId="2A563826" w:rsidR="007A1CB2" w:rsidRPr="00AC37F5" w:rsidRDefault="00092F2E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918" w:type="dxa"/>
          </w:tcPr>
          <w:p w14:paraId="251197A1" w14:textId="7932169D" w:rsidR="007A1CB2" w:rsidRPr="00AC37F5" w:rsidRDefault="00092F2E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1.62</w:t>
            </w:r>
          </w:p>
        </w:tc>
        <w:tc>
          <w:tcPr>
            <w:tcW w:w="1057" w:type="dxa"/>
          </w:tcPr>
          <w:p w14:paraId="2EF2AF31" w14:textId="440C942C" w:rsidR="007A1CB2" w:rsidRPr="00AC37F5" w:rsidRDefault="00092F2E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0.113</w:t>
            </w:r>
          </w:p>
        </w:tc>
        <w:tc>
          <w:tcPr>
            <w:tcW w:w="835" w:type="dxa"/>
          </w:tcPr>
          <w:p w14:paraId="2F37AB04" w14:textId="78B63F58" w:rsidR="007A1CB2" w:rsidRPr="00AC37F5" w:rsidRDefault="00092F2E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057" w:type="dxa"/>
          </w:tcPr>
          <w:p w14:paraId="05A8857C" w14:textId="375E2858" w:rsidR="007A1CB2" w:rsidRPr="00AC37F5" w:rsidRDefault="00092F2E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0.72</w:t>
            </w:r>
          </w:p>
        </w:tc>
        <w:tc>
          <w:tcPr>
            <w:tcW w:w="1057" w:type="dxa"/>
          </w:tcPr>
          <w:p w14:paraId="2D158F09" w14:textId="56013782" w:rsidR="007A1CB2" w:rsidRPr="00AC37F5" w:rsidRDefault="00092F2E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0.546</w:t>
            </w:r>
          </w:p>
        </w:tc>
      </w:tr>
      <w:tr w:rsidR="007A1CB2" w:rsidRPr="00AC37F5" w14:paraId="66C2B721" w14:textId="77777777" w:rsidTr="006042AA">
        <w:tc>
          <w:tcPr>
            <w:tcW w:w="851" w:type="dxa"/>
          </w:tcPr>
          <w:p w14:paraId="084C667E" w14:textId="1E671D61" w:rsidR="007A1CB2" w:rsidRPr="00AC37F5" w:rsidRDefault="007A1CB2" w:rsidP="007A1CB2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64</w:t>
            </w:r>
          </w:p>
        </w:tc>
        <w:tc>
          <w:tcPr>
            <w:tcW w:w="852" w:type="dxa"/>
          </w:tcPr>
          <w:p w14:paraId="76049C0E" w14:textId="04B0BEA4" w:rsidR="007A1CB2" w:rsidRPr="00AC37F5" w:rsidRDefault="004E35C0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824" w:type="dxa"/>
          </w:tcPr>
          <w:p w14:paraId="29E3AC57" w14:textId="65613FBE" w:rsidR="007A1CB2" w:rsidRPr="00AC37F5" w:rsidRDefault="004E35C0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0.66</w:t>
            </w:r>
          </w:p>
        </w:tc>
        <w:tc>
          <w:tcPr>
            <w:tcW w:w="1057" w:type="dxa"/>
          </w:tcPr>
          <w:p w14:paraId="1E5744C6" w14:textId="03240D8B" w:rsidR="007A1CB2" w:rsidRPr="00AC37F5" w:rsidRDefault="004E35C0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0.594</w:t>
            </w:r>
          </w:p>
        </w:tc>
        <w:tc>
          <w:tcPr>
            <w:tcW w:w="842" w:type="dxa"/>
          </w:tcPr>
          <w:p w14:paraId="14F61821" w14:textId="3ADB04E7" w:rsidR="007A1CB2" w:rsidRPr="00AC37F5" w:rsidRDefault="004E35C0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918" w:type="dxa"/>
          </w:tcPr>
          <w:p w14:paraId="4008664E" w14:textId="78631692" w:rsidR="007A1CB2" w:rsidRPr="00AC37F5" w:rsidRDefault="004E35C0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2.33</w:t>
            </w:r>
          </w:p>
        </w:tc>
        <w:tc>
          <w:tcPr>
            <w:tcW w:w="1057" w:type="dxa"/>
          </w:tcPr>
          <w:p w14:paraId="1D49A0A5" w14:textId="3ECA91EE" w:rsidR="007A1CB2" w:rsidRPr="006042AA" w:rsidRDefault="004E35C0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2AA">
              <w:rPr>
                <w:rFonts w:cs="Times New Roman"/>
                <w:b/>
                <w:bCs/>
                <w:sz w:val="20"/>
                <w:szCs w:val="20"/>
              </w:rPr>
              <w:t>0.018</w:t>
            </w:r>
          </w:p>
        </w:tc>
        <w:tc>
          <w:tcPr>
            <w:tcW w:w="835" w:type="dxa"/>
          </w:tcPr>
          <w:p w14:paraId="2CA49968" w14:textId="71FCFE1A" w:rsidR="007A1CB2" w:rsidRPr="00AC37F5" w:rsidRDefault="004E35C0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57" w:type="dxa"/>
          </w:tcPr>
          <w:p w14:paraId="419DFEDA" w14:textId="7A43B604" w:rsidR="007A1CB2" w:rsidRPr="00AC37F5" w:rsidRDefault="004E35C0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1.2</w:t>
            </w:r>
            <w:r w:rsidR="00AB4C5B" w:rsidRPr="00AC37F5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057" w:type="dxa"/>
          </w:tcPr>
          <w:p w14:paraId="6546C364" w14:textId="3113FD5E" w:rsidR="007A1CB2" w:rsidRPr="00AC37F5" w:rsidRDefault="00AB4C5B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0.222</w:t>
            </w:r>
          </w:p>
        </w:tc>
      </w:tr>
      <w:tr w:rsidR="007A1CB2" w:rsidRPr="00AC37F5" w14:paraId="57F11E6D" w14:textId="77777777" w:rsidTr="006042AA">
        <w:tc>
          <w:tcPr>
            <w:tcW w:w="851" w:type="dxa"/>
            <w:tcBorders>
              <w:bottom w:val="single" w:sz="4" w:space="0" w:color="auto"/>
            </w:tcBorders>
          </w:tcPr>
          <w:p w14:paraId="056921C8" w14:textId="21A72B67" w:rsidR="007A1CB2" w:rsidRPr="00AC37F5" w:rsidRDefault="007A1CB2" w:rsidP="007A1CB2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77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2D41AC95" w14:textId="7E28E119" w:rsidR="007A1CB2" w:rsidRPr="00AC37F5" w:rsidRDefault="00AB4C5B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4B868913" w14:textId="43A7CA11" w:rsidR="007A1CB2" w:rsidRPr="00AC37F5" w:rsidRDefault="00AB4C5B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0.28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0345798B" w14:textId="602D3186" w:rsidR="007A1CB2" w:rsidRPr="00AC37F5" w:rsidRDefault="00AB4C5B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0.914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1B548298" w14:textId="4D6EFCCF" w:rsidR="007A1CB2" w:rsidRPr="00AC37F5" w:rsidRDefault="00AB4C5B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1422C46F" w14:textId="599FA2D5" w:rsidR="007A1CB2" w:rsidRPr="00AC37F5" w:rsidRDefault="00AB4C5B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1.30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14D69E2F" w14:textId="5B7359C5" w:rsidR="007A1CB2" w:rsidRPr="00AC37F5" w:rsidRDefault="00AB4C5B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0.216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087F2BF9" w14:textId="21F79EE9" w:rsidR="007A1CB2" w:rsidRPr="00AC37F5" w:rsidRDefault="00AB4C5B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11C69A18" w14:textId="29B309D0" w:rsidR="007A1CB2" w:rsidRPr="00AC37F5" w:rsidRDefault="00AC37F5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1.51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0B124BC3" w14:textId="4FE97018" w:rsidR="007A1CB2" w:rsidRPr="00AC37F5" w:rsidRDefault="00AC37F5" w:rsidP="00B46C2F">
            <w:pPr>
              <w:tabs>
                <w:tab w:val="left" w:pos="0"/>
                <w:tab w:val="left" w:pos="765"/>
                <w:tab w:val="left" w:pos="1770"/>
                <w:tab w:val="left" w:pos="26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C37F5">
              <w:rPr>
                <w:rFonts w:cs="Times New Roman"/>
                <w:sz w:val="20"/>
                <w:szCs w:val="20"/>
              </w:rPr>
              <w:t>0.134</w:t>
            </w:r>
          </w:p>
        </w:tc>
      </w:tr>
    </w:tbl>
    <w:p w14:paraId="66EB21E6" w14:textId="77777777" w:rsidR="000830A3" w:rsidRDefault="000830A3" w:rsidP="001A686F">
      <w:pPr>
        <w:tabs>
          <w:tab w:val="left" w:pos="0"/>
          <w:tab w:val="left" w:pos="765"/>
          <w:tab w:val="left" w:pos="1770"/>
          <w:tab w:val="left" w:pos="265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477DF949" w14:textId="77777777" w:rsidR="000830A3" w:rsidRDefault="000830A3" w:rsidP="001A686F">
      <w:pPr>
        <w:tabs>
          <w:tab w:val="left" w:pos="0"/>
          <w:tab w:val="left" w:pos="765"/>
          <w:tab w:val="left" w:pos="1770"/>
          <w:tab w:val="left" w:pos="265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4B2D0806" w14:textId="77777777" w:rsidR="00022207" w:rsidRDefault="00022207" w:rsidP="00022207">
      <w:pPr>
        <w:keepNext/>
        <w:tabs>
          <w:tab w:val="left" w:pos="0"/>
          <w:tab w:val="left" w:pos="270"/>
          <w:tab w:val="left" w:pos="1155"/>
          <w:tab w:val="left" w:pos="2040"/>
        </w:tabs>
        <w:autoSpaceDE w:val="0"/>
        <w:autoSpaceDN w:val="0"/>
        <w:adjustRightInd w:val="0"/>
        <w:spacing w:after="0" w:line="240" w:lineRule="auto"/>
      </w:pPr>
      <w:r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 wp14:anchorId="49668E45" wp14:editId="4BB64F98">
            <wp:extent cx="4536141" cy="2277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062"/>
                    <a:stretch/>
                  </pic:blipFill>
                  <pic:spPr bwMode="auto">
                    <a:xfrm>
                      <a:off x="0" y="0"/>
                      <a:ext cx="4564502" cy="2291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8A2663" w14:textId="7C4D1A4B" w:rsidR="000830A3" w:rsidRDefault="00022207" w:rsidP="00022207">
      <w:pPr>
        <w:pStyle w:val="Caption"/>
        <w:rPr>
          <w:rFonts w:ascii="Courier New" w:hAnsi="Courier New" w:cs="Courier New"/>
          <w:sz w:val="20"/>
          <w:szCs w:val="20"/>
        </w:rPr>
      </w:pPr>
      <w:r>
        <w:t xml:space="preserve">Fig. </w:t>
      </w:r>
      <w:r>
        <w:fldChar w:fldCharType="begin"/>
      </w:r>
      <w:r>
        <w:instrText>SEQ Fig. \* ARABIC</w:instrText>
      </w:r>
      <w:r>
        <w:fldChar w:fldCharType="separate"/>
      </w:r>
      <w:r w:rsidR="00A276D6">
        <w:rPr>
          <w:noProof/>
        </w:rPr>
        <w:t>5</w:t>
      </w:r>
      <w:r>
        <w:fldChar w:fldCharType="end"/>
      </w:r>
      <w:r>
        <w:t xml:space="preserve">. Principal component ordination (PCO) plot for multivariate </w:t>
      </w:r>
      <w:r w:rsidR="00216DD5" w:rsidRPr="00216DD5">
        <w:rPr>
          <w:i/>
          <w:iCs w:val="0"/>
        </w:rPr>
        <w:t xml:space="preserve">A. kenti </w:t>
      </w:r>
      <w:r>
        <w:t>pigment data for</w:t>
      </w:r>
      <w:r w:rsidR="00216DD5">
        <w:t xml:space="preserve"> </w:t>
      </w:r>
      <w:r w:rsidR="00A2632A">
        <w:t xml:space="preserve">the start (day 5) and end (day 77) </w:t>
      </w:r>
      <w:r w:rsidR="00216DD5">
        <w:t>of the experiment from the high-stress thermal treatment.</w:t>
      </w:r>
    </w:p>
    <w:p w14:paraId="7C243A86" w14:textId="5ADB735D" w:rsidR="0019254E" w:rsidRDefault="0019254E" w:rsidP="0019254E">
      <w:pPr>
        <w:tabs>
          <w:tab w:val="left" w:pos="0"/>
          <w:tab w:val="left" w:pos="765"/>
          <w:tab w:val="left" w:pos="1770"/>
          <w:tab w:val="left" w:pos="265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7D110EB0" w14:textId="77777777" w:rsidR="00FD41E9" w:rsidRDefault="00FD41E9" w:rsidP="0019254E">
      <w:pPr>
        <w:tabs>
          <w:tab w:val="left" w:pos="0"/>
          <w:tab w:val="left" w:pos="765"/>
          <w:tab w:val="left" w:pos="1770"/>
          <w:tab w:val="left" w:pos="265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79FA99B" w14:textId="77777777" w:rsidR="00F31A20" w:rsidRDefault="00FD41E9" w:rsidP="00F31A20">
      <w:pPr>
        <w:keepNext/>
        <w:tabs>
          <w:tab w:val="left" w:pos="0"/>
          <w:tab w:val="left" w:pos="765"/>
          <w:tab w:val="left" w:pos="1770"/>
          <w:tab w:val="left" w:pos="2655"/>
        </w:tabs>
        <w:autoSpaceDE w:val="0"/>
        <w:autoSpaceDN w:val="0"/>
        <w:adjustRightInd w:val="0"/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2B4A5B7F" wp14:editId="5EA4D7A6">
            <wp:extent cx="5501843" cy="4298315"/>
            <wp:effectExtent l="0" t="0" r="381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843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1902C" w14:textId="76D81EF8" w:rsidR="00FD41E9" w:rsidRDefault="00F31A20" w:rsidP="00F31A20">
      <w:pPr>
        <w:pStyle w:val="Caption"/>
        <w:rPr>
          <w:rFonts w:ascii="Courier New" w:hAnsi="Courier New" w:cs="Courier New"/>
          <w:sz w:val="20"/>
          <w:szCs w:val="20"/>
        </w:rPr>
      </w:pPr>
      <w:r>
        <w:t xml:space="preserve">Fig. </w:t>
      </w:r>
      <w:r>
        <w:fldChar w:fldCharType="begin"/>
      </w:r>
      <w:r>
        <w:instrText>SEQ Fig. \* ARABIC</w:instrText>
      </w:r>
      <w:r>
        <w:fldChar w:fldCharType="separate"/>
      </w:r>
      <w:r w:rsidR="00A276D6">
        <w:rPr>
          <w:noProof/>
        </w:rPr>
        <w:t>6</w:t>
      </w:r>
      <w:r>
        <w:fldChar w:fldCharType="end"/>
      </w:r>
      <w:r>
        <w:t xml:space="preserve">. </w:t>
      </w:r>
      <w:r w:rsidRPr="007342A6">
        <w:t>Correlation and regression plots for transformed symbiont density and pigment concentration</w:t>
      </w:r>
      <w:r w:rsidR="00F41EC9">
        <w:t xml:space="preserve"> from </w:t>
      </w:r>
      <w:r w:rsidR="00F41EC9" w:rsidRPr="00DD1EBC">
        <w:rPr>
          <w:i/>
          <w:iCs w:val="0"/>
        </w:rPr>
        <w:t>A. kenti</w:t>
      </w:r>
      <w:r w:rsidR="00F41EC9">
        <w:t xml:space="preserve"> subjected to one of 30% shade, 15% shade, or unshaded treatments at unheated (</w:t>
      </w:r>
      <w:r w:rsidR="00F41EC9" w:rsidRPr="00D6191E">
        <w:t>0</w:t>
      </w:r>
      <w:r w:rsidR="00F41EC9">
        <w:t xml:space="preserve"> DHW)</w:t>
      </w:r>
      <w:r w:rsidR="00F41EC9" w:rsidRPr="00D6191E">
        <w:t>,</w:t>
      </w:r>
      <w:r w:rsidR="00F41EC9">
        <w:t xml:space="preserve"> moderate (4 DHW)</w:t>
      </w:r>
      <w:r w:rsidR="00F41EC9" w:rsidRPr="00D6191E">
        <w:t xml:space="preserve">, or </w:t>
      </w:r>
      <w:r w:rsidR="00F41EC9">
        <w:t>high (6</w:t>
      </w:r>
      <w:r w:rsidR="00F41EC9" w:rsidRPr="00D6191E">
        <w:t xml:space="preserve"> DHW</w:t>
      </w:r>
      <w:r w:rsidR="00F41EC9">
        <w:t>) thermal stress treatments (days 5, 15, 29, 50, 64, and 77).</w:t>
      </w:r>
    </w:p>
    <w:p w14:paraId="5CA99F59" w14:textId="77777777" w:rsidR="00166D80" w:rsidRDefault="00166D80" w:rsidP="0019254E">
      <w:pPr>
        <w:tabs>
          <w:tab w:val="left" w:pos="0"/>
          <w:tab w:val="left" w:pos="765"/>
          <w:tab w:val="left" w:pos="1770"/>
          <w:tab w:val="left" w:pos="265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235F05AF" w14:textId="77777777" w:rsidR="00962E79" w:rsidRDefault="00962E79" w:rsidP="00962E79">
      <w:pPr>
        <w:keepNext/>
        <w:tabs>
          <w:tab w:val="left" w:pos="0"/>
          <w:tab w:val="left" w:pos="765"/>
          <w:tab w:val="left" w:pos="1770"/>
          <w:tab w:val="left" w:pos="2655"/>
        </w:tabs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016EA3CF" wp14:editId="0C8EEE8E">
            <wp:extent cx="5731510" cy="2238871"/>
            <wp:effectExtent l="0" t="0" r="254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45467" w14:textId="03E398D0" w:rsidR="00166D80" w:rsidRDefault="00962E79" w:rsidP="00962E79">
      <w:pPr>
        <w:pStyle w:val="Caption"/>
      </w:pPr>
      <w:r>
        <w:t xml:space="preserve">Fig. </w:t>
      </w:r>
      <w:r>
        <w:fldChar w:fldCharType="begin"/>
      </w:r>
      <w:r>
        <w:instrText>SEQ Fig. \* ARABIC</w:instrText>
      </w:r>
      <w:r>
        <w:fldChar w:fldCharType="separate"/>
      </w:r>
      <w:r w:rsidR="00A276D6">
        <w:rPr>
          <w:noProof/>
        </w:rPr>
        <w:t>7</w:t>
      </w:r>
      <w:r>
        <w:fldChar w:fldCharType="end"/>
      </w:r>
      <w:r>
        <w:t>.</w:t>
      </w:r>
      <w:r w:rsidR="0018159C">
        <w:t xml:space="preserve"> Relative MIG correlation and regression statistics </w:t>
      </w:r>
      <w:r w:rsidR="006C73D0">
        <w:t xml:space="preserve">from </w:t>
      </w:r>
      <w:r w:rsidR="006C73D0" w:rsidRPr="00DD1EBC">
        <w:rPr>
          <w:i/>
          <w:iCs w:val="0"/>
        </w:rPr>
        <w:t>A. kenti</w:t>
      </w:r>
      <w:r w:rsidR="006C73D0">
        <w:t xml:space="preserve"> subjected to one of 30% shade, 15% shade, or unshaded treatments at unheated (</w:t>
      </w:r>
      <w:r w:rsidR="006C73D0" w:rsidRPr="00D6191E">
        <w:t>0</w:t>
      </w:r>
      <w:r w:rsidR="006C73D0">
        <w:t xml:space="preserve"> DHW)</w:t>
      </w:r>
      <w:r w:rsidR="006C73D0" w:rsidRPr="00D6191E">
        <w:t>,</w:t>
      </w:r>
      <w:r w:rsidR="006C73D0">
        <w:t xml:space="preserve"> moderate (4 DHW)</w:t>
      </w:r>
      <w:r w:rsidR="006C73D0" w:rsidRPr="00D6191E">
        <w:t xml:space="preserve">, or </w:t>
      </w:r>
      <w:r w:rsidR="006C73D0">
        <w:t>high (6</w:t>
      </w:r>
      <w:r w:rsidR="006C73D0" w:rsidRPr="00D6191E">
        <w:t xml:space="preserve"> DHW</w:t>
      </w:r>
      <w:r w:rsidR="006C73D0">
        <w:t>) thermal stress treatments (days 5, 15, 29, 50, 64, and 77).</w:t>
      </w:r>
    </w:p>
    <w:p w14:paraId="2AA4DF47" w14:textId="77777777" w:rsidR="00FB16D0" w:rsidRDefault="00FB16D0" w:rsidP="00FB16D0"/>
    <w:p w14:paraId="2E191BA4" w14:textId="77777777" w:rsidR="00FB16D0" w:rsidRDefault="00FB16D0" w:rsidP="00FB16D0">
      <w:pPr>
        <w:keepNext/>
      </w:pPr>
      <w:r>
        <w:rPr>
          <w:noProof/>
        </w:rPr>
        <w:lastRenderedPageBreak/>
        <w:drawing>
          <wp:inline distT="0" distB="0" distL="0" distR="0" wp14:anchorId="653E00E8" wp14:editId="16B5B307">
            <wp:extent cx="5396461" cy="202367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461" cy="202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63A79" w14:textId="0D767C62" w:rsidR="00FB16D0" w:rsidRDefault="00FB16D0" w:rsidP="00FB16D0">
      <w:pPr>
        <w:pStyle w:val="Caption"/>
      </w:pPr>
      <w:r>
        <w:t xml:space="preserve">Fig. </w:t>
      </w:r>
      <w:r w:rsidR="006042AA">
        <w:fldChar w:fldCharType="begin"/>
      </w:r>
      <w:r w:rsidR="006042AA">
        <w:instrText xml:space="preserve"> SEQ Fig. \* ARABIC </w:instrText>
      </w:r>
      <w:r w:rsidR="006042AA">
        <w:fldChar w:fldCharType="separate"/>
      </w:r>
      <w:r w:rsidR="00A276D6">
        <w:rPr>
          <w:noProof/>
        </w:rPr>
        <w:t>8</w:t>
      </w:r>
      <w:r w:rsidR="006042AA">
        <w:rPr>
          <w:noProof/>
        </w:rPr>
        <w:fldChar w:fldCharType="end"/>
      </w:r>
      <w:r>
        <w:t xml:space="preserve">. Change in relative mean intensity of greys (MIG) </w:t>
      </w:r>
      <w:r>
        <w:rPr>
          <w:rFonts w:cs="Times New Roman"/>
        </w:rPr>
        <w:t>±</w:t>
      </w:r>
      <w:r>
        <w:t xml:space="preserve"> 95% C.I. from </w:t>
      </w:r>
      <w:r w:rsidRPr="00DA78CD">
        <w:rPr>
          <w:i/>
          <w:iCs w:val="0"/>
        </w:rPr>
        <w:t>A. kenti</w:t>
      </w:r>
      <w:r w:rsidRPr="00D6191E">
        <w:t xml:space="preserve"> </w:t>
      </w:r>
      <w:r>
        <w:t xml:space="preserve">nubbins </w:t>
      </w:r>
      <w:r w:rsidR="00157EC4">
        <w:t>subjected to one of 30% shade, 15% shade</w:t>
      </w:r>
      <w:r w:rsidR="002435DB">
        <w:t>,</w:t>
      </w:r>
      <w:r w:rsidR="00157EC4">
        <w:t xml:space="preserve"> or unshaded treatments at </w:t>
      </w:r>
      <w:r w:rsidR="00DC4B54">
        <w:t>unheated (</w:t>
      </w:r>
      <w:r w:rsidRPr="00D6191E">
        <w:t>0</w:t>
      </w:r>
      <w:r w:rsidR="00DC4B54">
        <w:t xml:space="preserve"> DHW)</w:t>
      </w:r>
      <w:r w:rsidRPr="00D6191E">
        <w:t>,</w:t>
      </w:r>
      <w:r w:rsidR="00DC4B54">
        <w:t xml:space="preserve"> moderate (4 DHW)</w:t>
      </w:r>
      <w:r w:rsidRPr="00D6191E">
        <w:t xml:space="preserve">, or </w:t>
      </w:r>
      <w:r w:rsidR="00DC4B54">
        <w:t>high (6</w:t>
      </w:r>
      <w:r w:rsidR="00DC4B54" w:rsidRPr="00D6191E">
        <w:t xml:space="preserve"> </w:t>
      </w:r>
      <w:r w:rsidRPr="00D6191E">
        <w:t>DHW</w:t>
      </w:r>
      <w:r w:rsidR="00DC4B54">
        <w:t>) thermal stress</w:t>
      </w:r>
      <w:r w:rsidRPr="00D6191E">
        <w:t xml:space="preserve"> for 78 days. Shaded </w:t>
      </w:r>
      <w:r w:rsidR="006160EA">
        <w:t xml:space="preserve">vertical </w:t>
      </w:r>
      <w:r w:rsidRPr="00D6191E">
        <w:t>areas designate experimental doldrum conditions.</w:t>
      </w:r>
    </w:p>
    <w:p w14:paraId="024F0FAD" w14:textId="77777777" w:rsidR="00FB16D0" w:rsidRPr="00FB16D0" w:rsidRDefault="00FB16D0" w:rsidP="00FB16D0"/>
    <w:sectPr w:rsidR="00FB16D0" w:rsidRPr="00FB16D0" w:rsidSect="00B6796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3F"/>
    <w:rsid w:val="00004DD7"/>
    <w:rsid w:val="00022207"/>
    <w:rsid w:val="00022390"/>
    <w:rsid w:val="00027DF9"/>
    <w:rsid w:val="000538D5"/>
    <w:rsid w:val="000830A3"/>
    <w:rsid w:val="00092F2E"/>
    <w:rsid w:val="000E04A0"/>
    <w:rsid w:val="000E58A1"/>
    <w:rsid w:val="001023F1"/>
    <w:rsid w:val="001067BF"/>
    <w:rsid w:val="0011281C"/>
    <w:rsid w:val="00126E20"/>
    <w:rsid w:val="00156F7C"/>
    <w:rsid w:val="00157EC4"/>
    <w:rsid w:val="00166D80"/>
    <w:rsid w:val="0018159C"/>
    <w:rsid w:val="0019254E"/>
    <w:rsid w:val="001A686F"/>
    <w:rsid w:val="001B52F6"/>
    <w:rsid w:val="001E2B37"/>
    <w:rsid w:val="001F6AA2"/>
    <w:rsid w:val="00216DD5"/>
    <w:rsid w:val="002435DB"/>
    <w:rsid w:val="00295A93"/>
    <w:rsid w:val="002A23F5"/>
    <w:rsid w:val="002A2EC5"/>
    <w:rsid w:val="002E1C04"/>
    <w:rsid w:val="00317641"/>
    <w:rsid w:val="0032641C"/>
    <w:rsid w:val="00342A96"/>
    <w:rsid w:val="00344168"/>
    <w:rsid w:val="00355306"/>
    <w:rsid w:val="00377B4C"/>
    <w:rsid w:val="003A6FF5"/>
    <w:rsid w:val="003B212D"/>
    <w:rsid w:val="003C0D7C"/>
    <w:rsid w:val="003D79C4"/>
    <w:rsid w:val="004138B2"/>
    <w:rsid w:val="00452DC9"/>
    <w:rsid w:val="00456A33"/>
    <w:rsid w:val="004653C5"/>
    <w:rsid w:val="004A3B81"/>
    <w:rsid w:val="004C3ED8"/>
    <w:rsid w:val="004E35C0"/>
    <w:rsid w:val="00527A0F"/>
    <w:rsid w:val="005B75B4"/>
    <w:rsid w:val="006042AA"/>
    <w:rsid w:val="006160EA"/>
    <w:rsid w:val="00646C0E"/>
    <w:rsid w:val="006639FD"/>
    <w:rsid w:val="00682399"/>
    <w:rsid w:val="00691583"/>
    <w:rsid w:val="0069293D"/>
    <w:rsid w:val="00697ADE"/>
    <w:rsid w:val="006A1B40"/>
    <w:rsid w:val="006B7853"/>
    <w:rsid w:val="006C73D0"/>
    <w:rsid w:val="0071104A"/>
    <w:rsid w:val="00725C7D"/>
    <w:rsid w:val="00746B18"/>
    <w:rsid w:val="0076021D"/>
    <w:rsid w:val="007809F9"/>
    <w:rsid w:val="007A1CB2"/>
    <w:rsid w:val="007B03E6"/>
    <w:rsid w:val="007C04F7"/>
    <w:rsid w:val="007C3B55"/>
    <w:rsid w:val="007C7CFD"/>
    <w:rsid w:val="007D10B6"/>
    <w:rsid w:val="007F124D"/>
    <w:rsid w:val="007F24A3"/>
    <w:rsid w:val="00800907"/>
    <w:rsid w:val="008248F1"/>
    <w:rsid w:val="00844C78"/>
    <w:rsid w:val="0086704A"/>
    <w:rsid w:val="008B4604"/>
    <w:rsid w:val="008F79F4"/>
    <w:rsid w:val="00901486"/>
    <w:rsid w:val="00933FCF"/>
    <w:rsid w:val="009350E6"/>
    <w:rsid w:val="00962E79"/>
    <w:rsid w:val="00963308"/>
    <w:rsid w:val="00994046"/>
    <w:rsid w:val="009C1141"/>
    <w:rsid w:val="009E4618"/>
    <w:rsid w:val="009F2E34"/>
    <w:rsid w:val="00A02691"/>
    <w:rsid w:val="00A04FFC"/>
    <w:rsid w:val="00A21B47"/>
    <w:rsid w:val="00A2328E"/>
    <w:rsid w:val="00A2632A"/>
    <w:rsid w:val="00A276D6"/>
    <w:rsid w:val="00A73993"/>
    <w:rsid w:val="00AA72F3"/>
    <w:rsid w:val="00AB4C5B"/>
    <w:rsid w:val="00AC1F70"/>
    <w:rsid w:val="00AC37F5"/>
    <w:rsid w:val="00B36431"/>
    <w:rsid w:val="00B43890"/>
    <w:rsid w:val="00B46C2F"/>
    <w:rsid w:val="00B54A9C"/>
    <w:rsid w:val="00B57957"/>
    <w:rsid w:val="00B77799"/>
    <w:rsid w:val="00B9462D"/>
    <w:rsid w:val="00BB0F33"/>
    <w:rsid w:val="00BB2552"/>
    <w:rsid w:val="00BD01BB"/>
    <w:rsid w:val="00BF6F3C"/>
    <w:rsid w:val="00C704E1"/>
    <w:rsid w:val="00D10E27"/>
    <w:rsid w:val="00D5783F"/>
    <w:rsid w:val="00D623E2"/>
    <w:rsid w:val="00D83837"/>
    <w:rsid w:val="00D86357"/>
    <w:rsid w:val="00DC4B54"/>
    <w:rsid w:val="00DD1EBC"/>
    <w:rsid w:val="00DF0890"/>
    <w:rsid w:val="00E4790D"/>
    <w:rsid w:val="00E97756"/>
    <w:rsid w:val="00EC369E"/>
    <w:rsid w:val="00F2716A"/>
    <w:rsid w:val="00F31A20"/>
    <w:rsid w:val="00F41EC9"/>
    <w:rsid w:val="00F45273"/>
    <w:rsid w:val="00F975C7"/>
    <w:rsid w:val="00FB16D0"/>
    <w:rsid w:val="00FB2879"/>
    <w:rsid w:val="00FD41E9"/>
    <w:rsid w:val="07060FE9"/>
    <w:rsid w:val="0FA32823"/>
    <w:rsid w:val="1142051E"/>
    <w:rsid w:val="315D3423"/>
    <w:rsid w:val="43C7FACF"/>
    <w:rsid w:val="469A255A"/>
    <w:rsid w:val="64EC87C9"/>
    <w:rsid w:val="68F8D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E7134"/>
  <w15:chartTrackingRefBased/>
  <w15:docId w15:val="{F6404C47-7B13-4AF5-962A-137E1F2E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E27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D1EBC"/>
    <w:pPr>
      <w:spacing w:after="200" w:line="240" w:lineRule="auto"/>
    </w:pPr>
    <w:rPr>
      <w:iCs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6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D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93B96-A78C-454D-A1C1-02056C40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Butcherine</dc:creator>
  <cp:keywords/>
  <dc:description/>
  <cp:lastModifiedBy>Peter Butcherine</cp:lastModifiedBy>
  <cp:revision>5</cp:revision>
  <dcterms:created xsi:type="dcterms:W3CDTF">2026-01-18T23:37:00Z</dcterms:created>
  <dcterms:modified xsi:type="dcterms:W3CDTF">2026-01-18T23:39:00Z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1e2e7d9a-513d-4aab-b6ff-b98f30639589</vt:lpwstr>
  </property>
</Properties>
</file>